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val="0"/>
        <w:rPr>
          <w:color w:val="auto"/>
          <w:kern w:val="2"/>
          <w:highlight w:val="none"/>
        </w:rPr>
      </w:pPr>
    </w:p>
    <w:p>
      <w:pPr>
        <w:snapToGrid w:val="0"/>
        <w:rPr>
          <w:rFonts w:hint="eastAsia"/>
          <w:b/>
          <w:color w:val="auto"/>
          <w:kern w:val="2"/>
          <w:sz w:val="28"/>
          <w:highlight w:val="none"/>
        </w:rPr>
      </w:pPr>
      <w:r>
        <w:rPr>
          <w:rFonts w:hint="eastAsia"/>
          <w:b/>
          <w:color w:val="auto"/>
          <w:kern w:val="2"/>
          <w:sz w:val="28"/>
          <w:highlight w:val="none"/>
        </w:rPr>
        <w:t>附录1资格审查条件（资质最低要求）</w:t>
      </w:r>
      <w:bookmarkStart w:id="0" w:name="_Hlk27644378"/>
    </w:p>
    <w:bookmarkEnd w:id="0"/>
    <w:tbl>
      <w:tblPr>
        <w:tblStyle w:val="3"/>
        <w:tblW w:w="0" w:type="auto"/>
        <w:jc w:val="center"/>
        <w:tblLayout w:type="fixed"/>
        <w:tblCellMar>
          <w:top w:w="0" w:type="dxa"/>
          <w:left w:w="0" w:type="dxa"/>
          <w:bottom w:w="0" w:type="dxa"/>
          <w:right w:w="0" w:type="dxa"/>
        </w:tblCellMar>
      </w:tblPr>
      <w:tblGrid>
        <w:gridCol w:w="9639"/>
      </w:tblGrid>
      <w:tr>
        <w:tblPrEx>
          <w:tblCellMar>
            <w:top w:w="0" w:type="dxa"/>
            <w:left w:w="0" w:type="dxa"/>
            <w:bottom w:w="0" w:type="dxa"/>
            <w:right w:w="0" w:type="dxa"/>
          </w:tblCellMar>
        </w:tblPrEx>
        <w:trPr>
          <w:trHeight w:val="779" w:hRule="atLeast"/>
          <w:jc w:val="center"/>
        </w:trPr>
        <w:tc>
          <w:tcPr>
            <w:tcW w:w="9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b/>
                <w:color w:val="auto"/>
                <w:kern w:val="2"/>
                <w:sz w:val="28"/>
                <w:highlight w:val="none"/>
              </w:rPr>
            </w:pPr>
            <w:r>
              <w:rPr>
                <w:rFonts w:hint="eastAsia"/>
                <w:b/>
                <w:color w:val="auto"/>
                <w:kern w:val="2"/>
                <w:sz w:val="28"/>
                <w:highlight w:val="none"/>
              </w:rPr>
              <w:t>企业资质等级要求</w:t>
            </w:r>
          </w:p>
        </w:tc>
      </w:tr>
      <w:tr>
        <w:tblPrEx>
          <w:tblCellMar>
            <w:top w:w="0" w:type="dxa"/>
            <w:left w:w="0" w:type="dxa"/>
            <w:bottom w:w="0" w:type="dxa"/>
            <w:right w:w="0" w:type="dxa"/>
          </w:tblCellMar>
        </w:tblPrEx>
        <w:trPr>
          <w:trHeight w:val="2783" w:hRule="atLeast"/>
          <w:jc w:val="center"/>
        </w:trPr>
        <w:tc>
          <w:tcPr>
            <w:tcW w:w="963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snapToGrid w:val="0"/>
              <w:spacing w:line="440" w:lineRule="exact"/>
              <w:rPr>
                <w:rFonts w:hint="eastAsia"/>
                <w:color w:val="auto"/>
                <w:kern w:val="2"/>
                <w:sz w:val="24"/>
                <w:szCs w:val="22"/>
                <w:highlight w:val="none"/>
              </w:rPr>
            </w:pPr>
            <w:r>
              <w:rPr>
                <w:rFonts w:hint="eastAsia"/>
                <w:color w:val="auto"/>
                <w:kern w:val="2"/>
                <w:sz w:val="24"/>
                <w:szCs w:val="22"/>
                <w:highlight w:val="none"/>
              </w:rPr>
              <w:t>（1）投标人应具有工商行政管理部门核发的有效的企业法人营业执照或者合法有效的事业单位法人证书；</w:t>
            </w:r>
          </w:p>
          <w:p>
            <w:pPr>
              <w:snapToGrid w:val="0"/>
              <w:spacing w:line="440" w:lineRule="exact"/>
              <w:rPr>
                <w:rFonts w:hint="eastAsia"/>
                <w:color w:val="auto"/>
                <w:kern w:val="2"/>
                <w:sz w:val="24"/>
                <w:szCs w:val="22"/>
                <w:highlight w:val="none"/>
              </w:rPr>
            </w:pPr>
            <w:r>
              <w:rPr>
                <w:rFonts w:hint="eastAsia"/>
                <w:color w:val="auto"/>
                <w:kern w:val="2"/>
                <w:sz w:val="24"/>
                <w:szCs w:val="22"/>
                <w:highlight w:val="none"/>
              </w:rPr>
              <w:t>（2）具有交通运输主管部门颁发的</w:t>
            </w:r>
            <w:r>
              <w:rPr>
                <w:rFonts w:hint="eastAsia"/>
                <w:color w:val="auto"/>
                <w:kern w:val="2"/>
                <w:sz w:val="24"/>
                <w:szCs w:val="22"/>
                <w:highlight w:val="none"/>
                <w:lang w:eastAsia="zh-CN"/>
              </w:rPr>
              <w:t>公路工程交通工程专项试验检测资质</w:t>
            </w:r>
            <w:r>
              <w:rPr>
                <w:rFonts w:hint="eastAsia"/>
                <w:color w:val="auto"/>
                <w:kern w:val="2"/>
                <w:sz w:val="24"/>
                <w:szCs w:val="22"/>
                <w:highlight w:val="none"/>
              </w:rPr>
              <w:t>。投标人应进入公路水运工程试验检测管理信息系统中的试验检测机构列表，且投标人名称和资质等级与该列表中的相应企业名称和资质等级完全一致（或其为非独立法 人的下属机构或部门的试验检测机构）；</w:t>
            </w:r>
          </w:p>
          <w:p>
            <w:pPr>
              <w:snapToGrid w:val="0"/>
              <w:spacing w:line="440" w:lineRule="exact"/>
              <w:rPr>
                <w:b/>
                <w:color w:val="auto"/>
                <w:kern w:val="2"/>
                <w:sz w:val="28"/>
                <w:highlight w:val="none"/>
              </w:rPr>
            </w:pPr>
            <w:r>
              <w:rPr>
                <w:rFonts w:hint="eastAsia"/>
                <w:color w:val="auto"/>
                <w:kern w:val="2"/>
                <w:sz w:val="24"/>
                <w:szCs w:val="22"/>
                <w:highlight w:val="none"/>
              </w:rPr>
              <w:t>（3）</w:t>
            </w:r>
            <w:r>
              <w:rPr>
                <w:rFonts w:hint="eastAsia"/>
                <w:color w:val="auto"/>
                <w:kern w:val="2"/>
                <w:sz w:val="24"/>
                <w:szCs w:val="22"/>
                <w:highlight w:val="none"/>
              </w:rPr>
              <w:t>具有质量技术监督部门颁发的计量认证证书（CMA），并且合法有效</w:t>
            </w:r>
            <w:r>
              <w:rPr>
                <w:rFonts w:hint="eastAsia"/>
                <w:color w:val="auto"/>
                <w:kern w:val="2"/>
                <w:sz w:val="24"/>
                <w:szCs w:val="22"/>
                <w:highlight w:val="none"/>
              </w:rPr>
              <w:t>。</w:t>
            </w:r>
          </w:p>
        </w:tc>
      </w:tr>
    </w:tbl>
    <w:p>
      <w:pPr>
        <w:snapToGrid w:val="0"/>
        <w:rPr>
          <w:b/>
          <w:color w:val="auto"/>
          <w:kern w:val="2"/>
          <w:sz w:val="28"/>
          <w:highlight w:val="none"/>
        </w:rPr>
      </w:pPr>
    </w:p>
    <w:p>
      <w:pPr>
        <w:widowControl/>
        <w:snapToGrid w:val="0"/>
        <w:rPr>
          <w:b/>
          <w:color w:val="auto"/>
          <w:kern w:val="2"/>
          <w:sz w:val="28"/>
          <w:highlight w:val="none"/>
        </w:rPr>
      </w:pPr>
      <w:r>
        <w:rPr>
          <w:color w:val="auto"/>
          <w:kern w:val="2"/>
          <w:highlight w:val="none"/>
        </w:rPr>
        <w:br w:type="page"/>
      </w:r>
    </w:p>
    <w:p>
      <w:pPr>
        <w:snapToGrid w:val="0"/>
        <w:rPr>
          <w:b/>
          <w:color w:val="auto"/>
          <w:kern w:val="2"/>
          <w:sz w:val="28"/>
          <w:highlight w:val="none"/>
        </w:rPr>
      </w:pPr>
      <w:r>
        <w:rPr>
          <w:rFonts w:hint="eastAsia"/>
          <w:b/>
          <w:color w:val="auto"/>
          <w:kern w:val="2"/>
          <w:sz w:val="28"/>
          <w:highlight w:val="none"/>
        </w:rPr>
        <w:t>附录2  资格审查条件（业绩最低要求）</w:t>
      </w:r>
    </w:p>
    <w:tbl>
      <w:tblPr>
        <w:tblStyle w:val="3"/>
        <w:tblW w:w="0" w:type="auto"/>
        <w:tblInd w:w="108" w:type="dxa"/>
        <w:tblLayout w:type="fixed"/>
        <w:tblCellMar>
          <w:top w:w="0" w:type="dxa"/>
          <w:left w:w="0" w:type="dxa"/>
          <w:bottom w:w="0" w:type="dxa"/>
          <w:right w:w="0" w:type="dxa"/>
        </w:tblCellMar>
      </w:tblPr>
      <w:tblGrid>
        <w:gridCol w:w="9639"/>
      </w:tblGrid>
      <w:tr>
        <w:tblPrEx>
          <w:tblCellMar>
            <w:top w:w="0" w:type="dxa"/>
            <w:left w:w="0" w:type="dxa"/>
            <w:bottom w:w="0" w:type="dxa"/>
            <w:right w:w="0" w:type="dxa"/>
          </w:tblCellMar>
        </w:tblPrEx>
        <w:trPr>
          <w:trHeight w:val="779" w:hRule="atLeast"/>
        </w:trPr>
        <w:tc>
          <w:tcPr>
            <w:tcW w:w="9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b/>
                <w:color w:val="auto"/>
                <w:kern w:val="2"/>
                <w:sz w:val="28"/>
                <w:highlight w:val="none"/>
              </w:rPr>
            </w:pPr>
            <w:r>
              <w:rPr>
                <w:rFonts w:hint="eastAsia"/>
                <w:b/>
                <w:color w:val="auto"/>
                <w:kern w:val="2"/>
                <w:sz w:val="28"/>
                <w:highlight w:val="none"/>
                <w:lang w:eastAsia="en-US"/>
              </w:rPr>
              <w:t>企业业绩要求</w:t>
            </w:r>
          </w:p>
        </w:tc>
      </w:tr>
      <w:tr>
        <w:tblPrEx>
          <w:tblCellMar>
            <w:top w:w="0" w:type="dxa"/>
            <w:left w:w="0" w:type="dxa"/>
            <w:bottom w:w="0" w:type="dxa"/>
            <w:right w:w="0" w:type="dxa"/>
          </w:tblCellMar>
        </w:tblPrEx>
        <w:trPr>
          <w:trHeight w:val="1285" w:hRule="atLeast"/>
        </w:trPr>
        <w:tc>
          <w:tcPr>
            <w:tcW w:w="9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40" w:lineRule="exact"/>
              <w:rPr>
                <w:color w:val="auto"/>
                <w:kern w:val="2"/>
                <w:sz w:val="24"/>
                <w:highlight w:val="none"/>
              </w:rPr>
            </w:pPr>
            <w:r>
              <w:rPr>
                <w:rFonts w:hint="eastAsia"/>
                <w:color w:val="auto"/>
                <w:kern w:val="2"/>
                <w:sz w:val="28"/>
                <w:szCs w:val="24"/>
                <w:highlight w:val="none"/>
              </w:rPr>
              <w:t>本项目资格审查条件不要求企业业绩</w:t>
            </w:r>
          </w:p>
        </w:tc>
      </w:tr>
    </w:tbl>
    <w:p>
      <w:pPr>
        <w:snapToGrid w:val="0"/>
        <w:rPr>
          <w:b/>
          <w:color w:val="auto"/>
          <w:kern w:val="2"/>
          <w:sz w:val="28"/>
          <w:highlight w:val="none"/>
        </w:rPr>
      </w:pPr>
    </w:p>
    <w:p>
      <w:pPr>
        <w:widowControl/>
        <w:snapToGrid w:val="0"/>
        <w:rPr>
          <w:b/>
          <w:color w:val="auto"/>
          <w:kern w:val="2"/>
          <w:sz w:val="28"/>
          <w:highlight w:val="none"/>
        </w:rPr>
      </w:pPr>
      <w:r>
        <w:rPr>
          <w:color w:val="auto"/>
          <w:kern w:val="2"/>
          <w:highlight w:val="none"/>
        </w:rPr>
        <w:br w:type="page"/>
      </w:r>
      <w:r>
        <w:rPr>
          <w:rFonts w:hint="eastAsia"/>
          <w:b/>
          <w:color w:val="auto"/>
          <w:kern w:val="2"/>
          <w:sz w:val="28"/>
          <w:highlight w:val="none"/>
        </w:rPr>
        <w:t>附录3 资格审查条件（信誉最低要求）</w:t>
      </w:r>
    </w:p>
    <w:tbl>
      <w:tblPr>
        <w:tblStyle w:val="3"/>
        <w:tblW w:w="0" w:type="auto"/>
        <w:tblInd w:w="0" w:type="dxa"/>
        <w:tblLayout w:type="fixed"/>
        <w:tblCellMar>
          <w:top w:w="0" w:type="dxa"/>
          <w:left w:w="0" w:type="dxa"/>
          <w:bottom w:w="0" w:type="dxa"/>
          <w:right w:w="0" w:type="dxa"/>
        </w:tblCellMar>
      </w:tblPr>
      <w:tblGrid>
        <w:gridCol w:w="9639"/>
      </w:tblGrid>
      <w:tr>
        <w:tblPrEx>
          <w:tblCellMar>
            <w:top w:w="0" w:type="dxa"/>
            <w:left w:w="0" w:type="dxa"/>
            <w:bottom w:w="0" w:type="dxa"/>
            <w:right w:w="0" w:type="dxa"/>
          </w:tblCellMar>
        </w:tblPrEx>
        <w:trPr>
          <w:trHeight w:val="779" w:hRule="atLeast"/>
        </w:trPr>
        <w:tc>
          <w:tcPr>
            <w:tcW w:w="9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b/>
                <w:color w:val="auto"/>
                <w:kern w:val="2"/>
                <w:sz w:val="28"/>
                <w:highlight w:val="none"/>
              </w:rPr>
            </w:pPr>
            <w:r>
              <w:rPr>
                <w:rFonts w:hint="eastAsia"/>
                <w:b/>
                <w:color w:val="auto"/>
                <w:kern w:val="2"/>
                <w:sz w:val="28"/>
                <w:highlight w:val="none"/>
              </w:rPr>
              <w:t>企业信誉要求</w:t>
            </w:r>
          </w:p>
        </w:tc>
      </w:tr>
      <w:tr>
        <w:tblPrEx>
          <w:tblCellMar>
            <w:top w:w="0" w:type="dxa"/>
            <w:left w:w="0" w:type="dxa"/>
            <w:bottom w:w="0" w:type="dxa"/>
            <w:right w:w="0" w:type="dxa"/>
          </w:tblCellMar>
        </w:tblPrEx>
        <w:trPr>
          <w:trHeight w:val="7858" w:hRule="atLeast"/>
        </w:trPr>
        <w:tc>
          <w:tcPr>
            <w:tcW w:w="9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ind w:left="108"/>
              <w:rPr>
                <w:color w:val="auto"/>
                <w:kern w:val="2"/>
                <w:sz w:val="24"/>
                <w:highlight w:val="none"/>
              </w:rPr>
            </w:pPr>
            <w:r>
              <w:rPr>
                <w:color w:val="auto"/>
                <w:kern w:val="2"/>
                <w:sz w:val="24"/>
                <w:highlight w:val="none"/>
              </w:rPr>
              <w:t>1.投标人没有正受到责令停业的行政处罚或正处于财务被接管、冻结、破产的状态。</w:t>
            </w:r>
          </w:p>
          <w:p>
            <w:pPr>
              <w:snapToGrid w:val="0"/>
              <w:spacing w:before="45" w:line="360" w:lineRule="auto"/>
              <w:ind w:left="108"/>
              <w:rPr>
                <w:color w:val="auto"/>
                <w:kern w:val="2"/>
                <w:sz w:val="24"/>
                <w:highlight w:val="none"/>
              </w:rPr>
            </w:pPr>
            <w:r>
              <w:rPr>
                <w:color w:val="auto"/>
                <w:kern w:val="2"/>
                <w:sz w:val="24"/>
                <w:highlight w:val="none"/>
              </w:rPr>
              <w:t>2.投标人没有正受到交通运输部、贵州省交通运输厅取消投标资格的行政处罚，并且目前正处于处罚期内。</w:t>
            </w:r>
          </w:p>
          <w:p>
            <w:pPr>
              <w:snapToGrid w:val="0"/>
              <w:spacing w:before="43" w:line="360" w:lineRule="auto"/>
              <w:ind w:left="108"/>
              <w:rPr>
                <w:color w:val="auto"/>
                <w:kern w:val="2"/>
                <w:sz w:val="24"/>
                <w:highlight w:val="none"/>
              </w:rPr>
            </w:pPr>
            <w:r>
              <w:rPr>
                <w:color w:val="auto"/>
                <w:kern w:val="2"/>
                <w:sz w:val="24"/>
                <w:highlight w:val="none"/>
              </w:rPr>
              <w:t>3.投标人未涉及正在诉讼的案件，或涉及正在诉讼的案件但经评标委员会认定不会对承担本项目造成重大影响。</w:t>
            </w:r>
          </w:p>
          <w:p>
            <w:pPr>
              <w:snapToGrid w:val="0"/>
              <w:spacing w:before="42" w:line="360" w:lineRule="auto"/>
              <w:ind w:left="108"/>
              <w:rPr>
                <w:color w:val="auto"/>
                <w:kern w:val="2"/>
                <w:sz w:val="24"/>
                <w:highlight w:val="none"/>
              </w:rPr>
            </w:pPr>
            <w:r>
              <w:rPr>
                <w:color w:val="auto"/>
                <w:kern w:val="2"/>
                <w:sz w:val="24"/>
                <w:highlight w:val="none"/>
              </w:rPr>
              <w:t>4.投标人在201</w:t>
            </w:r>
            <w:r>
              <w:rPr>
                <w:rFonts w:hint="eastAsia"/>
                <w:color w:val="auto"/>
                <w:kern w:val="2"/>
                <w:sz w:val="24"/>
                <w:highlight w:val="none"/>
                <w:lang w:val="en-US" w:eastAsia="zh-CN"/>
              </w:rPr>
              <w:t>6</w:t>
            </w:r>
            <w:r>
              <w:rPr>
                <w:color w:val="auto"/>
                <w:kern w:val="2"/>
                <w:sz w:val="24"/>
                <w:highlight w:val="none"/>
              </w:rPr>
              <w:t>年1月1日至投标截止日内所</w:t>
            </w:r>
            <w:r>
              <w:rPr>
                <w:rFonts w:hint="eastAsia"/>
                <w:color w:val="auto"/>
                <w:kern w:val="2"/>
                <w:sz w:val="24"/>
                <w:highlight w:val="none"/>
              </w:rPr>
              <w:t>承担</w:t>
            </w:r>
            <w:r>
              <w:rPr>
                <w:color w:val="auto"/>
                <w:kern w:val="2"/>
                <w:sz w:val="24"/>
                <w:highlight w:val="none"/>
              </w:rPr>
              <w:t>过的工程未发生过重大安全责任事故或质量事故，未存在重大合同纠纷。</w:t>
            </w:r>
          </w:p>
          <w:p>
            <w:pPr>
              <w:snapToGrid w:val="0"/>
              <w:spacing w:before="42" w:line="360" w:lineRule="auto"/>
              <w:ind w:left="108"/>
              <w:rPr>
                <w:color w:val="auto"/>
                <w:kern w:val="2"/>
                <w:sz w:val="24"/>
                <w:highlight w:val="none"/>
              </w:rPr>
            </w:pPr>
            <w:r>
              <w:rPr>
                <w:color w:val="auto"/>
                <w:kern w:val="2"/>
                <w:sz w:val="24"/>
                <w:highlight w:val="none"/>
              </w:rPr>
              <w:t>5.投标人在201</w:t>
            </w:r>
            <w:r>
              <w:rPr>
                <w:rFonts w:hint="eastAsia"/>
                <w:color w:val="auto"/>
                <w:kern w:val="2"/>
                <w:sz w:val="24"/>
                <w:highlight w:val="none"/>
                <w:lang w:val="en-US" w:eastAsia="zh-CN"/>
              </w:rPr>
              <w:t>6</w:t>
            </w:r>
            <w:r>
              <w:rPr>
                <w:color w:val="auto"/>
                <w:kern w:val="2"/>
                <w:sz w:val="24"/>
                <w:highlight w:val="none"/>
              </w:rPr>
              <w:t>年1月1日至投标截止日内未发生过骗取中标和严重违约及重大工程质量问题。</w:t>
            </w:r>
          </w:p>
          <w:p>
            <w:pPr>
              <w:snapToGrid w:val="0"/>
              <w:spacing w:before="42" w:line="360" w:lineRule="auto"/>
              <w:ind w:left="108"/>
              <w:rPr>
                <w:b/>
                <w:color w:val="auto"/>
                <w:kern w:val="2"/>
                <w:sz w:val="28"/>
                <w:highlight w:val="none"/>
              </w:rPr>
            </w:pPr>
            <w:r>
              <w:rPr>
                <w:color w:val="auto"/>
                <w:kern w:val="2"/>
                <w:sz w:val="24"/>
                <w:highlight w:val="none"/>
              </w:rPr>
              <w:t>6.投标人根据《贵州省交通运输厅关于印发&lt;贵州省高速公路设计施工企业信用评价实施细则（试行）的通知》黔交建设〔2016〕279号文件及《贵州省交通运输厅关于高速公路设计施工企业信用评价结果引用的补充通知》黔交建设〔2016〕291号文件认定的最新信用评价等级为C级及以上。</w:t>
            </w:r>
          </w:p>
        </w:tc>
      </w:tr>
    </w:tbl>
    <w:p>
      <w:pPr>
        <w:snapToGrid w:val="0"/>
        <w:rPr>
          <w:b/>
          <w:color w:val="auto"/>
          <w:kern w:val="2"/>
          <w:sz w:val="28"/>
          <w:highlight w:val="none"/>
        </w:rPr>
      </w:pPr>
    </w:p>
    <w:p>
      <w:pPr>
        <w:widowControl/>
        <w:snapToGrid w:val="0"/>
        <w:rPr>
          <w:b/>
          <w:color w:val="auto"/>
          <w:kern w:val="2"/>
          <w:sz w:val="28"/>
          <w:highlight w:val="none"/>
        </w:rPr>
      </w:pPr>
    </w:p>
    <w:p>
      <w:pPr>
        <w:snapToGrid w:val="0"/>
        <w:rPr>
          <w:b/>
          <w:color w:val="auto"/>
          <w:kern w:val="2"/>
          <w:sz w:val="28"/>
          <w:highlight w:val="none"/>
        </w:rPr>
      </w:pPr>
    </w:p>
    <w:p>
      <w:pPr>
        <w:snapToGrid w:val="0"/>
        <w:rPr>
          <w:b/>
          <w:color w:val="auto"/>
          <w:kern w:val="2"/>
          <w:sz w:val="28"/>
          <w:highlight w:val="none"/>
        </w:rPr>
      </w:pPr>
    </w:p>
    <w:p>
      <w:pPr>
        <w:widowControl/>
        <w:snapToGrid w:val="0"/>
        <w:rPr>
          <w:rFonts w:hint="eastAsia"/>
          <w:b/>
          <w:color w:val="auto"/>
          <w:kern w:val="2"/>
          <w:sz w:val="28"/>
          <w:highlight w:val="none"/>
        </w:rPr>
      </w:pPr>
      <w:r>
        <w:rPr>
          <w:color w:val="auto"/>
          <w:kern w:val="2"/>
          <w:highlight w:val="none"/>
        </w:rPr>
        <w:br w:type="page"/>
      </w:r>
      <w:r>
        <w:rPr>
          <w:rFonts w:hint="eastAsia"/>
          <w:b/>
          <w:color w:val="auto"/>
          <w:kern w:val="2"/>
          <w:sz w:val="28"/>
          <w:highlight w:val="none"/>
        </w:rPr>
        <w:t>附录4  资格审查条件（主要人员最低要求）</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795"/>
        <w:gridCol w:w="5595"/>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atLeast"/>
        </w:trPr>
        <w:tc>
          <w:tcPr>
            <w:tcW w:w="1467" w:type="dxa"/>
            <w:tcBorders>
              <w:tl2br w:val="nil"/>
              <w:tr2bl w:val="nil"/>
            </w:tcBorders>
            <w:noWrap w:val="0"/>
            <w:tcMar>
              <w:top w:w="0" w:type="dxa"/>
              <w:left w:w="108" w:type="dxa"/>
              <w:bottom w:w="0" w:type="dxa"/>
              <w:right w:w="108" w:type="dxa"/>
            </w:tcMar>
            <w:vAlign w:val="center"/>
          </w:tcPr>
          <w:p>
            <w:pPr>
              <w:snapToGrid w:val="0"/>
              <w:jc w:val="center"/>
              <w:rPr>
                <w:color w:val="auto"/>
                <w:kern w:val="2"/>
                <w:sz w:val="28"/>
                <w:highlight w:val="none"/>
              </w:rPr>
            </w:pPr>
            <w:r>
              <w:rPr>
                <w:rFonts w:hint="eastAsia"/>
                <w:color w:val="auto"/>
                <w:kern w:val="2"/>
                <w:sz w:val="28"/>
                <w:highlight w:val="none"/>
                <w:lang w:eastAsia="en-US"/>
              </w:rPr>
              <w:t>人员</w:t>
            </w:r>
          </w:p>
        </w:tc>
        <w:tc>
          <w:tcPr>
            <w:tcW w:w="795" w:type="dxa"/>
            <w:tcBorders>
              <w:tl2br w:val="nil"/>
              <w:tr2bl w:val="nil"/>
            </w:tcBorders>
            <w:noWrap w:val="0"/>
            <w:tcMar>
              <w:top w:w="0" w:type="dxa"/>
              <w:left w:w="108" w:type="dxa"/>
              <w:bottom w:w="0" w:type="dxa"/>
              <w:right w:w="108" w:type="dxa"/>
            </w:tcMar>
            <w:vAlign w:val="center"/>
          </w:tcPr>
          <w:p>
            <w:pPr>
              <w:snapToGrid w:val="0"/>
              <w:jc w:val="center"/>
              <w:rPr>
                <w:color w:val="auto"/>
                <w:kern w:val="2"/>
                <w:sz w:val="28"/>
                <w:highlight w:val="none"/>
              </w:rPr>
            </w:pPr>
            <w:r>
              <w:rPr>
                <w:rFonts w:hint="eastAsia"/>
                <w:color w:val="auto"/>
                <w:kern w:val="2"/>
                <w:sz w:val="28"/>
                <w:highlight w:val="none"/>
                <w:lang w:eastAsia="en-US"/>
              </w:rPr>
              <w:t>数量</w:t>
            </w:r>
          </w:p>
        </w:tc>
        <w:tc>
          <w:tcPr>
            <w:tcW w:w="5595" w:type="dxa"/>
            <w:tcBorders>
              <w:tl2br w:val="nil"/>
              <w:tr2bl w:val="nil"/>
            </w:tcBorders>
            <w:noWrap w:val="0"/>
            <w:tcMar>
              <w:top w:w="0" w:type="dxa"/>
              <w:left w:w="108" w:type="dxa"/>
              <w:bottom w:w="0" w:type="dxa"/>
              <w:right w:w="108" w:type="dxa"/>
            </w:tcMar>
            <w:vAlign w:val="center"/>
          </w:tcPr>
          <w:p>
            <w:pPr>
              <w:snapToGrid w:val="0"/>
              <w:jc w:val="center"/>
              <w:rPr>
                <w:color w:val="auto"/>
                <w:kern w:val="2"/>
                <w:sz w:val="28"/>
                <w:highlight w:val="none"/>
              </w:rPr>
            </w:pPr>
            <w:r>
              <w:rPr>
                <w:rFonts w:hint="eastAsia"/>
                <w:color w:val="auto"/>
                <w:kern w:val="2"/>
                <w:sz w:val="28"/>
                <w:highlight w:val="none"/>
                <w:lang w:eastAsia="en-US"/>
              </w:rPr>
              <w:t>资格要求</w:t>
            </w:r>
          </w:p>
        </w:tc>
        <w:tc>
          <w:tcPr>
            <w:tcW w:w="1890" w:type="dxa"/>
            <w:tcBorders>
              <w:tl2br w:val="nil"/>
              <w:tr2bl w:val="nil"/>
            </w:tcBorders>
            <w:noWrap w:val="0"/>
            <w:tcMar>
              <w:top w:w="0" w:type="dxa"/>
              <w:left w:w="108" w:type="dxa"/>
              <w:bottom w:w="0" w:type="dxa"/>
              <w:right w:w="108" w:type="dxa"/>
            </w:tcMar>
            <w:vAlign w:val="center"/>
          </w:tcPr>
          <w:p>
            <w:pPr>
              <w:snapToGrid w:val="0"/>
              <w:jc w:val="center"/>
              <w:rPr>
                <w:color w:val="auto"/>
                <w:kern w:val="2"/>
                <w:sz w:val="28"/>
                <w:highlight w:val="none"/>
              </w:rPr>
            </w:pPr>
            <w:r>
              <w:rPr>
                <w:rFonts w:hint="eastAsia"/>
                <w:color w:val="auto"/>
                <w:kern w:val="2"/>
                <w:sz w:val="28"/>
                <w:highlight w:val="none"/>
                <w:lang w:eastAsia="en-US"/>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467" w:type="dxa"/>
            <w:tcBorders>
              <w:tl2br w:val="nil"/>
              <w:tr2bl w:val="nil"/>
            </w:tcBorders>
            <w:noWrap w:val="0"/>
            <w:tcMar>
              <w:top w:w="0" w:type="dxa"/>
              <w:left w:w="108" w:type="dxa"/>
              <w:bottom w:w="0" w:type="dxa"/>
              <w:right w:w="108" w:type="dxa"/>
            </w:tcMar>
            <w:vAlign w:val="center"/>
          </w:tcPr>
          <w:p>
            <w:pPr>
              <w:snapToGrid w:val="0"/>
              <w:jc w:val="center"/>
              <w:rPr>
                <w:color w:val="auto"/>
                <w:kern w:val="2"/>
                <w:sz w:val="28"/>
                <w:highlight w:val="none"/>
              </w:rPr>
            </w:pPr>
            <w:r>
              <w:rPr>
                <w:rFonts w:ascii="宋体" w:hAnsi="宋体" w:cs="宋体"/>
                <w:color w:val="auto"/>
                <w:sz w:val="21"/>
                <w:szCs w:val="22"/>
                <w:highlight w:val="none"/>
                <w:lang w:eastAsia="en-US"/>
              </w:rPr>
              <w:t>项目负责人</w:t>
            </w:r>
          </w:p>
        </w:tc>
        <w:tc>
          <w:tcPr>
            <w:tcW w:w="795" w:type="dxa"/>
            <w:tcBorders>
              <w:tl2br w:val="nil"/>
              <w:tr2bl w:val="nil"/>
            </w:tcBorders>
            <w:noWrap w:val="0"/>
            <w:tcMar>
              <w:top w:w="0" w:type="dxa"/>
              <w:left w:w="108" w:type="dxa"/>
              <w:bottom w:w="0" w:type="dxa"/>
              <w:right w:w="108" w:type="dxa"/>
            </w:tcMar>
            <w:vAlign w:val="center"/>
          </w:tcPr>
          <w:p>
            <w:pPr>
              <w:snapToGrid w:val="0"/>
              <w:jc w:val="center"/>
              <w:rPr>
                <w:rFonts w:hint="eastAsia"/>
                <w:b/>
                <w:color w:val="auto"/>
                <w:kern w:val="2"/>
                <w:sz w:val="28"/>
                <w:highlight w:val="none"/>
              </w:rPr>
            </w:pPr>
            <w:r>
              <w:rPr>
                <w:rFonts w:hint="eastAsia"/>
                <w:b/>
                <w:color w:val="auto"/>
                <w:kern w:val="2"/>
                <w:sz w:val="28"/>
                <w:highlight w:val="none"/>
              </w:rPr>
              <w:t>1</w:t>
            </w:r>
          </w:p>
        </w:tc>
        <w:tc>
          <w:tcPr>
            <w:tcW w:w="5595" w:type="dxa"/>
            <w:tcBorders>
              <w:tl2br w:val="nil"/>
              <w:tr2bl w:val="nil"/>
            </w:tcBorders>
            <w:noWrap w:val="0"/>
            <w:tcMar>
              <w:top w:w="0" w:type="dxa"/>
              <w:left w:w="108" w:type="dxa"/>
              <w:bottom w:w="0" w:type="dxa"/>
              <w:right w:w="108" w:type="dxa"/>
            </w:tcMar>
            <w:vAlign w:val="center"/>
          </w:tcPr>
          <w:p>
            <w:pPr>
              <w:snapToGrid w:val="0"/>
              <w:rPr>
                <w:rFonts w:hint="eastAsia" w:ascii="宋体" w:hAnsi="宋体" w:cs="宋体"/>
                <w:color w:val="auto"/>
                <w:sz w:val="21"/>
                <w:szCs w:val="22"/>
                <w:highlight w:val="none"/>
              </w:rPr>
            </w:pPr>
            <w:r>
              <w:rPr>
                <w:rFonts w:hint="eastAsia" w:ascii="宋体" w:hAnsi="宋体" w:cs="宋体"/>
                <w:color w:val="auto"/>
                <w:sz w:val="21"/>
                <w:szCs w:val="22"/>
                <w:highlight w:val="none"/>
              </w:rPr>
              <w:t>高级及以上职称，且具有5年及以上公路试验检测工作经验，为投标人自有人员。</w:t>
            </w:r>
          </w:p>
          <w:p>
            <w:pPr>
              <w:snapToGrid w:val="0"/>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持有交通运输部质量监督局（站）或交通运输部职业资格中心颁发的试验检测师</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lang w:val="en-US" w:eastAsia="zh-CN"/>
              </w:rPr>
              <w:t>或试验检测工程师</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证书（专业：机电工程）</w:t>
            </w:r>
            <w:r>
              <w:rPr>
                <w:rFonts w:hint="eastAsia" w:ascii="宋体" w:hAnsi="宋体" w:cs="宋体"/>
                <w:color w:val="auto"/>
                <w:sz w:val="21"/>
                <w:szCs w:val="22"/>
                <w:highlight w:val="none"/>
                <w:lang w:eastAsia="zh-CN"/>
              </w:rPr>
              <w:t>。</w:t>
            </w:r>
          </w:p>
        </w:tc>
        <w:tc>
          <w:tcPr>
            <w:tcW w:w="1890" w:type="dxa"/>
            <w:vMerge w:val="restart"/>
            <w:tcBorders>
              <w:tl2br w:val="nil"/>
              <w:tr2bl w:val="nil"/>
            </w:tcBorders>
            <w:noWrap w:val="0"/>
            <w:tcMar>
              <w:top w:w="0" w:type="dxa"/>
              <w:left w:w="108" w:type="dxa"/>
              <w:bottom w:w="0" w:type="dxa"/>
              <w:right w:w="108" w:type="dxa"/>
            </w:tcMar>
            <w:vAlign w:val="center"/>
          </w:tcPr>
          <w:p>
            <w:pPr>
              <w:snapToGrid w:val="0"/>
              <w:rPr>
                <w:rFonts w:hint="eastAsia" w:ascii="宋体" w:hAnsi="宋体" w:cs="宋体"/>
                <w:color w:val="auto"/>
                <w:sz w:val="21"/>
                <w:szCs w:val="22"/>
                <w:highlight w:val="none"/>
              </w:rPr>
            </w:pPr>
            <w:r>
              <w:rPr>
                <w:rFonts w:hint="eastAsia" w:ascii="宋体" w:hAnsi="宋体" w:cs="宋体"/>
                <w:color w:val="auto"/>
                <w:sz w:val="21"/>
                <w:szCs w:val="22"/>
                <w:highlight w:val="none"/>
              </w:rPr>
              <w:t>无在岗项目（指目前未在其他项目上任职，或虽在项目上任职但本项目中标后能够从该项目撤离）</w:t>
            </w:r>
          </w:p>
          <w:p>
            <w:pPr>
              <w:snapToGrid w:val="0"/>
              <w:ind w:firstLine="420" w:firstLineChars="200"/>
              <w:rPr>
                <w:rFonts w:hint="eastAsia" w:ascii="宋体" w:hAnsi="宋体" w:cs="宋体"/>
                <w:color w:val="auto"/>
                <w:sz w:val="2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467" w:type="dxa"/>
            <w:tcBorders>
              <w:tl2br w:val="nil"/>
              <w:tr2bl w:val="nil"/>
            </w:tcBorders>
            <w:noWrap w:val="0"/>
            <w:tcMar>
              <w:top w:w="0" w:type="dxa"/>
              <w:left w:w="108" w:type="dxa"/>
              <w:bottom w:w="0" w:type="dxa"/>
              <w:right w:w="108" w:type="dxa"/>
            </w:tcMar>
            <w:vAlign w:val="center"/>
          </w:tcPr>
          <w:p>
            <w:pPr>
              <w:snapToGrid w:val="0"/>
              <w:jc w:val="center"/>
              <w:rPr>
                <w:rFonts w:ascii="宋体" w:hAnsi="宋体" w:cs="宋体"/>
                <w:color w:val="auto"/>
                <w:sz w:val="21"/>
                <w:szCs w:val="22"/>
                <w:highlight w:val="none"/>
                <w:lang w:eastAsia="en-US"/>
              </w:rPr>
            </w:pPr>
            <w:r>
              <w:rPr>
                <w:rFonts w:hint="eastAsia" w:ascii="宋体" w:hAnsi="宋体" w:cs="宋体"/>
                <w:color w:val="auto"/>
                <w:sz w:val="21"/>
                <w:szCs w:val="22"/>
                <w:highlight w:val="none"/>
                <w:lang w:eastAsia="en-US"/>
              </w:rPr>
              <w:t>技术负责人</w:t>
            </w:r>
          </w:p>
        </w:tc>
        <w:tc>
          <w:tcPr>
            <w:tcW w:w="795" w:type="dxa"/>
            <w:tcBorders>
              <w:tl2br w:val="nil"/>
              <w:tr2bl w:val="nil"/>
            </w:tcBorders>
            <w:noWrap w:val="0"/>
            <w:tcMar>
              <w:top w:w="0" w:type="dxa"/>
              <w:left w:w="108" w:type="dxa"/>
              <w:bottom w:w="0" w:type="dxa"/>
              <w:right w:w="108" w:type="dxa"/>
            </w:tcMar>
            <w:vAlign w:val="center"/>
          </w:tcPr>
          <w:p>
            <w:pPr>
              <w:snapToGrid w:val="0"/>
              <w:jc w:val="center"/>
              <w:rPr>
                <w:rFonts w:hint="eastAsia"/>
                <w:b/>
                <w:color w:val="auto"/>
                <w:kern w:val="2"/>
                <w:sz w:val="28"/>
                <w:highlight w:val="none"/>
              </w:rPr>
            </w:pPr>
            <w:r>
              <w:rPr>
                <w:rFonts w:hint="eastAsia"/>
                <w:b/>
                <w:color w:val="auto"/>
                <w:kern w:val="2"/>
                <w:sz w:val="28"/>
                <w:highlight w:val="none"/>
              </w:rPr>
              <w:t>1</w:t>
            </w:r>
          </w:p>
        </w:tc>
        <w:tc>
          <w:tcPr>
            <w:tcW w:w="5595" w:type="dxa"/>
            <w:tcBorders>
              <w:tl2br w:val="nil"/>
              <w:tr2bl w:val="nil"/>
            </w:tcBorders>
            <w:noWrap w:val="0"/>
            <w:tcMar>
              <w:top w:w="0" w:type="dxa"/>
              <w:left w:w="108" w:type="dxa"/>
              <w:bottom w:w="0" w:type="dxa"/>
              <w:right w:w="108" w:type="dxa"/>
            </w:tcMar>
            <w:vAlign w:val="center"/>
          </w:tcPr>
          <w:p>
            <w:pPr>
              <w:snapToGrid w:val="0"/>
              <w:rPr>
                <w:rFonts w:hint="eastAsia" w:ascii="宋体" w:hAnsi="宋体" w:cs="宋体"/>
                <w:color w:val="auto"/>
                <w:sz w:val="21"/>
                <w:szCs w:val="22"/>
                <w:highlight w:val="none"/>
              </w:rPr>
            </w:pPr>
            <w:r>
              <w:rPr>
                <w:rFonts w:hint="eastAsia" w:ascii="宋体" w:hAnsi="宋体" w:cs="宋体"/>
                <w:color w:val="auto"/>
                <w:sz w:val="21"/>
                <w:szCs w:val="22"/>
                <w:highlight w:val="none"/>
              </w:rPr>
              <w:t>高级及以上职称，且具有5年及以上公路试验检测工作经验，为投标人自有人员。</w:t>
            </w:r>
          </w:p>
          <w:p>
            <w:pPr>
              <w:snapToGrid w:val="0"/>
              <w:rPr>
                <w:rFonts w:hint="eastAsia" w:ascii="宋体" w:hAnsi="宋体" w:cs="宋体"/>
                <w:color w:val="auto"/>
                <w:sz w:val="21"/>
                <w:szCs w:val="22"/>
                <w:highlight w:val="none"/>
              </w:rPr>
            </w:pPr>
            <w:r>
              <w:rPr>
                <w:rFonts w:hint="eastAsia" w:ascii="宋体" w:hAnsi="宋体" w:cs="宋体"/>
                <w:color w:val="auto"/>
                <w:sz w:val="21"/>
                <w:szCs w:val="22"/>
                <w:highlight w:val="none"/>
              </w:rPr>
              <w:t>持有交通运输部质量监督局（站）或交通运输部职业资格中心颁发的试验检测师</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lang w:val="en-US" w:eastAsia="zh-CN"/>
              </w:rPr>
              <w:t>或试验检测工程师</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证书（专业：机电工程）</w:t>
            </w:r>
            <w:r>
              <w:rPr>
                <w:rFonts w:hint="eastAsia" w:ascii="宋体" w:hAnsi="宋体" w:cs="宋体"/>
                <w:color w:val="auto"/>
                <w:sz w:val="21"/>
                <w:szCs w:val="22"/>
                <w:highlight w:val="none"/>
                <w:lang w:eastAsia="zh-CN"/>
              </w:rPr>
              <w:t>。</w:t>
            </w:r>
          </w:p>
        </w:tc>
        <w:tc>
          <w:tcPr>
            <w:tcW w:w="1890" w:type="dxa"/>
            <w:vMerge w:val="continue"/>
            <w:tcBorders>
              <w:tl2br w:val="nil"/>
              <w:tr2bl w:val="nil"/>
            </w:tcBorders>
            <w:noWrap w:val="0"/>
            <w:tcMar>
              <w:top w:w="0" w:type="dxa"/>
              <w:left w:w="108" w:type="dxa"/>
              <w:bottom w:w="0" w:type="dxa"/>
              <w:right w:w="108" w:type="dxa"/>
            </w:tcMar>
            <w:vAlign w:val="center"/>
          </w:tcPr>
          <w:p>
            <w:pPr>
              <w:snapToGrid w:val="0"/>
              <w:ind w:firstLine="420" w:firstLineChars="200"/>
              <w:rPr>
                <w:rFonts w:hint="eastAsia" w:ascii="宋体" w:hAnsi="宋体" w:cs="宋体"/>
                <w:color w:val="auto"/>
                <w:sz w:val="21"/>
                <w:szCs w:val="22"/>
                <w:highlight w:val="none"/>
              </w:rPr>
            </w:pPr>
          </w:p>
        </w:tc>
      </w:tr>
    </w:tbl>
    <w:p>
      <w:pPr>
        <w:snapToGrid w:val="0"/>
        <w:rPr>
          <w:b/>
          <w:color w:val="auto"/>
          <w:kern w:val="2"/>
          <w:sz w:val="28"/>
          <w:highlight w:val="none"/>
        </w:rPr>
      </w:pPr>
    </w:p>
    <w:p>
      <w:pPr>
        <w:widowControl/>
        <w:snapToGrid w:val="0"/>
        <w:spacing w:line="360" w:lineRule="auto"/>
        <w:rPr>
          <w:rFonts w:hint="eastAsia"/>
          <w:color w:val="auto"/>
          <w:kern w:val="2"/>
          <w:highlight w:val="none"/>
        </w:rPr>
      </w:pPr>
      <w:r>
        <w:rPr>
          <w:rFonts w:hint="eastAsia"/>
          <w:color w:val="auto"/>
          <w:kern w:val="2"/>
          <w:highlight w:val="none"/>
        </w:rPr>
        <w:t>注：</w:t>
      </w:r>
    </w:p>
    <w:p>
      <w:pPr>
        <w:widowControl/>
        <w:snapToGrid w:val="0"/>
        <w:spacing w:line="360" w:lineRule="auto"/>
        <w:ind w:firstLine="220" w:firstLineChars="100"/>
        <w:rPr>
          <w:rFonts w:hint="eastAsia"/>
          <w:color w:val="auto"/>
          <w:kern w:val="2"/>
          <w:highlight w:val="none"/>
        </w:rPr>
      </w:pPr>
      <w:r>
        <w:rPr>
          <w:rFonts w:hint="eastAsia"/>
          <w:color w:val="auto"/>
          <w:kern w:val="2"/>
          <w:highlight w:val="none"/>
        </w:rPr>
        <w:t>1. 以上为本项目各合同段所需配备的最低人员要求，如不满足项目实际需求，招标人有权要求中标人加派人员直至满足项目要求；</w:t>
      </w:r>
    </w:p>
    <w:p>
      <w:pPr>
        <w:widowControl/>
        <w:snapToGrid w:val="0"/>
        <w:spacing w:line="360" w:lineRule="auto"/>
        <w:ind w:firstLine="220" w:firstLineChars="100"/>
        <w:rPr>
          <w:rFonts w:hint="eastAsia"/>
          <w:color w:val="auto"/>
          <w:kern w:val="2"/>
          <w:highlight w:val="none"/>
        </w:rPr>
      </w:pPr>
      <w:r>
        <w:rPr>
          <w:rFonts w:hint="eastAsia"/>
          <w:color w:val="auto"/>
          <w:kern w:val="2"/>
          <w:highlight w:val="none"/>
        </w:rPr>
        <w:t>2. 投标人拟投入的项目负责人、技术负责人应当在投标文件中填报，其他管理和技术人员无须在投标文件中填报，具体人选由招标人和中标人在合同谈判阶段确定，但其他管理和技术人员必须满足本表的要求；</w:t>
      </w:r>
    </w:p>
    <w:p>
      <w:pPr>
        <w:widowControl/>
        <w:snapToGrid w:val="0"/>
        <w:spacing w:line="360" w:lineRule="auto"/>
        <w:ind w:firstLine="220" w:firstLineChars="100"/>
        <w:rPr>
          <w:color w:val="auto"/>
          <w:kern w:val="2"/>
          <w:highlight w:val="none"/>
        </w:rPr>
      </w:pPr>
      <w:r>
        <w:rPr>
          <w:rFonts w:hint="eastAsia"/>
          <w:color w:val="auto"/>
          <w:kern w:val="2"/>
          <w:highlight w:val="none"/>
        </w:rPr>
        <w:t>3.项目负责人（技术负责人）须附的证明资料为：毕业证、身份证、职称证书、</w:t>
      </w:r>
      <w:r>
        <w:rPr>
          <w:rFonts w:hint="eastAsia"/>
          <w:color w:val="auto"/>
          <w:kern w:val="2"/>
          <w:highlight w:val="none"/>
          <w:lang w:eastAsia="zh-CN"/>
        </w:rPr>
        <w:t>试验检测师</w:t>
      </w:r>
      <w:r>
        <w:rPr>
          <w:rFonts w:hint="eastAsia"/>
          <w:color w:val="auto"/>
          <w:kern w:val="2"/>
          <w:highlight w:val="none"/>
        </w:rPr>
        <w:t>证书、社保缴纳证明、业绩证明的复印件（如有），复印件需加盖投标人单位公章。业绩证明材料中须明示该人员担任项目负责人（技术负责人）。业绩证明资料:合同协议书和业主出具的相关证明文件复印件或者合同协议和质量监督部门出具的相关证明文件。如投标人未提供相关业绩证明材料的复印件或相关业绩证明材料的信息无法证实投标人满足招标文件规定的评分要求，则该业绩不予认定。</w:t>
      </w:r>
    </w:p>
    <w:p>
      <w:pPr>
        <w:widowControl/>
        <w:tabs>
          <w:tab w:val="left" w:pos="933"/>
        </w:tabs>
        <w:snapToGrid w:val="0"/>
        <w:rPr>
          <w:rFonts w:hint="eastAsia"/>
          <w:b/>
          <w:color w:val="auto"/>
          <w:kern w:val="2"/>
          <w:sz w:val="28"/>
          <w:highlight w:val="none"/>
        </w:rPr>
      </w:pPr>
      <w:r>
        <w:rPr>
          <w:color w:val="auto"/>
          <w:kern w:val="2"/>
          <w:highlight w:val="none"/>
        </w:rPr>
        <w:br w:type="page"/>
      </w:r>
      <w:r>
        <w:rPr>
          <w:rFonts w:hint="eastAsia"/>
          <w:b/>
          <w:color w:val="auto"/>
          <w:kern w:val="2"/>
          <w:sz w:val="28"/>
          <w:highlight w:val="none"/>
        </w:rPr>
        <w:t>附录 5 资格审查条件（试验、检测设备及交通设施要求）</w:t>
      </w:r>
    </w:p>
    <w:p>
      <w:pPr>
        <w:snapToGrid w:val="0"/>
        <w:ind w:firstLine="420" w:firstLineChars="200"/>
        <w:jc w:val="both"/>
        <w:rPr>
          <w:rFonts w:hint="eastAsia" w:ascii="宋体" w:hAnsi="宋体" w:cs="宋体"/>
          <w:color w:val="auto"/>
          <w:sz w:val="21"/>
          <w:szCs w:val="22"/>
          <w:highlight w:val="none"/>
          <w:lang w:val="en-US" w:eastAsia="zh-CN"/>
        </w:rPr>
      </w:pPr>
    </w:p>
    <w:p>
      <w:pPr>
        <w:snapToGrid w:val="0"/>
        <w:ind w:firstLine="420" w:firstLineChars="200"/>
        <w:jc w:val="both"/>
        <w:rPr>
          <w:rFonts w:hint="eastAsia" w:ascii="宋体" w:hAnsi="宋体" w:cs="宋体"/>
          <w:color w:val="auto"/>
          <w:sz w:val="21"/>
          <w:szCs w:val="22"/>
          <w:highlight w:val="none"/>
          <w:lang w:val="en-US" w:eastAsia="zh-CN"/>
        </w:rPr>
      </w:pPr>
      <w:r>
        <w:rPr>
          <w:rFonts w:hint="eastAsia" w:ascii="宋体" w:hAnsi="宋体" w:cs="宋体"/>
          <w:color w:val="auto"/>
          <w:sz w:val="21"/>
          <w:szCs w:val="22"/>
          <w:highlight w:val="none"/>
          <w:lang w:val="en-US" w:eastAsia="zh-CN"/>
        </w:rPr>
        <w:t>在进行“试验、检测设备及交通设施要求”资格审查时，只审查投标人在投标文件中提供的拟投入设备有关承诺是否满足要求。如不满足所列资格审查要求，将被认为资格审查不合格。</w:t>
      </w:r>
    </w:p>
    <w:p>
      <w:pPr>
        <w:snapToGrid w:val="0"/>
        <w:rPr>
          <w:color w:val="auto"/>
          <w:kern w:val="2"/>
          <w:sz w:val="21"/>
          <w:highlight w:val="none"/>
        </w:rPr>
      </w:pPr>
    </w:p>
    <w:p>
      <w:pPr>
        <w:snapToGrid w:val="0"/>
        <w:jc w:val="both"/>
        <w:rPr>
          <w:rFonts w:hint="eastAsia"/>
          <w:color w:val="auto"/>
          <w:kern w:val="2"/>
          <w:sz w:val="21"/>
          <w:szCs w:val="22"/>
          <w:highlight w:val="none"/>
          <w:lang w:val="en-US" w:eastAsia="zh-CN"/>
        </w:rPr>
      </w:pPr>
      <w:r>
        <w:rPr>
          <w:rFonts w:hint="eastAsia"/>
          <w:color w:val="auto"/>
          <w:kern w:val="2"/>
          <w:sz w:val="21"/>
          <w:szCs w:val="22"/>
          <w:highlight w:val="none"/>
          <w:lang w:val="en-US" w:eastAsia="zh-CN"/>
        </w:rPr>
        <w:t>投标人须承诺承诺：</w:t>
      </w:r>
    </w:p>
    <w:p>
      <w:pPr>
        <w:snapToGrid w:val="0"/>
        <w:jc w:val="both"/>
        <w:rPr>
          <w:rFonts w:hint="eastAsia" w:eastAsia="宋体"/>
          <w:color w:val="auto"/>
          <w:kern w:val="2"/>
          <w:sz w:val="21"/>
          <w:szCs w:val="22"/>
          <w:highlight w:val="none"/>
          <w:lang w:eastAsia="zh-CN"/>
        </w:rPr>
      </w:pPr>
      <w:r>
        <w:rPr>
          <w:rFonts w:hint="eastAsia"/>
          <w:color w:val="auto"/>
          <w:kern w:val="2"/>
          <w:sz w:val="21"/>
          <w:szCs w:val="22"/>
          <w:highlight w:val="none"/>
          <w:lang w:val="en-US" w:eastAsia="zh-CN"/>
        </w:rPr>
        <w:t>1.试验、检测</w:t>
      </w:r>
      <w:r>
        <w:rPr>
          <w:rFonts w:hint="eastAsia"/>
          <w:color w:val="auto"/>
          <w:kern w:val="2"/>
          <w:sz w:val="21"/>
          <w:szCs w:val="22"/>
          <w:highlight w:val="none"/>
        </w:rPr>
        <w:t>设备</w:t>
      </w:r>
      <w:r>
        <w:rPr>
          <w:rFonts w:hint="eastAsia"/>
          <w:color w:val="auto"/>
          <w:kern w:val="2"/>
          <w:sz w:val="21"/>
          <w:szCs w:val="22"/>
          <w:highlight w:val="none"/>
          <w:lang w:eastAsia="zh-CN"/>
        </w:rPr>
        <w:t>、主要办公设施、交通工具</w:t>
      </w:r>
      <w:r>
        <w:rPr>
          <w:rFonts w:hint="eastAsia"/>
          <w:color w:val="auto"/>
          <w:kern w:val="2"/>
          <w:sz w:val="21"/>
          <w:szCs w:val="22"/>
          <w:highlight w:val="none"/>
        </w:rPr>
        <w:t>应结合本工程项目实际情况配备</w:t>
      </w:r>
      <w:r>
        <w:rPr>
          <w:rFonts w:hint="eastAsia"/>
          <w:color w:val="auto"/>
          <w:kern w:val="2"/>
          <w:sz w:val="21"/>
          <w:szCs w:val="22"/>
          <w:highlight w:val="none"/>
          <w:lang w:val="en-US" w:eastAsia="zh-CN"/>
        </w:rPr>
        <w:t>的</w:t>
      </w:r>
      <w:r>
        <w:rPr>
          <w:rFonts w:hint="eastAsia"/>
          <w:color w:val="auto"/>
          <w:kern w:val="2"/>
          <w:sz w:val="21"/>
          <w:szCs w:val="22"/>
          <w:highlight w:val="none"/>
        </w:rPr>
        <w:t>设备、仪器，数量充足，确保各种设备、仪器</w:t>
      </w:r>
      <w:r>
        <w:rPr>
          <w:rFonts w:hint="eastAsia"/>
          <w:color w:val="auto"/>
          <w:kern w:val="2"/>
          <w:sz w:val="21"/>
          <w:szCs w:val="22"/>
          <w:highlight w:val="none"/>
          <w:lang w:eastAsia="zh-CN"/>
        </w:rPr>
        <w:t>、</w:t>
      </w:r>
      <w:r>
        <w:rPr>
          <w:rFonts w:hint="eastAsia"/>
          <w:color w:val="auto"/>
          <w:kern w:val="2"/>
          <w:sz w:val="21"/>
          <w:szCs w:val="22"/>
          <w:highlight w:val="none"/>
          <w:lang w:val="en-US" w:eastAsia="zh-CN"/>
        </w:rPr>
        <w:t>软件</w:t>
      </w:r>
      <w:r>
        <w:rPr>
          <w:rFonts w:hint="eastAsia"/>
          <w:color w:val="auto"/>
          <w:kern w:val="2"/>
          <w:sz w:val="21"/>
          <w:szCs w:val="22"/>
          <w:highlight w:val="none"/>
        </w:rPr>
        <w:t>全面满足试验检测工作需要，试验设备应包含设备的全套配件，并自行完善试验设备的安全防护装置。</w:t>
      </w:r>
      <w:r>
        <w:rPr>
          <w:rFonts w:hint="eastAsia"/>
          <w:color w:val="auto"/>
          <w:kern w:val="2"/>
          <w:sz w:val="21"/>
          <w:szCs w:val="22"/>
          <w:highlight w:val="none"/>
          <w:lang w:eastAsia="zh-CN"/>
        </w:rPr>
        <w:t>（</w:t>
      </w:r>
      <w:r>
        <w:rPr>
          <w:rFonts w:hint="eastAsia"/>
          <w:color w:val="auto"/>
          <w:kern w:val="2"/>
          <w:sz w:val="21"/>
          <w:szCs w:val="22"/>
          <w:highlight w:val="none"/>
          <w:lang w:val="en-US" w:eastAsia="zh-CN"/>
        </w:rPr>
        <w:t>投标人提供承诺加盖公章</w:t>
      </w:r>
      <w:r>
        <w:rPr>
          <w:rFonts w:hint="eastAsia"/>
          <w:color w:val="auto"/>
          <w:kern w:val="2"/>
          <w:sz w:val="21"/>
          <w:szCs w:val="22"/>
          <w:highlight w:val="none"/>
          <w:lang w:eastAsia="zh-CN"/>
        </w:rPr>
        <w:t>）</w:t>
      </w:r>
    </w:p>
    <w:p>
      <w:pPr>
        <w:snapToGrid w:val="0"/>
        <w:jc w:val="both"/>
        <w:rPr>
          <w:rFonts w:hint="eastAsia"/>
          <w:color w:val="auto"/>
          <w:kern w:val="2"/>
          <w:sz w:val="21"/>
          <w:szCs w:val="22"/>
          <w:highlight w:val="none"/>
        </w:rPr>
      </w:pPr>
      <w:r>
        <w:rPr>
          <w:rFonts w:hint="eastAsia"/>
          <w:color w:val="auto"/>
          <w:kern w:val="2"/>
          <w:sz w:val="21"/>
          <w:szCs w:val="22"/>
          <w:highlight w:val="none"/>
          <w:lang w:val="en-US" w:eastAsia="zh-CN"/>
        </w:rPr>
        <w:t>2</w:t>
      </w:r>
      <w:r>
        <w:rPr>
          <w:rFonts w:hint="eastAsia"/>
          <w:color w:val="auto"/>
          <w:kern w:val="2"/>
          <w:sz w:val="21"/>
          <w:szCs w:val="22"/>
          <w:highlight w:val="none"/>
        </w:rPr>
        <w:t>.投入的试验、检测设备应能满足项目</w:t>
      </w:r>
      <w:r>
        <w:rPr>
          <w:rFonts w:hint="eastAsia"/>
          <w:color w:val="auto"/>
          <w:kern w:val="2"/>
          <w:sz w:val="21"/>
          <w:szCs w:val="22"/>
          <w:highlight w:val="none"/>
          <w:lang w:val="en-US" w:eastAsia="zh-CN"/>
        </w:rPr>
        <w:t>机电工程交（竣）工</w:t>
      </w:r>
      <w:r>
        <w:rPr>
          <w:rFonts w:hint="eastAsia"/>
          <w:color w:val="auto"/>
          <w:kern w:val="2"/>
          <w:sz w:val="21"/>
          <w:szCs w:val="22"/>
          <w:highlight w:val="none"/>
        </w:rPr>
        <w:t>检测的需求。在试验检测过程中，如需要投入更多的试验、检测设备，中标人须无条件增加投入实际工程所需的试验、检测设备的种类和数量，直至满足工程需要。产生的费用包含在投标报价中，不再另行支付。</w:t>
      </w:r>
      <w:r>
        <w:rPr>
          <w:rFonts w:hint="eastAsia"/>
          <w:color w:val="auto"/>
          <w:kern w:val="2"/>
          <w:sz w:val="21"/>
          <w:szCs w:val="22"/>
          <w:highlight w:val="none"/>
          <w:lang w:eastAsia="zh-CN"/>
        </w:rPr>
        <w:t>（</w:t>
      </w:r>
      <w:r>
        <w:rPr>
          <w:rFonts w:hint="eastAsia"/>
          <w:color w:val="auto"/>
          <w:kern w:val="2"/>
          <w:sz w:val="21"/>
          <w:szCs w:val="22"/>
          <w:highlight w:val="none"/>
          <w:lang w:val="en-US" w:eastAsia="zh-CN"/>
        </w:rPr>
        <w:t>投标人提供承诺加盖公章</w:t>
      </w:r>
      <w:r>
        <w:rPr>
          <w:rFonts w:hint="eastAsia"/>
          <w:color w:val="auto"/>
          <w:kern w:val="2"/>
          <w:sz w:val="21"/>
          <w:szCs w:val="22"/>
          <w:highlight w:val="none"/>
          <w:lang w:eastAsia="zh-CN"/>
        </w:rPr>
        <w:t>）</w:t>
      </w:r>
    </w:p>
    <w:p>
      <w:pPr>
        <w:numPr>
          <w:ilvl w:val="0"/>
          <w:numId w:val="0"/>
        </w:numPr>
        <w:snapToGrid w:val="0"/>
        <w:rPr>
          <w:color w:val="auto"/>
          <w:kern w:val="2"/>
          <w:sz w:val="21"/>
          <w:highlight w:val="none"/>
        </w:rPr>
      </w:pPr>
      <w:r>
        <w:rPr>
          <w:color w:val="auto"/>
          <w:kern w:val="2"/>
          <w:sz w:val="21"/>
          <w:highlight w:val="none"/>
        </w:rPr>
        <w:t>3</w:t>
      </w:r>
      <w:r>
        <w:rPr>
          <w:rFonts w:hint="eastAsia"/>
          <w:color w:val="auto"/>
          <w:kern w:val="2"/>
          <w:sz w:val="21"/>
          <w:highlight w:val="none"/>
          <w:lang w:val="en-US" w:eastAsia="zh-CN"/>
        </w:rPr>
        <w:t>.</w:t>
      </w:r>
      <w:r>
        <w:rPr>
          <w:color w:val="auto"/>
          <w:kern w:val="2"/>
          <w:sz w:val="21"/>
          <w:highlight w:val="none"/>
        </w:rPr>
        <w:t>车辆配置：现场配置的车辆按发包人项目管理要求应安装GPS，并将行使数据上传至</w:t>
      </w:r>
      <w:r>
        <w:rPr>
          <w:rFonts w:hint="eastAsia"/>
          <w:color w:val="auto"/>
          <w:kern w:val="2"/>
          <w:sz w:val="21"/>
          <w:highlight w:val="none"/>
          <w:lang w:eastAsia="zh-CN"/>
        </w:rPr>
        <w:t>项目公司</w:t>
      </w:r>
      <w:r>
        <w:rPr>
          <w:color w:val="auto"/>
          <w:kern w:val="2"/>
          <w:sz w:val="21"/>
          <w:highlight w:val="none"/>
        </w:rPr>
        <w:t>。</w:t>
      </w:r>
      <w:r>
        <w:rPr>
          <w:rFonts w:hint="eastAsia"/>
          <w:color w:val="auto"/>
          <w:kern w:val="2"/>
          <w:sz w:val="21"/>
          <w:szCs w:val="22"/>
          <w:highlight w:val="none"/>
          <w:lang w:eastAsia="zh-CN"/>
        </w:rPr>
        <w:t>（</w:t>
      </w:r>
      <w:r>
        <w:rPr>
          <w:rFonts w:hint="eastAsia"/>
          <w:color w:val="auto"/>
          <w:kern w:val="2"/>
          <w:sz w:val="21"/>
          <w:szCs w:val="22"/>
          <w:highlight w:val="none"/>
          <w:lang w:val="en-US" w:eastAsia="zh-CN"/>
        </w:rPr>
        <w:t>投标人提供承诺加盖公章</w:t>
      </w:r>
      <w:r>
        <w:rPr>
          <w:rFonts w:hint="eastAsia"/>
          <w:color w:val="auto"/>
          <w:kern w:val="2"/>
          <w:sz w:val="21"/>
          <w:szCs w:val="22"/>
          <w:highlight w:val="none"/>
          <w:lang w:eastAsia="zh-CN"/>
        </w:rPr>
        <w:t>）</w:t>
      </w:r>
    </w:p>
    <w:p>
      <w:pPr>
        <w:rPr>
          <w:color w:val="auto"/>
        </w:rPr>
      </w:pPr>
      <w:r>
        <w:rPr>
          <w:color w:val="auto"/>
        </w:rPr>
        <w:br w:type="page"/>
      </w:r>
    </w:p>
    <w:p>
      <w:pPr>
        <w:snapToGrid w:val="0"/>
        <w:spacing w:before="97" w:line="357" w:lineRule="auto"/>
        <w:ind w:right="170"/>
        <w:rPr>
          <w:color w:val="auto"/>
          <w:kern w:val="2"/>
          <w:highlight w:val="none"/>
        </w:rPr>
      </w:pPr>
      <w:r>
        <w:rPr>
          <w:rFonts w:hint="eastAsia"/>
          <w:color w:val="auto"/>
          <w:kern w:val="2"/>
          <w:highlight w:val="none"/>
        </w:rPr>
        <w:t>评标办法前附表</w:t>
      </w:r>
    </w:p>
    <w:tbl>
      <w:tblPr>
        <w:tblStyle w:val="3"/>
        <w:tblW w:w="0" w:type="auto"/>
        <w:jc w:val="center"/>
        <w:tblLayout w:type="fixed"/>
        <w:tblCellMar>
          <w:top w:w="0" w:type="dxa"/>
          <w:left w:w="0" w:type="dxa"/>
          <w:bottom w:w="0" w:type="dxa"/>
          <w:right w:w="0" w:type="dxa"/>
        </w:tblCellMar>
      </w:tblPr>
      <w:tblGrid>
        <w:gridCol w:w="935"/>
        <w:gridCol w:w="1065"/>
        <w:gridCol w:w="7639"/>
      </w:tblGrid>
      <w:tr>
        <w:tblPrEx>
          <w:tblCellMar>
            <w:top w:w="0" w:type="dxa"/>
            <w:left w:w="0" w:type="dxa"/>
            <w:bottom w:w="0" w:type="dxa"/>
            <w:right w:w="0" w:type="dxa"/>
          </w:tblCellMar>
        </w:tblPrEx>
        <w:trPr>
          <w:jc w:val="center"/>
        </w:trPr>
        <w:tc>
          <w:tcPr>
            <w:tcW w:w="20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88" w:lineRule="auto"/>
              <w:ind w:left="100" w:right="170"/>
              <w:jc w:val="center"/>
              <w:rPr>
                <w:rFonts w:ascii="黑体" w:hAnsi="黑体" w:eastAsia="黑体"/>
                <w:color w:val="auto"/>
                <w:kern w:val="2"/>
                <w:sz w:val="28"/>
                <w:szCs w:val="28"/>
                <w:highlight w:val="none"/>
              </w:rPr>
            </w:pPr>
            <w:r>
              <w:rPr>
                <w:rFonts w:hint="eastAsia" w:ascii="黑体" w:hAnsi="黑体" w:eastAsia="黑体"/>
                <w:color w:val="auto"/>
                <w:kern w:val="2"/>
                <w:sz w:val="28"/>
                <w:szCs w:val="28"/>
                <w:highlight w:val="none"/>
              </w:rPr>
              <w:t>条款号</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88" w:lineRule="auto"/>
              <w:ind w:left="100" w:right="170"/>
              <w:jc w:val="center"/>
              <w:rPr>
                <w:rFonts w:ascii="黑体" w:hAnsi="黑体" w:eastAsia="黑体"/>
                <w:color w:val="auto"/>
                <w:kern w:val="2"/>
                <w:sz w:val="28"/>
                <w:szCs w:val="28"/>
                <w:highlight w:val="none"/>
              </w:rPr>
            </w:pPr>
            <w:r>
              <w:rPr>
                <w:rFonts w:hint="eastAsia" w:ascii="黑体" w:hAnsi="黑体" w:eastAsia="黑体"/>
                <w:color w:val="auto"/>
                <w:kern w:val="2"/>
                <w:sz w:val="28"/>
                <w:szCs w:val="28"/>
                <w:highlight w:val="none"/>
              </w:rPr>
              <w:t>评审因素与评审标准</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00" w:right="170"/>
              <w:jc w:val="center"/>
              <w:rPr>
                <w:color w:val="auto"/>
                <w:kern w:val="2"/>
                <w:sz w:val="24"/>
                <w:szCs w:val="24"/>
                <w:highlight w:val="none"/>
              </w:rPr>
            </w:pPr>
            <w:r>
              <w:rPr>
                <w:color w:val="auto"/>
                <w:kern w:val="2"/>
                <w:sz w:val="24"/>
                <w:szCs w:val="24"/>
                <w:highlight w:val="none"/>
              </w:rPr>
              <w:t>1</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评标办法</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right="170"/>
              <w:jc w:val="both"/>
              <w:rPr>
                <w:color w:val="auto"/>
                <w:kern w:val="2"/>
                <w:sz w:val="24"/>
                <w:szCs w:val="24"/>
                <w:highlight w:val="none"/>
              </w:rPr>
            </w:pPr>
            <w:r>
              <w:rPr>
                <w:color w:val="auto"/>
                <w:kern w:val="2"/>
                <w:sz w:val="24"/>
                <w:szCs w:val="24"/>
                <w:highlight w:val="none"/>
              </w:rPr>
              <w:t>综合评分相等时，评标委员会依次按照以下优先顺序推荐中标候选人或确定中标人</w:t>
            </w:r>
          </w:p>
          <w:p>
            <w:pPr>
              <w:snapToGrid w:val="0"/>
              <w:spacing w:line="288" w:lineRule="auto"/>
              <w:ind w:left="850" w:right="170" w:hanging="425"/>
              <w:jc w:val="both"/>
              <w:rPr>
                <w:color w:val="auto"/>
                <w:kern w:val="2"/>
                <w:sz w:val="24"/>
                <w:szCs w:val="24"/>
                <w:highlight w:val="none"/>
              </w:rPr>
            </w:pPr>
            <w:r>
              <w:rPr>
                <w:color w:val="auto"/>
                <w:kern w:val="2"/>
                <w:sz w:val="24"/>
                <w:szCs w:val="24"/>
                <w:highlight w:val="none"/>
              </w:rPr>
              <w:t>1）评标价低的投标人优先</w:t>
            </w:r>
          </w:p>
          <w:p>
            <w:pPr>
              <w:snapToGrid w:val="0"/>
              <w:spacing w:line="288" w:lineRule="auto"/>
              <w:ind w:left="850" w:right="170" w:hanging="425"/>
              <w:jc w:val="both"/>
              <w:rPr>
                <w:color w:val="auto"/>
                <w:kern w:val="2"/>
                <w:sz w:val="24"/>
                <w:szCs w:val="24"/>
                <w:highlight w:val="none"/>
              </w:rPr>
            </w:pPr>
            <w:r>
              <w:rPr>
                <w:color w:val="auto"/>
                <w:kern w:val="2"/>
                <w:sz w:val="24"/>
                <w:szCs w:val="24"/>
                <w:highlight w:val="none"/>
              </w:rPr>
              <w:t>2）</w:t>
            </w:r>
            <w:r>
              <w:rPr>
                <w:rFonts w:hint="eastAsia"/>
                <w:color w:val="auto"/>
                <w:kern w:val="2"/>
                <w:sz w:val="24"/>
                <w:szCs w:val="24"/>
                <w:highlight w:val="none"/>
              </w:rPr>
              <w:t>以评标时采用的信用等级较高的的投标人优先；</w:t>
            </w:r>
          </w:p>
          <w:p>
            <w:pPr>
              <w:snapToGrid w:val="0"/>
              <w:spacing w:line="288" w:lineRule="auto"/>
              <w:ind w:left="850" w:right="170" w:hanging="425"/>
              <w:jc w:val="both"/>
              <w:rPr>
                <w:color w:val="auto"/>
                <w:kern w:val="2"/>
                <w:sz w:val="24"/>
                <w:szCs w:val="24"/>
                <w:highlight w:val="none"/>
              </w:rPr>
            </w:pPr>
            <w:r>
              <w:rPr>
                <w:color w:val="auto"/>
                <w:kern w:val="2"/>
                <w:sz w:val="24"/>
                <w:szCs w:val="24"/>
                <w:highlight w:val="none"/>
              </w:rPr>
              <w:t>3）商务和技术得分较高的投标人优先</w:t>
            </w:r>
          </w:p>
          <w:p>
            <w:pPr>
              <w:snapToGrid w:val="0"/>
              <w:spacing w:line="288" w:lineRule="auto"/>
              <w:ind w:left="850" w:right="170" w:hanging="425"/>
              <w:jc w:val="both"/>
              <w:rPr>
                <w:rFonts w:hint="eastAsia"/>
                <w:color w:val="auto"/>
                <w:kern w:val="2"/>
                <w:sz w:val="24"/>
                <w:szCs w:val="24"/>
                <w:highlight w:val="none"/>
              </w:rPr>
            </w:pPr>
            <w:r>
              <w:rPr>
                <w:rFonts w:hint="eastAsia"/>
                <w:color w:val="auto"/>
                <w:kern w:val="2"/>
                <w:sz w:val="24"/>
                <w:szCs w:val="24"/>
                <w:highlight w:val="none"/>
              </w:rPr>
              <w:t>4）标书款交纳时间较早的优先。</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00" w:right="170"/>
              <w:jc w:val="center"/>
              <w:rPr>
                <w:color w:val="auto"/>
                <w:kern w:val="2"/>
                <w:sz w:val="24"/>
                <w:szCs w:val="24"/>
                <w:highlight w:val="none"/>
              </w:rPr>
            </w:pPr>
            <w:r>
              <w:rPr>
                <w:color w:val="auto"/>
                <w:kern w:val="2"/>
                <w:sz w:val="24"/>
                <w:szCs w:val="24"/>
                <w:highlight w:val="none"/>
              </w:rPr>
              <w:t>2.1.1</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形式评审与响应性评审标准</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00" w:right="170"/>
              <w:jc w:val="both"/>
              <w:rPr>
                <w:color w:val="auto"/>
                <w:kern w:val="2"/>
                <w:sz w:val="24"/>
                <w:szCs w:val="24"/>
                <w:highlight w:val="none"/>
              </w:rPr>
            </w:pPr>
            <w:r>
              <w:rPr>
                <w:color w:val="auto"/>
                <w:kern w:val="2"/>
                <w:sz w:val="24"/>
                <w:szCs w:val="24"/>
                <w:highlight w:val="none"/>
              </w:rPr>
              <w:t>第一信封（商务及技术文件）评审标准：</w:t>
            </w: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投标文件按照招标文件规定的额格式、内容填写、字迹清晰可辨；</w:t>
            </w:r>
          </w:p>
          <w:p>
            <w:pPr>
              <w:numPr>
                <w:ilvl w:val="0"/>
                <w:numId w:val="2"/>
              </w:numPr>
              <w:snapToGrid w:val="0"/>
              <w:spacing w:line="288" w:lineRule="auto"/>
              <w:ind w:firstLine="496"/>
              <w:rPr>
                <w:color w:val="auto"/>
                <w:kern w:val="2"/>
                <w:sz w:val="24"/>
                <w:szCs w:val="24"/>
                <w:highlight w:val="none"/>
              </w:rPr>
            </w:pPr>
            <w:r>
              <w:rPr>
                <w:rFonts w:hint="eastAsia"/>
                <w:color w:val="auto"/>
                <w:kern w:val="2"/>
                <w:sz w:val="24"/>
                <w:szCs w:val="24"/>
                <w:highlight w:val="none"/>
              </w:rPr>
              <w:t>投标函按招标文件规定填报了项目名称、补遗书编号（如有）、服务期限、工程质量要求及安全目标</w:t>
            </w:r>
            <w:r>
              <w:rPr>
                <w:color w:val="auto"/>
                <w:kern w:val="2"/>
                <w:sz w:val="24"/>
                <w:szCs w:val="24"/>
                <w:highlight w:val="none"/>
              </w:rPr>
              <w:t>；</w:t>
            </w:r>
          </w:p>
          <w:p>
            <w:pPr>
              <w:numPr>
                <w:ilvl w:val="0"/>
                <w:numId w:val="2"/>
              </w:numPr>
              <w:snapToGrid w:val="0"/>
              <w:spacing w:line="288" w:lineRule="auto"/>
              <w:ind w:firstLine="496"/>
              <w:rPr>
                <w:color w:val="auto"/>
                <w:kern w:val="2"/>
                <w:sz w:val="24"/>
                <w:szCs w:val="24"/>
                <w:highlight w:val="none"/>
              </w:rPr>
            </w:pPr>
            <w:r>
              <w:rPr>
                <w:color w:val="auto"/>
                <w:kern w:val="2"/>
                <w:sz w:val="24"/>
                <w:szCs w:val="24"/>
                <w:highlight w:val="none"/>
              </w:rPr>
              <w:t>投标文件组成齐全完整，内容均按规定填写。</w:t>
            </w: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投标文件上法定代表人或其委托代理人的签字、投标人的单位盖章齐全，符合招标文件规定。</w:t>
            </w: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投标人按照招标文件的规定提供了投标保证金；</w:t>
            </w:r>
          </w:p>
          <w:p>
            <w:pPr>
              <w:numPr>
                <w:ilvl w:val="0"/>
                <w:numId w:val="3"/>
              </w:numPr>
              <w:snapToGrid w:val="0"/>
              <w:spacing w:line="288" w:lineRule="auto"/>
              <w:ind w:firstLine="496"/>
              <w:rPr>
                <w:color w:val="auto"/>
                <w:kern w:val="2"/>
                <w:sz w:val="24"/>
                <w:szCs w:val="24"/>
                <w:highlight w:val="none"/>
              </w:rPr>
            </w:pPr>
            <w:r>
              <w:rPr>
                <w:color w:val="auto"/>
                <w:kern w:val="2"/>
                <w:sz w:val="24"/>
                <w:szCs w:val="24"/>
                <w:highlight w:val="none"/>
              </w:rPr>
              <w:t>投标保证金金额符合招标文件规定的金额，且投标保证金有效期不少于投标有效期；</w:t>
            </w:r>
          </w:p>
          <w:p>
            <w:pPr>
              <w:numPr>
                <w:ilvl w:val="0"/>
                <w:numId w:val="3"/>
              </w:numPr>
              <w:snapToGrid w:val="0"/>
              <w:spacing w:line="288" w:lineRule="auto"/>
              <w:ind w:firstLine="496"/>
              <w:rPr>
                <w:color w:val="auto"/>
                <w:kern w:val="2"/>
                <w:sz w:val="24"/>
                <w:szCs w:val="24"/>
                <w:highlight w:val="none"/>
              </w:rPr>
            </w:pPr>
            <w:r>
              <w:rPr>
                <w:color w:val="auto"/>
                <w:kern w:val="2"/>
                <w:sz w:val="24"/>
                <w:szCs w:val="24"/>
                <w:highlight w:val="none"/>
              </w:rPr>
              <w:t>若投标保证金采用现金或支票形式提交，投标人应在递交投标文件截止时间之前，将投标保证金由投标人的基本账户转入招标人指定账户:</w:t>
            </w:r>
          </w:p>
          <w:p>
            <w:pPr>
              <w:numPr>
                <w:ilvl w:val="0"/>
                <w:numId w:val="3"/>
              </w:numPr>
              <w:snapToGrid w:val="0"/>
              <w:spacing w:line="288" w:lineRule="auto"/>
              <w:ind w:firstLine="496"/>
              <w:rPr>
                <w:color w:val="auto"/>
                <w:kern w:val="2"/>
                <w:sz w:val="24"/>
                <w:szCs w:val="24"/>
                <w:highlight w:val="none"/>
              </w:rPr>
            </w:pPr>
            <w:r>
              <w:rPr>
                <w:color w:val="auto"/>
                <w:kern w:val="2"/>
                <w:sz w:val="24"/>
                <w:szCs w:val="24"/>
                <w:highlight w:val="none"/>
              </w:rPr>
              <w:t>若投标保证金采用银行保函形式提交，银行保函的格式、开具保函的银行均满足招标文件要求，且在递交投标文件截止时间之前向招标人提交了银行保函原件。</w:t>
            </w:r>
          </w:p>
          <w:p>
            <w:pPr>
              <w:numPr>
                <w:ilvl w:val="0"/>
                <w:numId w:val="3"/>
              </w:numPr>
              <w:snapToGrid w:val="0"/>
              <w:spacing w:line="288" w:lineRule="auto"/>
              <w:ind w:firstLine="496"/>
              <w:rPr>
                <w:color w:val="auto"/>
                <w:kern w:val="2"/>
                <w:sz w:val="24"/>
                <w:szCs w:val="24"/>
                <w:highlight w:val="none"/>
              </w:rPr>
            </w:pPr>
            <w:r>
              <w:rPr>
                <w:color w:val="auto"/>
                <w:kern w:val="2"/>
                <w:sz w:val="24"/>
                <w:szCs w:val="24"/>
                <w:highlight w:val="none"/>
              </w:rPr>
              <w:t>若投标保证金采用</w:t>
            </w:r>
            <w:r>
              <w:rPr>
                <w:rFonts w:hint="eastAsia"/>
                <w:color w:val="auto"/>
                <w:kern w:val="2"/>
                <w:sz w:val="24"/>
                <w:szCs w:val="24"/>
                <w:highlight w:val="none"/>
                <w:lang w:eastAsia="zh-CN"/>
              </w:rPr>
              <w:t>保证保险</w:t>
            </w:r>
            <w:r>
              <w:rPr>
                <w:color w:val="auto"/>
                <w:kern w:val="2"/>
                <w:sz w:val="24"/>
                <w:szCs w:val="24"/>
                <w:highlight w:val="none"/>
              </w:rPr>
              <w:t>形式提交，</w:t>
            </w:r>
            <w:r>
              <w:rPr>
                <w:rFonts w:hint="eastAsia"/>
                <w:color w:val="auto"/>
                <w:kern w:val="2"/>
                <w:sz w:val="24"/>
                <w:szCs w:val="24"/>
                <w:highlight w:val="none"/>
                <w:lang w:eastAsia="zh-CN"/>
              </w:rPr>
              <w:t>保证保险</w:t>
            </w:r>
            <w:r>
              <w:rPr>
                <w:color w:val="auto"/>
                <w:kern w:val="2"/>
                <w:sz w:val="24"/>
                <w:szCs w:val="24"/>
                <w:highlight w:val="none"/>
              </w:rPr>
              <w:t>的格式、开具的</w:t>
            </w:r>
            <w:r>
              <w:rPr>
                <w:rFonts w:hint="eastAsia"/>
                <w:color w:val="auto"/>
                <w:kern w:val="2"/>
                <w:sz w:val="24"/>
                <w:szCs w:val="24"/>
                <w:highlight w:val="none"/>
                <w:lang w:eastAsia="zh-CN"/>
              </w:rPr>
              <w:t>单位</w:t>
            </w:r>
            <w:r>
              <w:rPr>
                <w:color w:val="auto"/>
                <w:kern w:val="2"/>
                <w:sz w:val="24"/>
                <w:szCs w:val="24"/>
                <w:highlight w:val="none"/>
              </w:rPr>
              <w:t>均满足招标文件要求，且在递交投标文件截止时间之前向招标人提交了</w:t>
            </w:r>
            <w:r>
              <w:rPr>
                <w:rFonts w:hint="eastAsia"/>
                <w:color w:val="auto"/>
                <w:kern w:val="2"/>
                <w:sz w:val="24"/>
                <w:szCs w:val="24"/>
                <w:highlight w:val="none"/>
                <w:lang w:eastAsia="zh-CN"/>
              </w:rPr>
              <w:t>保证保险</w:t>
            </w:r>
            <w:r>
              <w:rPr>
                <w:color w:val="auto"/>
                <w:kern w:val="2"/>
                <w:sz w:val="24"/>
                <w:szCs w:val="24"/>
                <w:highlight w:val="none"/>
              </w:rPr>
              <w:t>原件。</w:t>
            </w:r>
          </w:p>
          <w:p>
            <w:pPr>
              <w:numPr>
                <w:ilvl w:val="0"/>
                <w:numId w:val="0"/>
              </w:numPr>
              <w:snapToGrid w:val="0"/>
              <w:spacing w:line="288" w:lineRule="auto"/>
              <w:ind w:left="496" w:leftChars="0"/>
              <w:rPr>
                <w:color w:val="auto"/>
                <w:kern w:val="2"/>
                <w:sz w:val="24"/>
                <w:szCs w:val="24"/>
                <w:highlight w:val="none"/>
              </w:rPr>
            </w:pP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投标人法定代表人授权委托代理人签署投标文件的，须提交授权委托书，且授权人和被授权人均在授权委托书上签名，未使用印章签名章或其他电子制版签名代替。</w:t>
            </w:r>
          </w:p>
          <w:p>
            <w:pPr>
              <w:numPr>
                <w:ilvl w:val="0"/>
                <w:numId w:val="1"/>
              </w:numPr>
              <w:snapToGrid w:val="0"/>
              <w:spacing w:line="288" w:lineRule="auto"/>
              <w:ind w:left="425"/>
              <w:rPr>
                <w:rFonts w:hint="eastAsia"/>
                <w:color w:val="auto"/>
                <w:kern w:val="2"/>
                <w:sz w:val="24"/>
                <w:szCs w:val="24"/>
                <w:highlight w:val="none"/>
              </w:rPr>
            </w:pPr>
            <w:r>
              <w:rPr>
                <w:color w:val="auto"/>
                <w:kern w:val="2"/>
                <w:sz w:val="24"/>
                <w:szCs w:val="24"/>
                <w:highlight w:val="none"/>
              </w:rPr>
              <w:t>投标人法定代表人亲自签署投标文件的，提供了法定代表人身份证明，且法定代表人在法定代表人身份证明上签名，未使用印章、签名章或其他电子制版签名代替。</w:t>
            </w: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同一投标人未提交两个以上不同的投标文件</w:t>
            </w:r>
            <w:r>
              <w:rPr>
                <w:rFonts w:hint="eastAsia"/>
                <w:color w:val="auto"/>
                <w:kern w:val="2"/>
                <w:sz w:val="24"/>
                <w:szCs w:val="24"/>
                <w:highlight w:val="none"/>
              </w:rPr>
              <w:t>。</w:t>
            </w:r>
          </w:p>
          <w:p>
            <w:pPr>
              <w:numPr>
                <w:ilvl w:val="0"/>
                <w:numId w:val="1"/>
              </w:numPr>
              <w:snapToGrid w:val="0"/>
              <w:spacing w:line="288" w:lineRule="auto"/>
              <w:ind w:left="425"/>
              <w:rPr>
                <w:color w:val="auto"/>
                <w:kern w:val="2"/>
                <w:sz w:val="24"/>
                <w:szCs w:val="24"/>
                <w:highlight w:val="none"/>
              </w:rPr>
            </w:pPr>
            <w:r>
              <w:rPr>
                <w:color w:val="auto"/>
                <w:kern w:val="2"/>
                <w:sz w:val="24"/>
                <w:szCs w:val="24"/>
                <w:highlight w:val="none"/>
              </w:rPr>
              <w:t>投标文件中未出现有关投标报价的内容。</w:t>
            </w:r>
          </w:p>
          <w:p>
            <w:pPr>
              <w:numPr>
                <w:ilvl w:val="0"/>
                <w:numId w:val="1"/>
              </w:numPr>
              <w:tabs>
                <w:tab w:val="left" w:pos="496"/>
              </w:tabs>
              <w:snapToGrid w:val="0"/>
              <w:spacing w:line="288" w:lineRule="auto"/>
              <w:ind w:firstLine="0"/>
              <w:rPr>
                <w:color w:val="auto"/>
                <w:kern w:val="2"/>
                <w:sz w:val="24"/>
                <w:szCs w:val="24"/>
                <w:highlight w:val="none"/>
              </w:rPr>
            </w:pPr>
            <w:r>
              <w:rPr>
                <w:color w:val="auto"/>
                <w:kern w:val="2"/>
                <w:sz w:val="24"/>
                <w:szCs w:val="24"/>
                <w:highlight w:val="none"/>
              </w:rPr>
              <w:t>投标文件载明的招标项目完成期限未超过招标文件规定的时限。</w:t>
            </w:r>
          </w:p>
          <w:p>
            <w:pPr>
              <w:numPr>
                <w:ilvl w:val="0"/>
                <w:numId w:val="1"/>
              </w:numPr>
              <w:tabs>
                <w:tab w:val="left" w:pos="496"/>
              </w:tabs>
              <w:snapToGrid w:val="0"/>
              <w:spacing w:line="288" w:lineRule="auto"/>
              <w:ind w:firstLine="0"/>
              <w:rPr>
                <w:color w:val="auto"/>
                <w:kern w:val="2"/>
                <w:sz w:val="24"/>
                <w:szCs w:val="24"/>
                <w:highlight w:val="none"/>
              </w:rPr>
            </w:pPr>
            <w:r>
              <w:rPr>
                <w:color w:val="auto"/>
                <w:kern w:val="2"/>
                <w:sz w:val="24"/>
                <w:szCs w:val="24"/>
                <w:highlight w:val="none"/>
              </w:rPr>
              <w:t>投标文件对招标文件的实质性要求和条件作出响应。</w:t>
            </w:r>
          </w:p>
          <w:p>
            <w:pPr>
              <w:numPr>
                <w:ilvl w:val="0"/>
                <w:numId w:val="1"/>
              </w:numPr>
              <w:tabs>
                <w:tab w:val="left" w:pos="496"/>
              </w:tabs>
              <w:snapToGrid w:val="0"/>
              <w:spacing w:line="288" w:lineRule="auto"/>
              <w:ind w:firstLine="0"/>
              <w:rPr>
                <w:color w:val="auto"/>
                <w:kern w:val="2"/>
                <w:sz w:val="24"/>
                <w:szCs w:val="24"/>
                <w:highlight w:val="none"/>
              </w:rPr>
            </w:pPr>
            <w:r>
              <w:rPr>
                <w:color w:val="auto"/>
                <w:kern w:val="2"/>
                <w:sz w:val="24"/>
                <w:szCs w:val="24"/>
                <w:highlight w:val="none"/>
              </w:rPr>
              <w:t>权利义务符合招标文件规定:</w:t>
            </w:r>
          </w:p>
          <w:p>
            <w:pPr>
              <w:snapToGrid w:val="0"/>
              <w:spacing w:line="288" w:lineRule="auto"/>
              <w:ind w:firstLine="495"/>
              <w:rPr>
                <w:color w:val="auto"/>
                <w:kern w:val="2"/>
                <w:sz w:val="24"/>
                <w:szCs w:val="24"/>
                <w:highlight w:val="none"/>
              </w:rPr>
            </w:pPr>
            <w:r>
              <w:rPr>
                <w:color w:val="auto"/>
                <w:kern w:val="2"/>
                <w:sz w:val="24"/>
                <w:szCs w:val="24"/>
                <w:highlight w:val="none"/>
              </w:rPr>
              <w:t>a.投标人应接受招标文件规定的风险划分原则，未提出新的风险划分办法;</w:t>
            </w:r>
          </w:p>
          <w:p>
            <w:pPr>
              <w:snapToGrid w:val="0"/>
              <w:spacing w:line="288" w:lineRule="auto"/>
              <w:ind w:firstLine="495"/>
              <w:rPr>
                <w:color w:val="auto"/>
                <w:kern w:val="2"/>
                <w:sz w:val="24"/>
                <w:szCs w:val="24"/>
                <w:highlight w:val="none"/>
              </w:rPr>
            </w:pPr>
            <w:r>
              <w:rPr>
                <w:color w:val="auto"/>
                <w:kern w:val="2"/>
                <w:sz w:val="24"/>
                <w:szCs w:val="24"/>
                <w:highlight w:val="none"/>
              </w:rPr>
              <w:t>b.投标人未增加委托人的责任范围，或减少投标人义务;</w:t>
            </w:r>
          </w:p>
          <w:p>
            <w:pPr>
              <w:snapToGrid w:val="0"/>
              <w:spacing w:line="288" w:lineRule="auto"/>
              <w:ind w:firstLine="495"/>
              <w:rPr>
                <w:color w:val="auto"/>
                <w:kern w:val="2"/>
                <w:sz w:val="24"/>
                <w:szCs w:val="24"/>
                <w:highlight w:val="none"/>
              </w:rPr>
            </w:pPr>
            <w:r>
              <w:rPr>
                <w:color w:val="auto"/>
                <w:kern w:val="2"/>
                <w:sz w:val="24"/>
                <w:szCs w:val="24"/>
                <w:highlight w:val="none"/>
              </w:rPr>
              <w:t>c.投标人未提出不同的支付办法:</w:t>
            </w:r>
          </w:p>
          <w:p>
            <w:pPr>
              <w:snapToGrid w:val="0"/>
              <w:spacing w:line="288" w:lineRule="auto"/>
              <w:ind w:firstLine="495"/>
              <w:rPr>
                <w:color w:val="auto"/>
                <w:kern w:val="2"/>
                <w:sz w:val="24"/>
                <w:szCs w:val="24"/>
                <w:highlight w:val="none"/>
              </w:rPr>
            </w:pPr>
            <w:r>
              <w:rPr>
                <w:color w:val="auto"/>
                <w:kern w:val="2"/>
                <w:sz w:val="24"/>
                <w:szCs w:val="24"/>
                <w:highlight w:val="none"/>
              </w:rPr>
              <w:t>d.投标人对合同纠纷、事故处理办法未提出异议:</w:t>
            </w:r>
          </w:p>
          <w:p>
            <w:pPr>
              <w:snapToGrid w:val="0"/>
              <w:spacing w:line="288" w:lineRule="auto"/>
              <w:ind w:firstLine="495"/>
              <w:rPr>
                <w:color w:val="auto"/>
                <w:kern w:val="2"/>
                <w:sz w:val="24"/>
                <w:szCs w:val="24"/>
                <w:highlight w:val="none"/>
              </w:rPr>
            </w:pPr>
            <w:r>
              <w:rPr>
                <w:color w:val="auto"/>
                <w:kern w:val="2"/>
                <w:sz w:val="24"/>
                <w:szCs w:val="24"/>
                <w:highlight w:val="none"/>
              </w:rPr>
              <w:t>e.投标人在投标活动中无欺诈行为:</w:t>
            </w:r>
          </w:p>
          <w:p>
            <w:pPr>
              <w:snapToGrid w:val="0"/>
              <w:spacing w:line="288" w:lineRule="auto"/>
              <w:ind w:firstLine="495"/>
              <w:rPr>
                <w:color w:val="auto"/>
                <w:kern w:val="2"/>
                <w:sz w:val="24"/>
                <w:szCs w:val="24"/>
                <w:highlight w:val="none"/>
              </w:rPr>
            </w:pPr>
            <w:r>
              <w:rPr>
                <w:color w:val="auto"/>
                <w:kern w:val="2"/>
                <w:sz w:val="24"/>
                <w:szCs w:val="24"/>
                <w:highlight w:val="none"/>
              </w:rPr>
              <w:t>f.投标人未对合同条款有重要保留。</w:t>
            </w:r>
          </w:p>
          <w:p>
            <w:pPr>
              <w:numPr>
                <w:ilvl w:val="0"/>
                <w:numId w:val="1"/>
              </w:numPr>
              <w:tabs>
                <w:tab w:val="left" w:pos="496"/>
              </w:tabs>
              <w:snapToGrid w:val="0"/>
              <w:spacing w:line="288" w:lineRule="auto"/>
              <w:ind w:firstLine="0"/>
              <w:rPr>
                <w:color w:val="auto"/>
                <w:kern w:val="2"/>
                <w:sz w:val="24"/>
                <w:szCs w:val="24"/>
                <w:highlight w:val="none"/>
              </w:rPr>
            </w:pPr>
            <w:r>
              <w:rPr>
                <w:color w:val="auto"/>
                <w:kern w:val="2"/>
                <w:sz w:val="24"/>
                <w:szCs w:val="24"/>
                <w:highlight w:val="none"/>
              </w:rPr>
              <w:t>投标文件正、副本份数符合招标文件第二章"投标人须知"第3.7.4项规定。</w:t>
            </w:r>
          </w:p>
          <w:p>
            <w:pPr>
              <w:snapToGrid w:val="0"/>
              <w:spacing w:line="288" w:lineRule="auto"/>
              <w:ind w:left="100" w:right="170"/>
              <w:jc w:val="both"/>
              <w:rPr>
                <w:color w:val="auto"/>
                <w:kern w:val="2"/>
                <w:sz w:val="24"/>
                <w:szCs w:val="24"/>
                <w:highlight w:val="none"/>
              </w:rPr>
            </w:pPr>
            <w:r>
              <w:rPr>
                <w:color w:val="auto"/>
                <w:kern w:val="2"/>
                <w:sz w:val="24"/>
                <w:szCs w:val="24"/>
                <w:highlight w:val="none"/>
              </w:rPr>
              <w:t>第二个信封(报价文件)评审标准:</w:t>
            </w:r>
          </w:p>
          <w:p>
            <w:pPr>
              <w:numPr>
                <w:ilvl w:val="0"/>
                <w:numId w:val="4"/>
              </w:numPr>
              <w:snapToGrid w:val="0"/>
              <w:spacing w:line="288" w:lineRule="auto"/>
              <w:ind w:left="425"/>
              <w:rPr>
                <w:color w:val="auto"/>
                <w:kern w:val="2"/>
                <w:sz w:val="24"/>
                <w:szCs w:val="24"/>
                <w:highlight w:val="none"/>
              </w:rPr>
            </w:pPr>
            <w:r>
              <w:rPr>
                <w:color w:val="auto"/>
                <w:kern w:val="2"/>
                <w:sz w:val="24"/>
                <w:szCs w:val="24"/>
                <w:highlight w:val="none"/>
              </w:rPr>
              <w:t>投标文件按照招标文件规定的格式、内容填写，字迹清晰可辨，内容齐全完整:</w:t>
            </w:r>
          </w:p>
          <w:p>
            <w:pPr>
              <w:snapToGrid w:val="0"/>
              <w:spacing w:line="288" w:lineRule="auto"/>
              <w:ind w:firstLine="495"/>
              <w:rPr>
                <w:color w:val="auto"/>
                <w:kern w:val="2"/>
                <w:sz w:val="24"/>
                <w:szCs w:val="24"/>
                <w:highlight w:val="none"/>
              </w:rPr>
            </w:pPr>
            <w:r>
              <w:rPr>
                <w:color w:val="auto"/>
                <w:kern w:val="2"/>
                <w:sz w:val="24"/>
                <w:szCs w:val="24"/>
                <w:highlight w:val="none"/>
              </w:rPr>
              <w:t>a.投标函按招标文件规定填报了项目名称、标段号、补遗书编号(如有)、投标价(包括大写金额和小写金额);</w:t>
            </w:r>
          </w:p>
          <w:p>
            <w:pPr>
              <w:snapToGrid w:val="0"/>
              <w:spacing w:line="288" w:lineRule="auto"/>
              <w:ind w:firstLine="495"/>
              <w:rPr>
                <w:color w:val="auto"/>
                <w:kern w:val="2"/>
                <w:sz w:val="24"/>
                <w:szCs w:val="24"/>
                <w:highlight w:val="none"/>
              </w:rPr>
            </w:pPr>
            <w:r>
              <w:rPr>
                <w:color w:val="auto"/>
                <w:kern w:val="2"/>
                <w:sz w:val="24"/>
                <w:szCs w:val="24"/>
                <w:highlight w:val="none"/>
              </w:rPr>
              <w:t>b.己标价报价清单说明文字与招标文件规定一致，未进行实质性修改和删减;</w:t>
            </w:r>
          </w:p>
          <w:p>
            <w:pPr>
              <w:snapToGrid w:val="0"/>
              <w:spacing w:line="288" w:lineRule="auto"/>
              <w:ind w:firstLine="495"/>
              <w:rPr>
                <w:color w:val="auto"/>
                <w:kern w:val="2"/>
                <w:sz w:val="24"/>
                <w:szCs w:val="24"/>
                <w:highlight w:val="none"/>
              </w:rPr>
            </w:pPr>
            <w:r>
              <w:rPr>
                <w:color w:val="auto"/>
                <w:kern w:val="2"/>
                <w:sz w:val="24"/>
                <w:szCs w:val="24"/>
                <w:highlight w:val="none"/>
              </w:rPr>
              <w:t>c.投标文件组成齐全完整，内容均按规定填写。</w:t>
            </w:r>
          </w:p>
          <w:p>
            <w:pPr>
              <w:numPr>
                <w:ilvl w:val="0"/>
                <w:numId w:val="4"/>
              </w:numPr>
              <w:snapToGrid w:val="0"/>
              <w:spacing w:line="288" w:lineRule="auto"/>
              <w:ind w:left="425"/>
              <w:rPr>
                <w:color w:val="auto"/>
                <w:kern w:val="2"/>
                <w:sz w:val="24"/>
                <w:szCs w:val="24"/>
                <w:highlight w:val="none"/>
              </w:rPr>
            </w:pPr>
            <w:r>
              <w:rPr>
                <w:rFonts w:hint="eastAsia"/>
                <w:color w:val="auto"/>
                <w:kern w:val="2"/>
                <w:sz w:val="24"/>
                <w:szCs w:val="24"/>
                <w:highlight w:val="none"/>
              </w:rPr>
              <w:t>投标文件上法定代表人或其委托代理人的签字、投标人的单位章盖 章齐全，符合招标文件规定。检测服务费用报价表由投标人法定代表人或其授权委托人逐页签字并加盖投标人公章。若由授权代理人签署，报价函签署的日期应在授权委托书委托期限以内。</w:t>
            </w:r>
          </w:p>
          <w:p>
            <w:pPr>
              <w:numPr>
                <w:ilvl w:val="0"/>
                <w:numId w:val="4"/>
              </w:numPr>
              <w:snapToGrid w:val="0"/>
              <w:spacing w:line="288" w:lineRule="auto"/>
              <w:ind w:left="425"/>
              <w:rPr>
                <w:color w:val="auto"/>
                <w:kern w:val="2"/>
                <w:sz w:val="24"/>
                <w:szCs w:val="24"/>
                <w:highlight w:val="none"/>
              </w:rPr>
            </w:pPr>
            <w:r>
              <w:rPr>
                <w:color w:val="auto"/>
                <w:kern w:val="2"/>
                <w:sz w:val="24"/>
                <w:szCs w:val="24"/>
                <w:highlight w:val="none"/>
              </w:rPr>
              <w:t>投标报价未超过招标文件设定的最高投标限价</w:t>
            </w:r>
            <w:r>
              <w:rPr>
                <w:rFonts w:hint="eastAsia"/>
                <w:color w:val="auto"/>
                <w:kern w:val="2"/>
                <w:sz w:val="24"/>
                <w:szCs w:val="24"/>
                <w:highlight w:val="none"/>
                <w:lang w:eastAsia="zh-CN"/>
              </w:rPr>
              <w:t>，</w:t>
            </w:r>
            <w:r>
              <w:rPr>
                <w:color w:val="auto"/>
                <w:kern w:val="2"/>
                <w:sz w:val="24"/>
                <w:szCs w:val="24"/>
                <w:highlight w:val="none"/>
              </w:rPr>
              <w:t>投标报价的大写金额能够确定具体数值。</w:t>
            </w:r>
          </w:p>
          <w:p>
            <w:pPr>
              <w:numPr>
                <w:ilvl w:val="0"/>
                <w:numId w:val="4"/>
              </w:numPr>
              <w:snapToGrid w:val="0"/>
              <w:spacing w:line="288" w:lineRule="auto"/>
              <w:ind w:left="425"/>
              <w:rPr>
                <w:color w:val="auto"/>
                <w:kern w:val="2"/>
                <w:sz w:val="24"/>
                <w:szCs w:val="24"/>
                <w:highlight w:val="none"/>
              </w:rPr>
            </w:pPr>
            <w:r>
              <w:rPr>
                <w:color w:val="auto"/>
                <w:kern w:val="2"/>
                <w:sz w:val="24"/>
                <w:szCs w:val="24"/>
                <w:highlight w:val="none"/>
              </w:rPr>
              <w:t>同一投标人未提交两个以上不同的投标报价，但招标文件要求提交备选投标的除外。</w:t>
            </w:r>
          </w:p>
          <w:p>
            <w:pPr>
              <w:numPr>
                <w:ilvl w:val="0"/>
                <w:numId w:val="4"/>
              </w:numPr>
              <w:snapToGrid w:val="0"/>
              <w:spacing w:line="288" w:lineRule="auto"/>
              <w:ind w:left="425"/>
              <w:rPr>
                <w:color w:val="auto"/>
                <w:kern w:val="2"/>
                <w:sz w:val="24"/>
                <w:szCs w:val="24"/>
                <w:highlight w:val="none"/>
              </w:rPr>
            </w:pPr>
            <w:r>
              <w:rPr>
                <w:color w:val="auto"/>
                <w:kern w:val="2"/>
                <w:sz w:val="24"/>
                <w:szCs w:val="24"/>
                <w:highlight w:val="none"/>
              </w:rPr>
              <w:t>投标文件正、副本份数符合招标文件第二章"投标人须知"第3.7.4项规定。</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2.1.2</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资格评审标准</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投标人具备有效的营业执照、组织机构代码证</w:t>
            </w:r>
            <w:r>
              <w:rPr>
                <w:rFonts w:hint="eastAsia"/>
                <w:color w:val="auto"/>
                <w:kern w:val="2"/>
                <w:sz w:val="24"/>
                <w:szCs w:val="24"/>
                <w:highlight w:val="none"/>
              </w:rPr>
              <w:t>（三证合一的除外）</w:t>
            </w:r>
            <w:r>
              <w:rPr>
                <w:color w:val="auto"/>
                <w:kern w:val="2"/>
                <w:sz w:val="24"/>
                <w:szCs w:val="24"/>
                <w:highlight w:val="none"/>
              </w:rPr>
              <w:t>、资质证书和基本账户开户许可证。</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投标人的资质等级符合招标文件规定。</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投标人的类似项目业绩符合招标文件规定。</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投标人的信誉符合招标文件规定。</w:t>
            </w:r>
          </w:p>
          <w:p>
            <w:pPr>
              <w:numPr>
                <w:ilvl w:val="0"/>
                <w:numId w:val="5"/>
              </w:numPr>
              <w:snapToGrid w:val="0"/>
              <w:spacing w:line="288" w:lineRule="auto"/>
              <w:ind w:left="425"/>
              <w:rPr>
                <w:color w:val="auto"/>
                <w:kern w:val="2"/>
                <w:sz w:val="24"/>
                <w:szCs w:val="24"/>
                <w:highlight w:val="none"/>
              </w:rPr>
            </w:pPr>
            <w:r>
              <w:rPr>
                <w:rFonts w:hint="eastAsia"/>
                <w:color w:val="auto"/>
                <w:kern w:val="2"/>
                <w:sz w:val="24"/>
                <w:szCs w:val="24"/>
                <w:highlight w:val="none"/>
              </w:rPr>
              <w:t>投标人的项目负责人资格符合招标文件规定</w:t>
            </w:r>
            <w:r>
              <w:rPr>
                <w:color w:val="auto"/>
                <w:kern w:val="2"/>
                <w:sz w:val="24"/>
                <w:szCs w:val="24"/>
                <w:highlight w:val="none"/>
              </w:rPr>
              <w:t>。</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投标人的其他要求符合招标文件规定。</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投标人不存在第二章"投标人须知"第1.4.3项或第1.4.4项规定的任何一种情形。</w:t>
            </w:r>
          </w:p>
          <w:p>
            <w:pPr>
              <w:numPr>
                <w:ilvl w:val="0"/>
                <w:numId w:val="5"/>
              </w:numPr>
              <w:snapToGrid w:val="0"/>
              <w:spacing w:line="288" w:lineRule="auto"/>
              <w:ind w:left="425"/>
              <w:rPr>
                <w:color w:val="auto"/>
                <w:kern w:val="2"/>
                <w:sz w:val="24"/>
                <w:szCs w:val="24"/>
                <w:highlight w:val="none"/>
              </w:rPr>
            </w:pPr>
            <w:r>
              <w:rPr>
                <w:color w:val="auto"/>
                <w:kern w:val="2"/>
                <w:sz w:val="24"/>
                <w:szCs w:val="24"/>
                <w:highlight w:val="none"/>
              </w:rPr>
              <w:t>投标人符合第二章"投标人须知"第1.4.5项规定。</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2.2.1</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分值构成</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rPr>
                <w:color w:val="auto"/>
                <w:kern w:val="2"/>
                <w:sz w:val="24"/>
                <w:szCs w:val="24"/>
                <w:highlight w:val="none"/>
              </w:rPr>
            </w:pPr>
            <w:r>
              <w:rPr>
                <w:color w:val="auto"/>
                <w:kern w:val="2"/>
                <w:sz w:val="24"/>
                <w:szCs w:val="24"/>
                <w:highlight w:val="none"/>
              </w:rPr>
              <w:t>第一信封（商务及技术文件）评分分值构成：</w:t>
            </w:r>
          </w:p>
          <w:p>
            <w:pPr>
              <w:snapToGrid w:val="0"/>
              <w:spacing w:line="288" w:lineRule="auto"/>
              <w:rPr>
                <w:color w:val="auto"/>
                <w:kern w:val="2"/>
                <w:sz w:val="24"/>
                <w:szCs w:val="24"/>
                <w:highlight w:val="none"/>
              </w:rPr>
            </w:pPr>
            <w:r>
              <w:rPr>
                <w:color w:val="auto"/>
                <w:kern w:val="2"/>
                <w:sz w:val="24"/>
                <w:szCs w:val="24"/>
                <w:highlight w:val="none"/>
              </w:rPr>
              <w:t>技术建议书：</w:t>
            </w:r>
            <w:r>
              <w:rPr>
                <w:rFonts w:hint="eastAsia"/>
                <w:color w:val="auto"/>
                <w:kern w:val="2"/>
                <w:sz w:val="24"/>
                <w:szCs w:val="24"/>
                <w:highlight w:val="none"/>
              </w:rPr>
              <w:t>4</w:t>
            </w:r>
            <w:r>
              <w:rPr>
                <w:rFonts w:hint="eastAsia"/>
                <w:color w:val="auto"/>
                <w:kern w:val="2"/>
                <w:sz w:val="24"/>
                <w:szCs w:val="24"/>
                <w:highlight w:val="none"/>
                <w:lang w:val="en-US" w:eastAsia="zh-CN"/>
              </w:rPr>
              <w:t>0</w:t>
            </w:r>
            <w:r>
              <w:rPr>
                <w:color w:val="auto"/>
                <w:kern w:val="2"/>
                <w:sz w:val="24"/>
                <w:szCs w:val="24"/>
                <w:highlight w:val="none"/>
              </w:rPr>
              <w:t>分</w:t>
            </w:r>
          </w:p>
          <w:p>
            <w:pPr>
              <w:snapToGrid w:val="0"/>
              <w:spacing w:line="288" w:lineRule="auto"/>
              <w:rPr>
                <w:color w:val="auto"/>
                <w:kern w:val="2"/>
                <w:sz w:val="24"/>
                <w:szCs w:val="24"/>
                <w:highlight w:val="none"/>
              </w:rPr>
            </w:pPr>
            <w:r>
              <w:rPr>
                <w:color w:val="auto"/>
                <w:kern w:val="2"/>
                <w:sz w:val="24"/>
                <w:szCs w:val="24"/>
                <w:highlight w:val="none"/>
              </w:rPr>
              <w:t>主要人员：</w:t>
            </w:r>
            <w:r>
              <w:rPr>
                <w:rFonts w:hint="eastAsia"/>
                <w:color w:val="auto"/>
                <w:kern w:val="2"/>
                <w:sz w:val="24"/>
                <w:szCs w:val="24"/>
                <w:highlight w:val="none"/>
              </w:rPr>
              <w:t>16</w:t>
            </w:r>
            <w:r>
              <w:rPr>
                <w:color w:val="auto"/>
                <w:kern w:val="2"/>
                <w:sz w:val="24"/>
                <w:szCs w:val="24"/>
                <w:highlight w:val="none"/>
              </w:rPr>
              <w:t>分</w:t>
            </w:r>
          </w:p>
          <w:p>
            <w:pPr>
              <w:snapToGrid w:val="0"/>
              <w:spacing w:line="288" w:lineRule="auto"/>
              <w:rPr>
                <w:rFonts w:hint="eastAsia"/>
                <w:color w:val="auto"/>
                <w:kern w:val="2"/>
                <w:sz w:val="24"/>
                <w:szCs w:val="24"/>
                <w:highlight w:val="none"/>
              </w:rPr>
            </w:pPr>
            <w:r>
              <w:rPr>
                <w:rFonts w:hint="eastAsia"/>
                <w:color w:val="auto"/>
                <w:kern w:val="2"/>
                <w:sz w:val="24"/>
                <w:szCs w:val="24"/>
                <w:highlight w:val="none"/>
              </w:rPr>
              <w:t>其他因素：</w:t>
            </w:r>
            <w:r>
              <w:rPr>
                <w:rFonts w:hint="eastAsia"/>
                <w:color w:val="auto"/>
                <w:kern w:val="2"/>
                <w:sz w:val="24"/>
                <w:szCs w:val="24"/>
                <w:highlight w:val="none"/>
                <w:lang w:val="en-US" w:eastAsia="zh-CN"/>
              </w:rPr>
              <w:t>34</w:t>
            </w:r>
            <w:r>
              <w:rPr>
                <w:rFonts w:hint="eastAsia"/>
                <w:color w:val="auto"/>
                <w:kern w:val="2"/>
                <w:sz w:val="24"/>
                <w:szCs w:val="24"/>
                <w:highlight w:val="none"/>
              </w:rPr>
              <w:t>分</w:t>
            </w:r>
          </w:p>
          <w:p>
            <w:pPr>
              <w:snapToGrid w:val="0"/>
              <w:spacing w:line="288" w:lineRule="auto"/>
              <w:rPr>
                <w:color w:val="auto"/>
                <w:kern w:val="2"/>
                <w:sz w:val="24"/>
                <w:szCs w:val="24"/>
                <w:highlight w:val="none"/>
              </w:rPr>
            </w:pPr>
            <w:r>
              <w:rPr>
                <w:color w:val="auto"/>
                <w:kern w:val="2"/>
                <w:sz w:val="24"/>
                <w:szCs w:val="24"/>
                <w:highlight w:val="none"/>
              </w:rPr>
              <w:t>第二信封（报价文件）评分分值构成：</w:t>
            </w:r>
          </w:p>
          <w:p>
            <w:pPr>
              <w:snapToGrid w:val="0"/>
              <w:spacing w:line="288" w:lineRule="auto"/>
              <w:rPr>
                <w:color w:val="auto"/>
                <w:kern w:val="2"/>
                <w:sz w:val="24"/>
                <w:szCs w:val="24"/>
                <w:highlight w:val="none"/>
              </w:rPr>
            </w:pPr>
            <w:r>
              <w:rPr>
                <w:color w:val="auto"/>
                <w:kern w:val="2"/>
                <w:sz w:val="24"/>
                <w:szCs w:val="24"/>
                <w:highlight w:val="none"/>
              </w:rPr>
              <w:t>评标价：10分</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2.2.2</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color w:val="auto"/>
                <w:kern w:val="2"/>
                <w:sz w:val="24"/>
                <w:szCs w:val="24"/>
                <w:highlight w:val="none"/>
              </w:rPr>
              <w:t xml:space="preserve">评标基准价计算方法 </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rPr>
                <w:color w:val="auto"/>
                <w:kern w:val="2"/>
                <w:sz w:val="24"/>
                <w:szCs w:val="24"/>
                <w:highlight w:val="none"/>
              </w:rPr>
            </w:pPr>
            <w:r>
              <w:rPr>
                <w:color w:val="auto"/>
                <w:kern w:val="2"/>
                <w:sz w:val="24"/>
                <w:szCs w:val="24"/>
                <w:highlight w:val="none"/>
              </w:rPr>
              <w:t>评标基准价的计算：</w:t>
            </w:r>
          </w:p>
          <w:p>
            <w:pPr>
              <w:snapToGrid w:val="0"/>
              <w:spacing w:line="288" w:lineRule="auto"/>
              <w:rPr>
                <w:color w:val="auto"/>
                <w:kern w:val="2"/>
                <w:sz w:val="24"/>
                <w:szCs w:val="24"/>
                <w:highlight w:val="none"/>
              </w:rPr>
            </w:pPr>
            <w:r>
              <w:rPr>
                <w:color w:val="auto"/>
                <w:kern w:val="2"/>
                <w:sz w:val="24"/>
                <w:szCs w:val="24"/>
                <w:highlight w:val="none"/>
              </w:rPr>
              <w:t>在开标现场，招标人将当场计算并宣布评标基准价。</w:t>
            </w:r>
          </w:p>
          <w:p>
            <w:pPr>
              <w:numPr>
                <w:ilvl w:val="0"/>
                <w:numId w:val="6"/>
              </w:numPr>
              <w:snapToGrid w:val="0"/>
              <w:spacing w:line="288" w:lineRule="auto"/>
              <w:ind w:left="425"/>
              <w:rPr>
                <w:color w:val="auto"/>
                <w:kern w:val="2"/>
                <w:sz w:val="24"/>
                <w:szCs w:val="24"/>
                <w:highlight w:val="none"/>
              </w:rPr>
            </w:pPr>
            <w:r>
              <w:rPr>
                <w:color w:val="auto"/>
                <w:kern w:val="2"/>
                <w:sz w:val="24"/>
                <w:szCs w:val="24"/>
                <w:highlight w:val="none"/>
              </w:rPr>
              <w:t>评标价的确定：</w:t>
            </w:r>
          </w:p>
          <w:p>
            <w:pPr>
              <w:snapToGrid w:val="0"/>
              <w:spacing w:line="288" w:lineRule="auto"/>
              <w:rPr>
                <w:color w:val="auto"/>
                <w:kern w:val="2"/>
                <w:sz w:val="24"/>
                <w:szCs w:val="24"/>
                <w:highlight w:val="none"/>
              </w:rPr>
            </w:pPr>
            <w:r>
              <w:rPr>
                <w:color w:val="auto"/>
                <w:kern w:val="2"/>
                <w:sz w:val="24"/>
                <w:szCs w:val="24"/>
                <w:highlight w:val="none"/>
              </w:rPr>
              <w:t>评标价=投标函文字的报价</w:t>
            </w:r>
          </w:p>
          <w:p>
            <w:pPr>
              <w:numPr>
                <w:ilvl w:val="0"/>
                <w:numId w:val="6"/>
              </w:numPr>
              <w:snapToGrid w:val="0"/>
              <w:spacing w:line="288" w:lineRule="auto"/>
              <w:ind w:left="425"/>
              <w:rPr>
                <w:color w:val="auto"/>
                <w:kern w:val="2"/>
                <w:sz w:val="24"/>
                <w:szCs w:val="24"/>
                <w:highlight w:val="none"/>
              </w:rPr>
            </w:pPr>
            <w:r>
              <w:rPr>
                <w:color w:val="auto"/>
                <w:kern w:val="2"/>
                <w:sz w:val="24"/>
                <w:szCs w:val="24"/>
                <w:highlight w:val="none"/>
              </w:rPr>
              <w:t>评标价的平均值的计算：</w:t>
            </w:r>
          </w:p>
          <w:p>
            <w:pPr>
              <w:snapToGrid w:val="0"/>
              <w:spacing w:line="288" w:lineRule="auto"/>
              <w:ind w:firstLine="480" w:firstLineChars="200"/>
              <w:rPr>
                <w:rFonts w:hint="eastAsia"/>
                <w:color w:val="auto"/>
                <w:kern w:val="2"/>
                <w:sz w:val="24"/>
                <w:szCs w:val="24"/>
                <w:highlight w:val="none"/>
              </w:rPr>
            </w:pPr>
            <w:r>
              <w:rPr>
                <w:rFonts w:hint="eastAsia"/>
                <w:color w:val="auto"/>
                <w:kern w:val="2"/>
                <w:sz w:val="24"/>
                <w:szCs w:val="24"/>
                <w:highlight w:val="none"/>
              </w:rPr>
              <w:t>除</w:t>
            </w:r>
            <w:r>
              <w:rPr>
                <w:color w:val="auto"/>
                <w:kern w:val="2"/>
                <w:sz w:val="24"/>
                <w:szCs w:val="24"/>
                <w:highlight w:val="none"/>
              </w:rPr>
              <w:t>按</w:t>
            </w:r>
            <w:r>
              <w:rPr>
                <w:rFonts w:hint="eastAsia"/>
                <w:color w:val="auto"/>
                <w:kern w:val="2"/>
                <w:sz w:val="24"/>
                <w:szCs w:val="24"/>
                <w:highlight w:val="none"/>
              </w:rPr>
              <w:t>以下a、</w:t>
            </w:r>
            <w:r>
              <w:rPr>
                <w:color w:val="auto"/>
                <w:kern w:val="2"/>
                <w:sz w:val="24"/>
                <w:szCs w:val="24"/>
                <w:highlight w:val="none"/>
              </w:rPr>
              <w:t>b</w:t>
            </w:r>
            <w:r>
              <w:rPr>
                <w:rFonts w:hint="eastAsia"/>
                <w:color w:val="auto"/>
                <w:kern w:val="2"/>
                <w:sz w:val="24"/>
                <w:szCs w:val="24"/>
                <w:highlight w:val="none"/>
              </w:rPr>
              <w:t>两条不</w:t>
            </w:r>
            <w:r>
              <w:rPr>
                <w:color w:val="auto"/>
                <w:kern w:val="2"/>
                <w:sz w:val="24"/>
                <w:szCs w:val="24"/>
                <w:highlight w:val="none"/>
              </w:rPr>
              <w:t>进入评标基准价计算的投标报价之外，所有投标人的投标价的算术平均值即为评标价平均值</w:t>
            </w:r>
            <w:r>
              <w:rPr>
                <w:rFonts w:hint="eastAsia"/>
                <w:color w:val="auto"/>
                <w:kern w:val="2"/>
                <w:sz w:val="24"/>
                <w:szCs w:val="24"/>
                <w:highlight w:val="none"/>
              </w:rPr>
              <w:t>。</w:t>
            </w:r>
          </w:p>
          <w:p>
            <w:pPr>
              <w:snapToGrid w:val="0"/>
              <w:spacing w:line="288" w:lineRule="auto"/>
              <w:rPr>
                <w:color w:val="auto"/>
                <w:kern w:val="2"/>
                <w:sz w:val="24"/>
                <w:szCs w:val="24"/>
                <w:highlight w:val="none"/>
              </w:rPr>
            </w:pPr>
            <w:r>
              <w:rPr>
                <w:rFonts w:hint="eastAsia"/>
                <w:color w:val="auto"/>
                <w:kern w:val="2"/>
                <w:sz w:val="24"/>
                <w:szCs w:val="24"/>
                <w:highlight w:val="none"/>
              </w:rPr>
              <w:t>a、</w:t>
            </w:r>
            <w:r>
              <w:rPr>
                <w:color w:val="auto"/>
                <w:kern w:val="2"/>
                <w:sz w:val="24"/>
                <w:szCs w:val="24"/>
                <w:highlight w:val="none"/>
              </w:rPr>
              <w:t>按第二章“投标人须知”第5.2.4项规定开标现场被宣布为不进入评标基准价计算的投标报价</w:t>
            </w:r>
            <w:r>
              <w:rPr>
                <w:rFonts w:hint="eastAsia"/>
                <w:color w:val="auto"/>
                <w:kern w:val="2"/>
                <w:sz w:val="24"/>
                <w:szCs w:val="24"/>
                <w:highlight w:val="none"/>
              </w:rPr>
              <w:t>。</w:t>
            </w:r>
          </w:p>
          <w:p>
            <w:pPr>
              <w:snapToGrid w:val="0"/>
              <w:spacing w:line="288" w:lineRule="auto"/>
              <w:rPr>
                <w:rFonts w:hint="eastAsia"/>
                <w:color w:val="auto"/>
                <w:kern w:val="2"/>
                <w:sz w:val="24"/>
                <w:szCs w:val="24"/>
                <w:highlight w:val="none"/>
              </w:rPr>
            </w:pPr>
            <w:r>
              <w:rPr>
                <w:rFonts w:hint="eastAsia"/>
                <w:color w:val="auto"/>
                <w:kern w:val="2"/>
                <w:sz w:val="24"/>
                <w:szCs w:val="24"/>
                <w:highlight w:val="none"/>
              </w:rPr>
              <w:t>b、投标报价递交函中的投标报价低于最高投标限价的8</w:t>
            </w:r>
            <w:r>
              <w:rPr>
                <w:color w:val="auto"/>
                <w:kern w:val="2"/>
                <w:sz w:val="24"/>
                <w:szCs w:val="24"/>
                <w:highlight w:val="none"/>
              </w:rPr>
              <w:t>0%</w:t>
            </w:r>
            <w:r>
              <w:rPr>
                <w:rFonts w:hint="eastAsia"/>
                <w:color w:val="auto"/>
                <w:kern w:val="2"/>
                <w:sz w:val="24"/>
                <w:szCs w:val="24"/>
                <w:highlight w:val="none"/>
              </w:rPr>
              <w:t>。</w:t>
            </w:r>
          </w:p>
          <w:p>
            <w:pPr>
              <w:numPr>
                <w:ilvl w:val="0"/>
                <w:numId w:val="6"/>
              </w:numPr>
              <w:snapToGrid w:val="0"/>
              <w:spacing w:line="288" w:lineRule="auto"/>
              <w:ind w:left="425"/>
              <w:rPr>
                <w:color w:val="auto"/>
                <w:kern w:val="2"/>
                <w:sz w:val="24"/>
                <w:szCs w:val="24"/>
                <w:highlight w:val="none"/>
              </w:rPr>
            </w:pPr>
            <w:r>
              <w:rPr>
                <w:color w:val="auto"/>
                <w:kern w:val="2"/>
                <w:sz w:val="24"/>
                <w:szCs w:val="24"/>
                <w:highlight w:val="none"/>
              </w:rPr>
              <w:t>评标基准价的确定</w:t>
            </w:r>
          </w:p>
          <w:p>
            <w:pPr>
              <w:snapToGrid w:val="0"/>
              <w:spacing w:line="288" w:lineRule="auto"/>
              <w:rPr>
                <w:color w:val="auto"/>
                <w:kern w:val="2"/>
                <w:sz w:val="24"/>
                <w:szCs w:val="24"/>
                <w:highlight w:val="none"/>
              </w:rPr>
            </w:pPr>
            <w:r>
              <w:rPr>
                <w:color w:val="auto"/>
                <w:kern w:val="2"/>
                <w:sz w:val="24"/>
                <w:szCs w:val="24"/>
                <w:highlight w:val="none"/>
              </w:rPr>
              <w:t>将评标价平均值直接作为评标基准价。</w:t>
            </w:r>
            <w:r>
              <w:rPr>
                <w:rFonts w:hint="eastAsia"/>
                <w:color w:val="auto"/>
                <w:kern w:val="2"/>
                <w:sz w:val="24"/>
                <w:szCs w:val="24"/>
                <w:highlight w:val="none"/>
              </w:rPr>
              <w:t>（评标基准价，四舍五入保留两位小数）</w:t>
            </w:r>
          </w:p>
        </w:tc>
      </w:tr>
      <w:tr>
        <w:tblPrEx>
          <w:tblCellMar>
            <w:top w:w="0" w:type="dxa"/>
            <w:left w:w="0" w:type="dxa"/>
            <w:bottom w:w="0" w:type="dxa"/>
            <w:right w:w="0" w:type="dxa"/>
          </w:tblCellMar>
        </w:tblPrEx>
        <w:trPr>
          <w:jc w:val="center"/>
        </w:trPr>
        <w:tc>
          <w:tcPr>
            <w:tcW w:w="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rFonts w:hint="eastAsia"/>
                <w:color w:val="auto"/>
                <w:kern w:val="2"/>
                <w:sz w:val="24"/>
                <w:szCs w:val="24"/>
                <w:highlight w:val="none"/>
              </w:rPr>
              <w:t>2.2.3</w:t>
            </w:r>
          </w:p>
        </w:tc>
        <w:tc>
          <w:tcPr>
            <w:tcW w:w="10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ind w:left="-113" w:right="-11"/>
              <w:jc w:val="center"/>
              <w:rPr>
                <w:color w:val="auto"/>
                <w:kern w:val="2"/>
                <w:sz w:val="24"/>
                <w:szCs w:val="24"/>
                <w:highlight w:val="none"/>
              </w:rPr>
            </w:pPr>
            <w:r>
              <w:rPr>
                <w:rFonts w:hint="eastAsia"/>
                <w:color w:val="auto"/>
                <w:kern w:val="2"/>
                <w:sz w:val="24"/>
                <w:szCs w:val="24"/>
                <w:highlight w:val="none"/>
              </w:rPr>
              <w:t>评标价的偏差率计算公式</w:t>
            </w:r>
          </w:p>
        </w:tc>
        <w:tc>
          <w:tcPr>
            <w:tcW w:w="76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88" w:lineRule="auto"/>
              <w:rPr>
                <w:color w:val="auto"/>
                <w:kern w:val="2"/>
                <w:sz w:val="24"/>
                <w:szCs w:val="24"/>
                <w:highlight w:val="none"/>
              </w:rPr>
            </w:pPr>
            <w:r>
              <w:rPr>
                <w:rFonts w:hint="eastAsia"/>
                <w:color w:val="auto"/>
                <w:kern w:val="2"/>
                <w:sz w:val="24"/>
                <w:szCs w:val="24"/>
                <w:highlight w:val="none"/>
              </w:rPr>
              <w:t>偏差率=100%*（投标人评标价-评标基准价）/评标基准价</w:t>
            </w:r>
          </w:p>
          <w:p>
            <w:pPr>
              <w:snapToGrid w:val="0"/>
              <w:spacing w:line="288" w:lineRule="auto"/>
              <w:rPr>
                <w:color w:val="auto"/>
                <w:kern w:val="2"/>
                <w:sz w:val="24"/>
                <w:szCs w:val="24"/>
                <w:highlight w:val="none"/>
              </w:rPr>
            </w:pPr>
            <w:r>
              <w:rPr>
                <w:rFonts w:hint="eastAsia"/>
                <w:color w:val="auto"/>
                <w:kern w:val="2"/>
                <w:sz w:val="24"/>
                <w:szCs w:val="24"/>
                <w:highlight w:val="none"/>
              </w:rPr>
              <w:t>偏差率保留2位小数</w:t>
            </w:r>
          </w:p>
        </w:tc>
      </w:tr>
    </w:tbl>
    <w:p>
      <w:pPr>
        <w:snapToGrid w:val="0"/>
        <w:spacing w:line="276" w:lineRule="auto"/>
        <w:ind w:firstLine="440" w:firstLineChars="200"/>
        <w:rPr>
          <w:color w:val="auto"/>
          <w:kern w:val="2"/>
          <w:highlight w:val="none"/>
        </w:rPr>
      </w:pPr>
    </w:p>
    <w:p>
      <w:pPr>
        <w:snapToGrid w:val="0"/>
        <w:spacing w:line="276" w:lineRule="auto"/>
        <w:ind w:firstLine="440" w:firstLineChars="200"/>
        <w:rPr>
          <w:color w:val="auto"/>
          <w:kern w:val="2"/>
          <w:highlight w:val="none"/>
        </w:rPr>
      </w:pPr>
      <w:r>
        <w:rPr>
          <w:rFonts w:hint="eastAsia"/>
          <w:color w:val="auto"/>
          <w:kern w:val="2"/>
          <w:highlight w:val="none"/>
        </w:rPr>
        <w:t>注：</w:t>
      </w:r>
      <w:r>
        <w:rPr>
          <w:rFonts w:hint="eastAsia" w:ascii="Times New Roman" w:hAnsi="Times New Roman" w:eastAsia="宋体" w:cs="Times New Roman"/>
          <w:color w:val="auto"/>
          <w:kern w:val="2"/>
          <w:sz w:val="24"/>
          <w:highlight w:val="none"/>
        </w:rPr>
        <w:t>技术建议书得分一般不得低于其权重分值的60%，且各评分因素得分应以评标委员会各成员的打分平均值确定，评标委员会成员总数为</w:t>
      </w:r>
      <w:r>
        <w:rPr>
          <w:rFonts w:hint="eastAsia" w:ascii="Times New Roman" w:hAnsi="Times New Roman" w:eastAsia="宋体" w:cs="Times New Roman"/>
          <w:color w:val="auto"/>
          <w:kern w:val="2"/>
          <w:sz w:val="24"/>
          <w:highlight w:val="none"/>
          <w:lang w:val="en-US" w:eastAsia="zh-CN"/>
        </w:rPr>
        <w:t>5</w:t>
      </w:r>
      <w:r>
        <w:rPr>
          <w:rFonts w:hint="eastAsia" w:ascii="Times New Roman" w:hAnsi="Times New Roman" w:eastAsia="宋体" w:cs="Times New Roman"/>
          <w:color w:val="auto"/>
          <w:kern w:val="2"/>
          <w:sz w:val="24"/>
          <w:highlight w:val="none"/>
        </w:rPr>
        <w:t>人时</w:t>
      </w:r>
      <w:r>
        <w:rPr>
          <w:rFonts w:hint="eastAsia" w:ascii="Times New Roman" w:hAnsi="Times New Roman"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lang w:val="en-US" w:eastAsia="zh-CN"/>
        </w:rPr>
        <w:t>直接取各成员的打分平均值；</w:t>
      </w:r>
      <w:r>
        <w:rPr>
          <w:rFonts w:hint="eastAsia" w:ascii="Times New Roman" w:hAnsi="Times New Roman" w:eastAsia="宋体" w:cs="Times New Roman"/>
          <w:color w:val="auto"/>
          <w:kern w:val="2"/>
          <w:sz w:val="24"/>
          <w:highlight w:val="none"/>
        </w:rPr>
        <w:t>评标委员会成员总数为7人以上时，该平均值以去掉一个最高分和一个最低分后计算。评标委员会成员对技术建议书评分因素的评分低于权重分值60%的，应在评标报告中作出说明。</w:t>
      </w:r>
    </w:p>
    <w:p>
      <w:pPr>
        <w:snapToGrid w:val="0"/>
        <w:spacing w:before="97" w:line="357" w:lineRule="auto"/>
        <w:ind w:right="170"/>
        <w:rPr>
          <w:color w:val="auto"/>
          <w:kern w:val="2"/>
          <w:highlight w:val="none"/>
        </w:rPr>
      </w:pPr>
      <w:r>
        <w:rPr>
          <w:color w:val="auto"/>
          <w:kern w:val="2"/>
          <w:highlight w:val="none"/>
        </w:rPr>
        <w:br w:type="page"/>
      </w:r>
      <w:r>
        <w:rPr>
          <w:rFonts w:hint="eastAsia"/>
          <w:color w:val="auto"/>
          <w:kern w:val="2"/>
          <w:highlight w:val="none"/>
        </w:rPr>
        <w:t>续上表</w:t>
      </w:r>
    </w:p>
    <w:p>
      <w:pPr>
        <w:snapToGrid w:val="0"/>
        <w:rPr>
          <w:b/>
          <w:color w:val="auto"/>
          <w:kern w:val="2"/>
          <w:sz w:val="24"/>
          <w:highlight w:val="none"/>
        </w:rPr>
      </w:pPr>
      <w:r>
        <w:rPr>
          <w:rFonts w:hint="eastAsia"/>
          <w:b/>
          <w:color w:val="auto"/>
          <w:kern w:val="2"/>
          <w:sz w:val="24"/>
          <w:highlight w:val="none"/>
        </w:rPr>
        <w:t>评分标准</w:t>
      </w:r>
    </w:p>
    <w:tbl>
      <w:tblPr>
        <w:tblStyle w:val="3"/>
        <w:tblW w:w="0" w:type="auto"/>
        <w:jc w:val="center"/>
        <w:tblLayout w:type="fixed"/>
        <w:tblCellMar>
          <w:top w:w="0" w:type="dxa"/>
          <w:left w:w="0" w:type="dxa"/>
          <w:bottom w:w="0" w:type="dxa"/>
          <w:right w:w="0" w:type="dxa"/>
        </w:tblCellMar>
      </w:tblPr>
      <w:tblGrid>
        <w:gridCol w:w="596"/>
        <w:gridCol w:w="709"/>
        <w:gridCol w:w="567"/>
        <w:gridCol w:w="1984"/>
        <w:gridCol w:w="1134"/>
        <w:gridCol w:w="4933"/>
      </w:tblGrid>
      <w:tr>
        <w:tblPrEx>
          <w:tblCellMar>
            <w:top w:w="0" w:type="dxa"/>
            <w:left w:w="0" w:type="dxa"/>
            <w:bottom w:w="0" w:type="dxa"/>
            <w:right w:w="0" w:type="dxa"/>
          </w:tblCellMar>
        </w:tblPrEx>
        <w:trPr>
          <w:jc w:val="center"/>
        </w:trPr>
        <w:tc>
          <w:tcPr>
            <w:tcW w:w="499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评分因素与权重分值</w:t>
            </w:r>
          </w:p>
        </w:tc>
        <w:tc>
          <w:tcPr>
            <w:tcW w:w="493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sz w:val="20"/>
                <w:highlight w:val="none"/>
              </w:rPr>
            </w:pPr>
            <w:r>
              <w:rPr>
                <w:rFonts w:hint="eastAsia"/>
                <w:color w:val="auto"/>
                <w:kern w:val="2"/>
                <w:highlight w:val="none"/>
              </w:rPr>
              <w:t>评分标准</w:t>
            </w:r>
          </w:p>
        </w:tc>
      </w:tr>
      <w:tr>
        <w:tblPrEx>
          <w:tblCellMar>
            <w:top w:w="0" w:type="dxa"/>
            <w:left w:w="0" w:type="dxa"/>
            <w:bottom w:w="0" w:type="dxa"/>
            <w:right w:w="0" w:type="dxa"/>
          </w:tblCellMar>
        </w:tblPrEx>
        <w:trPr>
          <w:trHeight w:val="90" w:hRule="atLeast"/>
          <w:jc w:val="center"/>
        </w:trPr>
        <w:tc>
          <w:tcPr>
            <w:tcW w:w="5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条款号</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评分因素</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评分因素权重分值</w:t>
            </w: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各项因素细分项</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分值</w:t>
            </w:r>
          </w:p>
        </w:tc>
        <w:tc>
          <w:tcPr>
            <w:tcW w:w="493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sz w:val="20"/>
                <w:highlight w:val="none"/>
              </w:rPr>
            </w:pPr>
          </w:p>
        </w:tc>
      </w:tr>
      <w:tr>
        <w:tblPrEx>
          <w:tblCellMar>
            <w:top w:w="0" w:type="dxa"/>
            <w:left w:w="0" w:type="dxa"/>
            <w:bottom w:w="0" w:type="dxa"/>
            <w:right w:w="0" w:type="dxa"/>
          </w:tblCellMar>
        </w:tblPrEx>
        <w:trPr>
          <w:trHeight w:val="1242" w:hRule="atLeast"/>
          <w:jc w:val="center"/>
        </w:trPr>
        <w:tc>
          <w:tcPr>
            <w:tcW w:w="596"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2.2.4（1）</w:t>
            </w:r>
          </w:p>
        </w:tc>
        <w:tc>
          <w:tcPr>
            <w:tcW w:w="70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技术建议书</w:t>
            </w:r>
          </w:p>
        </w:tc>
        <w:tc>
          <w:tcPr>
            <w:tcW w:w="56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4</w:t>
            </w:r>
            <w:r>
              <w:rPr>
                <w:rFonts w:hint="eastAsia"/>
                <w:color w:val="auto"/>
                <w:kern w:val="2"/>
                <w:highlight w:val="none"/>
                <w:lang w:val="en-US" w:eastAsia="zh-CN"/>
              </w:rPr>
              <w:t>0</w:t>
            </w:r>
            <w:r>
              <w:rPr>
                <w:rFonts w:hint="eastAsia"/>
                <w:color w:val="auto"/>
                <w:kern w:val="2"/>
                <w:highlight w:val="none"/>
              </w:rPr>
              <w:t>分</w:t>
            </w: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服务大纲（或服务方案或对项目的理解）</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5</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jc w:val="both"/>
              <w:rPr>
                <w:rFonts w:hint="eastAsia"/>
                <w:color w:val="auto"/>
                <w:kern w:val="2"/>
                <w:highlight w:val="none"/>
              </w:rPr>
            </w:pPr>
            <w:r>
              <w:rPr>
                <w:rFonts w:hint="eastAsia"/>
                <w:color w:val="auto"/>
                <w:kern w:val="2"/>
                <w:highlight w:val="none"/>
              </w:rPr>
              <w:t>根据投标人的工作方法、流程是否可行，能否充分满足本项目工程质量、进度、安全、施工环境保护、费用控制的要求进行评定，对项目技术服务范围和任务是否理解。</w:t>
            </w:r>
          </w:p>
          <w:p>
            <w:pPr>
              <w:snapToGrid w:val="0"/>
              <w:spacing w:line="276" w:lineRule="auto"/>
              <w:jc w:val="both"/>
              <w:rPr>
                <w:color w:val="auto"/>
                <w:kern w:val="2"/>
                <w:highlight w:val="none"/>
              </w:rPr>
            </w:pPr>
            <w:r>
              <w:rPr>
                <w:rFonts w:hint="eastAsia"/>
                <w:color w:val="auto"/>
                <w:kern w:val="2"/>
                <w:highlight w:val="none"/>
              </w:rPr>
              <w:t>优：5-4.7分；良：4.6-4.2分；中：4.1-3.8分；差：3.4-3.7分。不提供不得分。</w:t>
            </w:r>
          </w:p>
        </w:tc>
      </w:tr>
      <w:tr>
        <w:tblPrEx>
          <w:tblCellMar>
            <w:top w:w="0" w:type="dxa"/>
            <w:left w:w="0" w:type="dxa"/>
            <w:bottom w:w="0" w:type="dxa"/>
            <w:right w:w="0" w:type="dxa"/>
          </w:tblCellMar>
        </w:tblPrEx>
        <w:trPr>
          <w:trHeight w:val="1543" w:hRule="atLeast"/>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rFonts w:hint="eastAsia"/>
                <w:color w:val="auto"/>
                <w:kern w:val="2"/>
                <w:highlight w:val="none"/>
              </w:rPr>
            </w:pPr>
            <w:r>
              <w:rPr>
                <w:rFonts w:hint="eastAsia"/>
                <w:color w:val="auto"/>
                <w:kern w:val="2"/>
                <w:highlight w:val="none"/>
              </w:rPr>
              <w:t>对本工程重点、难点、关键性技术对策及措施</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lang w:val="en-US" w:eastAsia="zh-CN"/>
              </w:rPr>
              <w:t>9</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jc w:val="both"/>
              <w:rPr>
                <w:color w:val="auto"/>
                <w:kern w:val="2"/>
                <w:highlight w:val="none"/>
              </w:rPr>
            </w:pPr>
            <w:r>
              <w:rPr>
                <w:rFonts w:hint="eastAsia"/>
                <w:color w:val="auto"/>
                <w:kern w:val="2"/>
                <w:highlight w:val="none"/>
              </w:rPr>
              <w:t>根据投标人对本工程重点、难点、关键性技术的把握程度及所提出的相应处理措施的合理性、可行性和有效性进行评定。优：</w:t>
            </w:r>
            <w:r>
              <w:rPr>
                <w:rFonts w:hint="eastAsia"/>
                <w:color w:val="auto"/>
                <w:kern w:val="2"/>
                <w:highlight w:val="none"/>
                <w:lang w:val="en-US" w:eastAsia="zh-CN"/>
              </w:rPr>
              <w:t>8</w:t>
            </w:r>
            <w:r>
              <w:rPr>
                <w:rFonts w:hint="eastAsia"/>
                <w:color w:val="auto"/>
                <w:kern w:val="2"/>
                <w:highlight w:val="none"/>
              </w:rPr>
              <w:t>-</w:t>
            </w:r>
            <w:r>
              <w:rPr>
                <w:rFonts w:hint="eastAsia"/>
                <w:color w:val="auto"/>
                <w:kern w:val="2"/>
                <w:highlight w:val="none"/>
                <w:lang w:val="en-US" w:eastAsia="zh-CN"/>
              </w:rPr>
              <w:t>9</w:t>
            </w:r>
            <w:r>
              <w:rPr>
                <w:rFonts w:hint="eastAsia"/>
                <w:color w:val="auto"/>
                <w:kern w:val="2"/>
                <w:highlight w:val="none"/>
              </w:rPr>
              <w:t>分；良：</w:t>
            </w:r>
            <w:r>
              <w:rPr>
                <w:rFonts w:hint="eastAsia"/>
                <w:color w:val="auto"/>
                <w:kern w:val="2"/>
                <w:highlight w:val="none"/>
                <w:lang w:val="en-US" w:eastAsia="zh-CN"/>
              </w:rPr>
              <w:t>7</w:t>
            </w:r>
            <w:r>
              <w:rPr>
                <w:rFonts w:hint="eastAsia"/>
                <w:color w:val="auto"/>
                <w:kern w:val="2"/>
                <w:highlight w:val="none"/>
              </w:rPr>
              <w:t>-</w:t>
            </w:r>
            <w:r>
              <w:rPr>
                <w:rFonts w:hint="eastAsia"/>
                <w:color w:val="auto"/>
                <w:kern w:val="2"/>
                <w:highlight w:val="none"/>
                <w:lang w:val="en-US" w:eastAsia="zh-CN"/>
              </w:rPr>
              <w:t>7.9</w:t>
            </w:r>
            <w:r>
              <w:rPr>
                <w:rFonts w:hint="eastAsia"/>
                <w:color w:val="auto"/>
                <w:kern w:val="2"/>
                <w:highlight w:val="none"/>
              </w:rPr>
              <w:t>分；中：6-6.9分；差：</w:t>
            </w:r>
            <w:r>
              <w:rPr>
                <w:rFonts w:hint="eastAsia"/>
                <w:color w:val="auto"/>
                <w:kern w:val="2"/>
                <w:highlight w:val="none"/>
                <w:lang w:val="en-US" w:eastAsia="zh-CN"/>
              </w:rPr>
              <w:t>5</w:t>
            </w:r>
            <w:r>
              <w:rPr>
                <w:rFonts w:hint="eastAsia"/>
                <w:color w:val="auto"/>
                <w:kern w:val="2"/>
                <w:highlight w:val="none"/>
              </w:rPr>
              <w:t>-</w:t>
            </w:r>
            <w:r>
              <w:rPr>
                <w:rFonts w:hint="eastAsia"/>
                <w:color w:val="auto"/>
                <w:kern w:val="2"/>
                <w:highlight w:val="none"/>
                <w:lang w:val="en-US" w:eastAsia="zh-CN"/>
              </w:rPr>
              <w:t>5</w:t>
            </w:r>
            <w:r>
              <w:rPr>
                <w:rFonts w:hint="eastAsia"/>
                <w:color w:val="auto"/>
                <w:kern w:val="2"/>
                <w:highlight w:val="none"/>
              </w:rPr>
              <w:t>.9分。不提供不得分。</w:t>
            </w:r>
          </w:p>
        </w:tc>
      </w:tr>
      <w:tr>
        <w:tblPrEx>
          <w:tblCellMar>
            <w:top w:w="0" w:type="dxa"/>
            <w:left w:w="0" w:type="dxa"/>
            <w:bottom w:w="0" w:type="dxa"/>
            <w:right w:w="0" w:type="dxa"/>
          </w:tblCellMar>
        </w:tblPrEx>
        <w:trPr>
          <w:trHeight w:val="1543" w:hRule="atLeast"/>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rFonts w:hint="eastAsia"/>
                <w:color w:val="auto"/>
                <w:kern w:val="2"/>
                <w:highlight w:val="none"/>
              </w:rPr>
            </w:pPr>
            <w:r>
              <w:rPr>
                <w:rFonts w:hint="eastAsia"/>
                <w:color w:val="auto"/>
                <w:kern w:val="2"/>
                <w:highlight w:val="none"/>
              </w:rPr>
              <w:t>检测方法和评价方法（包括配合专项检查工作内容）</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lang w:val="en-US" w:eastAsia="zh-CN"/>
              </w:rPr>
              <w:t>8</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jc w:val="both"/>
              <w:rPr>
                <w:color w:val="auto"/>
                <w:kern w:val="2"/>
                <w:highlight w:val="none"/>
              </w:rPr>
            </w:pPr>
            <w:r>
              <w:rPr>
                <w:rFonts w:hint="eastAsia"/>
                <w:color w:val="auto"/>
                <w:kern w:val="2"/>
                <w:highlight w:val="none"/>
              </w:rPr>
              <w:t>根据投标人对本工程的检测方法、评价方法及配合专项检查的工作内容的合理性、可行性和有效性进行综合评定。优：</w:t>
            </w:r>
            <w:r>
              <w:rPr>
                <w:rFonts w:hint="eastAsia"/>
                <w:color w:val="auto"/>
                <w:kern w:val="2"/>
                <w:highlight w:val="none"/>
                <w:lang w:val="en-US" w:eastAsia="zh-CN"/>
              </w:rPr>
              <w:t>7</w:t>
            </w:r>
            <w:r>
              <w:rPr>
                <w:rFonts w:hint="eastAsia"/>
                <w:color w:val="auto"/>
                <w:kern w:val="2"/>
                <w:highlight w:val="none"/>
              </w:rPr>
              <w:t>-</w:t>
            </w:r>
            <w:r>
              <w:rPr>
                <w:rFonts w:hint="eastAsia"/>
                <w:color w:val="auto"/>
                <w:kern w:val="2"/>
                <w:highlight w:val="none"/>
                <w:lang w:val="en-US" w:eastAsia="zh-CN"/>
              </w:rPr>
              <w:t>8</w:t>
            </w:r>
            <w:r>
              <w:rPr>
                <w:rFonts w:hint="eastAsia"/>
                <w:color w:val="auto"/>
                <w:kern w:val="2"/>
                <w:highlight w:val="none"/>
              </w:rPr>
              <w:t>分；良：6-6.9分；中：</w:t>
            </w:r>
            <w:r>
              <w:rPr>
                <w:rFonts w:hint="eastAsia"/>
                <w:color w:val="auto"/>
                <w:kern w:val="2"/>
                <w:highlight w:val="none"/>
                <w:lang w:val="en-US" w:eastAsia="zh-CN"/>
              </w:rPr>
              <w:t>5</w:t>
            </w:r>
            <w:r>
              <w:rPr>
                <w:rFonts w:hint="eastAsia"/>
                <w:color w:val="auto"/>
                <w:kern w:val="2"/>
                <w:highlight w:val="none"/>
              </w:rPr>
              <w:t>-</w:t>
            </w:r>
            <w:r>
              <w:rPr>
                <w:rFonts w:hint="eastAsia"/>
                <w:color w:val="auto"/>
                <w:kern w:val="2"/>
                <w:highlight w:val="none"/>
                <w:lang w:val="en-US" w:eastAsia="zh-CN"/>
              </w:rPr>
              <w:t>5</w:t>
            </w:r>
            <w:r>
              <w:rPr>
                <w:rFonts w:hint="eastAsia"/>
                <w:color w:val="auto"/>
                <w:kern w:val="2"/>
                <w:highlight w:val="none"/>
              </w:rPr>
              <w:t>.9分；差：</w:t>
            </w:r>
            <w:r>
              <w:rPr>
                <w:rFonts w:hint="eastAsia"/>
                <w:color w:val="auto"/>
                <w:kern w:val="2"/>
                <w:highlight w:val="none"/>
                <w:lang w:val="en-US" w:eastAsia="zh-CN"/>
              </w:rPr>
              <w:t>4</w:t>
            </w:r>
            <w:r>
              <w:rPr>
                <w:rFonts w:hint="eastAsia"/>
                <w:color w:val="auto"/>
                <w:kern w:val="2"/>
                <w:highlight w:val="none"/>
              </w:rPr>
              <w:t>-</w:t>
            </w:r>
            <w:r>
              <w:rPr>
                <w:rFonts w:hint="eastAsia"/>
                <w:color w:val="auto"/>
                <w:kern w:val="2"/>
                <w:highlight w:val="none"/>
                <w:lang w:val="en-US" w:eastAsia="zh-CN"/>
              </w:rPr>
              <w:t>4</w:t>
            </w:r>
            <w:r>
              <w:rPr>
                <w:rFonts w:hint="eastAsia"/>
                <w:color w:val="auto"/>
                <w:kern w:val="2"/>
                <w:highlight w:val="none"/>
              </w:rPr>
              <w:t>.9分。不提供不得分。</w:t>
            </w:r>
          </w:p>
        </w:tc>
      </w:tr>
      <w:tr>
        <w:tblPrEx>
          <w:tblCellMar>
            <w:top w:w="0" w:type="dxa"/>
            <w:left w:w="0" w:type="dxa"/>
            <w:bottom w:w="0" w:type="dxa"/>
            <w:right w:w="0" w:type="dxa"/>
          </w:tblCellMar>
        </w:tblPrEx>
        <w:trPr>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对本工程的建议</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2</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r>
              <w:rPr>
                <w:rFonts w:hint="eastAsia" w:ascii="Times New Roman" w:hAnsi="Times New Roman" w:eastAsia="宋体" w:cs="Times New Roman"/>
                <w:color w:val="auto"/>
                <w:kern w:val="2"/>
                <w:sz w:val="24"/>
                <w:highlight w:val="none"/>
              </w:rPr>
              <w:t>对投标人所提建议的合理性、可实施性、项目针对性进行评分。优：1.</w:t>
            </w:r>
            <w:r>
              <w:rPr>
                <w:rFonts w:hint="eastAsia" w:ascii="Times New Roman" w:hAnsi="Times New Roman" w:eastAsia="宋体" w:cs="Times New Roman"/>
                <w:color w:val="auto"/>
                <w:kern w:val="2"/>
                <w:sz w:val="24"/>
                <w:highlight w:val="none"/>
                <w:lang w:val="en-US" w:eastAsia="zh-CN"/>
              </w:rPr>
              <w:t>8</w:t>
            </w:r>
            <w:r>
              <w:rPr>
                <w:rFonts w:hint="eastAsia" w:ascii="Times New Roman" w:hAnsi="Times New Roman" w:eastAsia="宋体" w:cs="Times New Roman"/>
                <w:color w:val="auto"/>
                <w:kern w:val="2"/>
                <w:sz w:val="24"/>
                <w:highlight w:val="none"/>
              </w:rPr>
              <w:t>-2分；良：1</w:t>
            </w:r>
            <w:r>
              <w:rPr>
                <w:rFonts w:hint="eastAsia" w:ascii="Times New Roman" w:hAnsi="Times New Roman" w:eastAsia="宋体" w:cs="Times New Roman"/>
                <w:color w:val="auto"/>
                <w:kern w:val="2"/>
                <w:sz w:val="24"/>
                <w:highlight w:val="none"/>
                <w:lang w:val="en-US" w:eastAsia="zh-CN"/>
              </w:rPr>
              <w:t>.6</w:t>
            </w:r>
            <w:r>
              <w:rPr>
                <w:rFonts w:hint="eastAsia" w:ascii="Times New Roman" w:hAnsi="Times New Roman" w:eastAsia="宋体" w:cs="Times New Roman"/>
                <w:color w:val="auto"/>
                <w:kern w:val="2"/>
                <w:sz w:val="24"/>
                <w:highlight w:val="none"/>
              </w:rPr>
              <w:t>-1.</w:t>
            </w:r>
            <w:r>
              <w:rPr>
                <w:rFonts w:hint="eastAsia" w:ascii="Times New Roman" w:hAnsi="Times New Roman" w:eastAsia="宋体" w:cs="Times New Roman"/>
                <w:color w:val="auto"/>
                <w:kern w:val="2"/>
                <w:sz w:val="24"/>
                <w:highlight w:val="none"/>
                <w:lang w:val="en-US" w:eastAsia="zh-CN"/>
              </w:rPr>
              <w:t>7</w:t>
            </w:r>
            <w:r>
              <w:rPr>
                <w:rFonts w:hint="eastAsia" w:ascii="Times New Roman" w:hAnsi="Times New Roman" w:eastAsia="宋体" w:cs="Times New Roman"/>
                <w:color w:val="auto"/>
                <w:kern w:val="2"/>
                <w:sz w:val="24"/>
                <w:highlight w:val="none"/>
              </w:rPr>
              <w:t>分；中：</w:t>
            </w:r>
            <w:r>
              <w:rPr>
                <w:rFonts w:hint="eastAsia" w:ascii="Times New Roman" w:hAnsi="Times New Roman" w:eastAsia="宋体" w:cs="Times New Roman"/>
                <w:color w:val="auto"/>
                <w:kern w:val="2"/>
                <w:sz w:val="24"/>
                <w:highlight w:val="none"/>
                <w:lang w:val="en-US" w:eastAsia="zh-CN"/>
              </w:rPr>
              <w:t>1.4-1.5</w:t>
            </w:r>
            <w:r>
              <w:rPr>
                <w:rFonts w:hint="eastAsia" w:ascii="Times New Roman" w:hAnsi="Times New Roman" w:eastAsia="宋体" w:cs="Times New Roman"/>
                <w:color w:val="auto"/>
                <w:kern w:val="2"/>
                <w:sz w:val="24"/>
                <w:highlight w:val="none"/>
              </w:rPr>
              <w:t>分；差：</w:t>
            </w:r>
            <w:r>
              <w:rPr>
                <w:rFonts w:hint="eastAsia" w:ascii="Times New Roman" w:hAnsi="Times New Roman" w:eastAsia="宋体" w:cs="Times New Roman"/>
                <w:color w:val="auto"/>
                <w:kern w:val="2"/>
                <w:sz w:val="24"/>
                <w:highlight w:val="none"/>
                <w:lang w:val="en-US" w:eastAsia="zh-CN"/>
              </w:rPr>
              <w:t>1.2-1.3</w:t>
            </w:r>
            <w:r>
              <w:rPr>
                <w:rFonts w:hint="eastAsia" w:ascii="Times New Roman" w:hAnsi="Times New Roman" w:eastAsia="宋体" w:cs="Times New Roman"/>
                <w:color w:val="auto"/>
                <w:kern w:val="2"/>
                <w:sz w:val="24"/>
                <w:highlight w:val="none"/>
              </w:rPr>
              <w:t>分。不提供不得分。</w:t>
            </w:r>
          </w:p>
        </w:tc>
      </w:tr>
      <w:tr>
        <w:tblPrEx>
          <w:tblCellMar>
            <w:top w:w="0" w:type="dxa"/>
            <w:left w:w="0" w:type="dxa"/>
            <w:bottom w:w="0" w:type="dxa"/>
            <w:right w:w="0" w:type="dxa"/>
          </w:tblCellMar>
        </w:tblPrEx>
        <w:trPr>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color w:val="auto"/>
                <w:kern w:val="2"/>
                <w:highlight w:val="none"/>
              </w:rPr>
            </w:pPr>
            <w:r>
              <w:rPr>
                <w:rFonts w:hint="eastAsia"/>
                <w:color w:val="auto"/>
                <w:kern w:val="2"/>
                <w:highlight w:val="none"/>
              </w:rPr>
              <w:t>检测服务工作质量、安全保证体系</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4</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rPr>
                <w:color w:val="auto"/>
                <w:kern w:val="2"/>
                <w:highlight w:val="none"/>
              </w:rPr>
            </w:pPr>
            <w:r>
              <w:rPr>
                <w:rFonts w:hint="eastAsia"/>
                <w:color w:val="auto"/>
                <w:kern w:val="2"/>
                <w:highlight w:val="none"/>
              </w:rPr>
              <w:t>对检测服务工作质量、安全保证体系的合理性、可行性和有效性进行评分。优：4-3.7分；良3.3-3.6分；中2.9-3.2分；差2.</w:t>
            </w:r>
            <w:r>
              <w:rPr>
                <w:rFonts w:hint="eastAsia"/>
                <w:color w:val="auto"/>
                <w:kern w:val="2"/>
                <w:highlight w:val="none"/>
                <w:lang w:val="en-US" w:eastAsia="zh-CN"/>
              </w:rPr>
              <w:t>5</w:t>
            </w:r>
            <w:r>
              <w:rPr>
                <w:rFonts w:hint="eastAsia"/>
                <w:color w:val="auto"/>
                <w:kern w:val="2"/>
                <w:highlight w:val="none"/>
              </w:rPr>
              <w:t>-2.8分。不提供不得分。</w:t>
            </w:r>
          </w:p>
        </w:tc>
      </w:tr>
      <w:tr>
        <w:tblPrEx>
          <w:tblCellMar>
            <w:top w:w="0" w:type="dxa"/>
            <w:left w:w="0" w:type="dxa"/>
            <w:bottom w:w="0" w:type="dxa"/>
            <w:right w:w="0" w:type="dxa"/>
          </w:tblCellMar>
        </w:tblPrEx>
        <w:trPr>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rFonts w:hint="eastAsia"/>
                <w:color w:val="auto"/>
                <w:kern w:val="2"/>
                <w:highlight w:val="none"/>
              </w:rPr>
            </w:pPr>
            <w:r>
              <w:rPr>
                <w:rFonts w:hint="eastAsia"/>
                <w:color w:val="auto"/>
                <w:kern w:val="2"/>
                <w:highlight w:val="none"/>
              </w:rPr>
              <w:t>项目组织机构及主要人员安排</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4</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rPr>
                <w:rFonts w:hint="eastAsia"/>
                <w:color w:val="auto"/>
                <w:kern w:val="2"/>
                <w:highlight w:val="none"/>
              </w:rPr>
            </w:pPr>
            <w:r>
              <w:rPr>
                <w:rFonts w:hint="eastAsia"/>
                <w:color w:val="auto"/>
                <w:kern w:val="2"/>
                <w:highlight w:val="none"/>
              </w:rPr>
              <w:t>对项目组织机构及人员安排的合理性、可实施性及是否满足实际检测服务要求进行综合评分。优：4-3.7分；良3.3-3.6分；中2.9-3.2分；差2.</w:t>
            </w:r>
            <w:r>
              <w:rPr>
                <w:rFonts w:hint="eastAsia"/>
                <w:color w:val="auto"/>
                <w:kern w:val="2"/>
                <w:highlight w:val="none"/>
                <w:lang w:val="en-US" w:eastAsia="zh-CN"/>
              </w:rPr>
              <w:t>5</w:t>
            </w:r>
            <w:r>
              <w:rPr>
                <w:rFonts w:hint="eastAsia"/>
                <w:color w:val="auto"/>
                <w:kern w:val="2"/>
                <w:highlight w:val="none"/>
              </w:rPr>
              <w:t>-2.8分。不提供不得分。</w:t>
            </w:r>
          </w:p>
        </w:tc>
      </w:tr>
      <w:tr>
        <w:tblPrEx>
          <w:tblCellMar>
            <w:top w:w="0" w:type="dxa"/>
            <w:left w:w="0" w:type="dxa"/>
            <w:bottom w:w="0" w:type="dxa"/>
            <w:right w:w="0" w:type="dxa"/>
          </w:tblCellMar>
        </w:tblPrEx>
        <w:trPr>
          <w:trHeight w:val="720" w:hRule="atLeast"/>
          <w:jc w:val="center"/>
        </w:trPr>
        <w:tc>
          <w:tcPr>
            <w:tcW w:w="59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70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567"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jc w:val="both"/>
              <w:rPr>
                <w:color w:val="auto"/>
                <w:kern w:val="2"/>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jc w:val="center"/>
              <w:rPr>
                <w:rFonts w:hint="eastAsia"/>
                <w:color w:val="auto"/>
                <w:kern w:val="2"/>
                <w:highlight w:val="none"/>
              </w:rPr>
            </w:pPr>
            <w:r>
              <w:rPr>
                <w:rFonts w:hint="eastAsia"/>
                <w:color w:val="auto"/>
                <w:kern w:val="2"/>
                <w:highlight w:val="none"/>
              </w:rPr>
              <w:t>工作进度计划</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lang w:val="en-US" w:eastAsia="zh-CN"/>
              </w:rPr>
              <w:t>8</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220" w:firstLineChars="100"/>
              <w:rPr>
                <w:color w:val="auto"/>
                <w:kern w:val="2"/>
                <w:highlight w:val="none"/>
              </w:rPr>
            </w:pPr>
            <w:r>
              <w:rPr>
                <w:rFonts w:hint="eastAsia"/>
                <w:color w:val="auto"/>
                <w:kern w:val="2"/>
                <w:highlight w:val="none"/>
              </w:rPr>
              <w:t>对检测服务工作进度安排合理性、可实施性进行综合评分。优：</w:t>
            </w:r>
            <w:r>
              <w:rPr>
                <w:rFonts w:hint="eastAsia"/>
                <w:color w:val="auto"/>
                <w:kern w:val="2"/>
                <w:highlight w:val="none"/>
                <w:lang w:val="en-US" w:eastAsia="zh-CN"/>
              </w:rPr>
              <w:t>7</w:t>
            </w:r>
            <w:r>
              <w:rPr>
                <w:rFonts w:hint="eastAsia"/>
                <w:color w:val="auto"/>
                <w:kern w:val="2"/>
                <w:highlight w:val="none"/>
              </w:rPr>
              <w:t>-</w:t>
            </w:r>
            <w:r>
              <w:rPr>
                <w:rFonts w:hint="eastAsia"/>
                <w:color w:val="auto"/>
                <w:kern w:val="2"/>
                <w:highlight w:val="none"/>
                <w:lang w:val="en-US" w:eastAsia="zh-CN"/>
              </w:rPr>
              <w:t>8</w:t>
            </w:r>
            <w:r>
              <w:rPr>
                <w:rFonts w:hint="eastAsia"/>
                <w:color w:val="auto"/>
                <w:kern w:val="2"/>
                <w:highlight w:val="none"/>
              </w:rPr>
              <w:t>分；良：6-6.9分；中：</w:t>
            </w:r>
            <w:r>
              <w:rPr>
                <w:rFonts w:hint="eastAsia"/>
                <w:color w:val="auto"/>
                <w:kern w:val="2"/>
                <w:highlight w:val="none"/>
                <w:lang w:val="en-US" w:eastAsia="zh-CN"/>
              </w:rPr>
              <w:t>5</w:t>
            </w:r>
            <w:r>
              <w:rPr>
                <w:rFonts w:hint="eastAsia"/>
                <w:color w:val="auto"/>
                <w:kern w:val="2"/>
                <w:highlight w:val="none"/>
              </w:rPr>
              <w:t>-</w:t>
            </w:r>
            <w:r>
              <w:rPr>
                <w:rFonts w:hint="eastAsia"/>
                <w:color w:val="auto"/>
                <w:kern w:val="2"/>
                <w:highlight w:val="none"/>
                <w:lang w:val="en-US" w:eastAsia="zh-CN"/>
              </w:rPr>
              <w:t>5</w:t>
            </w:r>
            <w:r>
              <w:rPr>
                <w:rFonts w:hint="eastAsia"/>
                <w:color w:val="auto"/>
                <w:kern w:val="2"/>
                <w:highlight w:val="none"/>
              </w:rPr>
              <w:t>.9分；差：</w:t>
            </w:r>
            <w:r>
              <w:rPr>
                <w:rFonts w:hint="eastAsia"/>
                <w:color w:val="auto"/>
                <w:kern w:val="2"/>
                <w:highlight w:val="none"/>
                <w:lang w:val="en-US" w:eastAsia="zh-CN"/>
              </w:rPr>
              <w:t>4</w:t>
            </w:r>
            <w:r>
              <w:rPr>
                <w:rFonts w:hint="eastAsia"/>
                <w:color w:val="auto"/>
                <w:kern w:val="2"/>
                <w:highlight w:val="none"/>
              </w:rPr>
              <w:t>-</w:t>
            </w:r>
            <w:r>
              <w:rPr>
                <w:rFonts w:hint="eastAsia"/>
                <w:color w:val="auto"/>
                <w:kern w:val="2"/>
                <w:highlight w:val="none"/>
                <w:lang w:val="en-US" w:eastAsia="zh-CN"/>
              </w:rPr>
              <w:t>4</w:t>
            </w:r>
            <w:r>
              <w:rPr>
                <w:rFonts w:hint="eastAsia"/>
                <w:color w:val="auto"/>
                <w:kern w:val="2"/>
                <w:highlight w:val="none"/>
              </w:rPr>
              <w:t>.9分。不提供不得分。</w:t>
            </w:r>
          </w:p>
        </w:tc>
      </w:tr>
      <w:tr>
        <w:tblPrEx>
          <w:tblCellMar>
            <w:top w:w="0" w:type="dxa"/>
            <w:left w:w="0" w:type="dxa"/>
            <w:bottom w:w="0" w:type="dxa"/>
            <w:right w:w="0" w:type="dxa"/>
          </w:tblCellMar>
        </w:tblPrEx>
        <w:trPr>
          <w:jc w:val="center"/>
        </w:trPr>
        <w:tc>
          <w:tcPr>
            <w:tcW w:w="596"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2.2.4（2）</w:t>
            </w:r>
          </w:p>
        </w:tc>
        <w:tc>
          <w:tcPr>
            <w:tcW w:w="70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主要人员</w:t>
            </w:r>
          </w:p>
        </w:tc>
        <w:tc>
          <w:tcPr>
            <w:tcW w:w="56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rPr>
              <w:t>1</w:t>
            </w:r>
            <w:r>
              <w:rPr>
                <w:rFonts w:hint="eastAsia"/>
                <w:color w:val="auto"/>
                <w:kern w:val="2"/>
                <w:highlight w:val="none"/>
                <w:lang w:val="en-US" w:eastAsia="zh-CN"/>
              </w:rPr>
              <w:t>6</w:t>
            </w:r>
          </w:p>
        </w:tc>
        <w:tc>
          <w:tcPr>
            <w:tcW w:w="198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项目负责人和技术负责人任职资格与业绩（注：加分的个人业绩应满足招标文件第六章投标文件格式的相关要求，否则不予认可）</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rPr>
              <w:t>1</w:t>
            </w:r>
            <w:r>
              <w:rPr>
                <w:rFonts w:hint="eastAsia"/>
                <w:color w:val="auto"/>
                <w:kern w:val="2"/>
                <w:highlight w:val="none"/>
                <w:lang w:val="en-US" w:eastAsia="zh-CN"/>
              </w:rPr>
              <w:t>6</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firstLineChars="200"/>
              <w:rPr>
                <w:rFonts w:hint="eastAsia"/>
                <w:color w:val="auto"/>
                <w:highlight w:val="none"/>
              </w:rPr>
            </w:pPr>
            <w:r>
              <w:rPr>
                <w:rFonts w:hint="eastAsia"/>
                <w:color w:val="auto"/>
                <w:highlight w:val="none"/>
              </w:rPr>
              <w:t>最近</w:t>
            </w:r>
            <w:r>
              <w:rPr>
                <w:rFonts w:hint="eastAsia"/>
                <w:color w:val="auto"/>
                <w:highlight w:val="none"/>
                <w:lang w:val="en-US" w:eastAsia="zh-CN"/>
              </w:rPr>
              <w:t>5</w:t>
            </w:r>
            <w:r>
              <w:rPr>
                <w:rFonts w:hint="eastAsia"/>
                <w:color w:val="auto"/>
                <w:highlight w:val="none"/>
              </w:rPr>
              <w:t>年（ 201</w:t>
            </w:r>
            <w:r>
              <w:rPr>
                <w:rFonts w:hint="eastAsia"/>
                <w:color w:val="auto"/>
                <w:highlight w:val="none"/>
                <w:lang w:val="en-US" w:eastAsia="zh-CN"/>
              </w:rPr>
              <w:t>6</w:t>
            </w:r>
            <w:r>
              <w:rPr>
                <w:rFonts w:hint="eastAsia"/>
                <w:color w:val="auto"/>
                <w:highlight w:val="none"/>
              </w:rPr>
              <w:t>年1月1日～至投标文件递交截止之日，以合同协议书和业主出具的相关证明文件（两项证明文件必须同时具备）或者合同协议和质量监督部门出具的证明（两项证明文件必须同时具备）中的业绩完成日期为准。</w:t>
            </w:r>
          </w:p>
          <w:p>
            <w:pPr>
              <w:snapToGrid w:val="0"/>
              <w:spacing w:line="276" w:lineRule="auto"/>
              <w:ind w:firstLine="440" w:firstLineChars="200"/>
              <w:rPr>
                <w:rFonts w:hint="eastAsia"/>
                <w:color w:val="auto"/>
                <w:highlight w:val="none"/>
              </w:rPr>
            </w:pPr>
          </w:p>
          <w:p>
            <w:pPr>
              <w:snapToGrid w:val="0"/>
              <w:spacing w:line="276" w:lineRule="auto"/>
              <w:rPr>
                <w:rFonts w:hint="eastAsia"/>
                <w:color w:val="auto"/>
                <w:highlight w:val="none"/>
              </w:rPr>
            </w:pPr>
            <w:r>
              <w:rPr>
                <w:rFonts w:hint="eastAsia"/>
                <w:color w:val="auto"/>
                <w:highlight w:val="none"/>
              </w:rPr>
              <w:t>项目负责人</w:t>
            </w:r>
          </w:p>
          <w:p>
            <w:pPr>
              <w:snapToGrid w:val="0"/>
              <w:spacing w:line="276" w:lineRule="auto"/>
              <w:rPr>
                <w:rFonts w:hint="eastAsia"/>
                <w:color w:val="auto"/>
                <w:highlight w:val="none"/>
              </w:rPr>
            </w:pPr>
            <w:r>
              <w:rPr>
                <w:rFonts w:hint="eastAsia"/>
                <w:color w:val="auto"/>
                <w:highlight w:val="none"/>
              </w:rPr>
              <w:t>①满足资格审查条件要求得2分；</w:t>
            </w:r>
          </w:p>
          <w:p>
            <w:pPr>
              <w:snapToGrid w:val="0"/>
              <w:spacing w:line="276" w:lineRule="auto"/>
              <w:rPr>
                <w:rFonts w:hint="eastAsia"/>
                <w:color w:val="auto"/>
                <w:highlight w:val="none"/>
              </w:rPr>
            </w:pPr>
            <w:r>
              <w:rPr>
                <w:rFonts w:hint="eastAsia"/>
                <w:color w:val="auto"/>
                <w:highlight w:val="none"/>
                <w:lang w:eastAsia="zh-CN"/>
              </w:rPr>
              <w:t>②</w:t>
            </w:r>
            <w:r>
              <w:rPr>
                <w:rFonts w:hint="eastAsia"/>
                <w:color w:val="auto"/>
                <w:highlight w:val="none"/>
              </w:rPr>
              <w:t>提供已完成项目负责人业绩</w:t>
            </w:r>
            <w:r>
              <w:rPr>
                <w:rFonts w:hint="eastAsia"/>
                <w:color w:val="auto"/>
                <w:highlight w:val="none"/>
                <w:lang w:val="en-US" w:eastAsia="zh-CN"/>
              </w:rPr>
              <w:t>含</w:t>
            </w:r>
            <w:r>
              <w:rPr>
                <w:rFonts w:hint="eastAsia"/>
                <w:color w:val="auto"/>
                <w:highlight w:val="none"/>
              </w:rPr>
              <w:t>高速公路</w:t>
            </w:r>
            <w:r>
              <w:rPr>
                <w:rFonts w:hint="eastAsia"/>
                <w:color w:val="auto"/>
                <w:highlight w:val="none"/>
                <w:lang w:eastAsia="zh-CN"/>
              </w:rPr>
              <w:t>（或其他公路）</w:t>
            </w:r>
            <w:r>
              <w:rPr>
                <w:rFonts w:hint="eastAsia"/>
                <w:color w:val="auto"/>
                <w:highlight w:val="none"/>
                <w:lang w:val="en-US" w:eastAsia="zh-CN"/>
              </w:rPr>
              <w:t>机电工程</w:t>
            </w:r>
            <w:r>
              <w:rPr>
                <w:rFonts w:hint="eastAsia"/>
                <w:color w:val="auto"/>
                <w:kern w:val="2"/>
                <w:highlight w:val="none"/>
                <w:lang w:val="en-US" w:eastAsia="zh-CN"/>
              </w:rPr>
              <w:t>交工（或竣工）</w:t>
            </w:r>
            <w:r>
              <w:rPr>
                <w:rFonts w:hint="eastAsia"/>
                <w:color w:val="auto"/>
                <w:highlight w:val="none"/>
                <w:lang w:val="en-US" w:eastAsia="zh-CN"/>
              </w:rPr>
              <w:t>检测</w:t>
            </w:r>
            <w:r>
              <w:rPr>
                <w:rFonts w:hint="eastAsia"/>
                <w:color w:val="auto"/>
                <w:highlight w:val="none"/>
              </w:rPr>
              <w:t>的，每提供1项加2分</w:t>
            </w:r>
            <w:r>
              <w:rPr>
                <w:rFonts w:hint="eastAsia"/>
                <w:color w:val="auto"/>
                <w:highlight w:val="none"/>
                <w:lang w:eastAsia="zh-CN"/>
              </w:rPr>
              <w:t>，</w:t>
            </w:r>
            <w:r>
              <w:rPr>
                <w:color w:val="auto"/>
                <w:highlight w:val="none"/>
              </w:rPr>
              <w:t>最多加</w:t>
            </w:r>
            <w:r>
              <w:rPr>
                <w:rFonts w:hint="eastAsia"/>
                <w:color w:val="auto"/>
                <w:highlight w:val="none"/>
                <w:lang w:val="en-US" w:eastAsia="zh-CN"/>
              </w:rPr>
              <w:t>4</w:t>
            </w:r>
            <w:r>
              <w:rPr>
                <w:color w:val="auto"/>
                <w:highlight w:val="none"/>
              </w:rPr>
              <w:t>分。</w:t>
            </w:r>
          </w:p>
          <w:p>
            <w:pPr>
              <w:snapToGrid w:val="0"/>
              <w:spacing w:line="276" w:lineRule="auto"/>
              <w:rPr>
                <w:rFonts w:hint="eastAsia"/>
                <w:color w:val="auto"/>
                <w:highlight w:val="none"/>
                <w:lang w:eastAsia="zh-CN"/>
              </w:rPr>
            </w:pPr>
            <w:r>
              <w:rPr>
                <w:rFonts w:hint="eastAsia"/>
                <w:color w:val="auto"/>
                <w:highlight w:val="none"/>
                <w:lang w:eastAsia="zh-CN"/>
              </w:rPr>
              <w:t>③</w:t>
            </w:r>
            <w:r>
              <w:rPr>
                <w:rFonts w:hint="eastAsia"/>
                <w:color w:val="auto"/>
                <w:highlight w:val="none"/>
              </w:rPr>
              <w:t>项目负责人</w:t>
            </w:r>
            <w:r>
              <w:rPr>
                <w:rFonts w:hint="eastAsia"/>
                <w:color w:val="auto"/>
                <w:highlight w:val="none"/>
                <w:lang w:eastAsia="zh-CN"/>
              </w:rPr>
              <w:t>持有</w:t>
            </w:r>
            <w:r>
              <w:rPr>
                <w:rFonts w:hint="eastAsia"/>
                <w:color w:val="auto"/>
                <w:highlight w:val="none"/>
                <w:lang w:val="en-US" w:eastAsia="zh-CN"/>
              </w:rPr>
              <w:t>软件评测工程师或软件测试工程师</w:t>
            </w:r>
            <w:r>
              <w:rPr>
                <w:rFonts w:hint="eastAsia"/>
                <w:color w:val="auto"/>
                <w:highlight w:val="none"/>
                <w:lang w:eastAsia="zh-CN"/>
              </w:rPr>
              <w:t>相关证书，</w:t>
            </w:r>
            <w:r>
              <w:rPr>
                <w:rFonts w:hint="eastAsia"/>
                <w:color w:val="auto"/>
                <w:highlight w:val="none"/>
                <w:lang w:val="en-US" w:eastAsia="zh-CN"/>
              </w:rPr>
              <w:t>提供复印件加盖公章</w:t>
            </w:r>
            <w:r>
              <w:rPr>
                <w:rFonts w:hint="eastAsia"/>
                <w:color w:val="auto"/>
                <w:highlight w:val="none"/>
              </w:rPr>
              <w:t>加2分</w:t>
            </w:r>
            <w:r>
              <w:rPr>
                <w:rFonts w:hint="eastAsia"/>
                <w:color w:val="auto"/>
                <w:highlight w:val="none"/>
                <w:lang w:eastAsia="zh-CN"/>
              </w:rPr>
              <w:t>。</w:t>
            </w:r>
          </w:p>
          <w:p>
            <w:pPr>
              <w:snapToGrid w:val="0"/>
              <w:spacing w:line="276" w:lineRule="auto"/>
              <w:rPr>
                <w:rFonts w:hint="eastAsia"/>
                <w:color w:val="auto"/>
                <w:highlight w:val="none"/>
              </w:rPr>
            </w:pPr>
          </w:p>
          <w:p>
            <w:pPr>
              <w:snapToGrid w:val="0"/>
              <w:spacing w:line="276" w:lineRule="auto"/>
              <w:rPr>
                <w:rFonts w:hint="eastAsia"/>
                <w:color w:val="auto"/>
                <w:highlight w:val="none"/>
              </w:rPr>
            </w:pPr>
            <w:r>
              <w:rPr>
                <w:rFonts w:hint="eastAsia"/>
                <w:color w:val="auto"/>
                <w:highlight w:val="none"/>
              </w:rPr>
              <w:t>技术负责人：</w:t>
            </w:r>
          </w:p>
          <w:p>
            <w:pPr>
              <w:numPr>
                <w:ilvl w:val="0"/>
                <w:numId w:val="7"/>
              </w:numPr>
              <w:snapToGrid w:val="0"/>
              <w:spacing w:line="276" w:lineRule="auto"/>
              <w:rPr>
                <w:rFonts w:hint="eastAsia"/>
                <w:color w:val="auto"/>
                <w:highlight w:val="none"/>
              </w:rPr>
            </w:pPr>
            <w:r>
              <w:rPr>
                <w:rFonts w:hint="eastAsia"/>
                <w:color w:val="auto"/>
                <w:highlight w:val="none"/>
              </w:rPr>
              <w:t>满足资格审查条件要求得2分；</w:t>
            </w:r>
          </w:p>
          <w:p>
            <w:pPr>
              <w:snapToGrid w:val="0"/>
              <w:spacing w:line="276" w:lineRule="auto"/>
              <w:rPr>
                <w:color w:val="auto"/>
                <w:highlight w:val="none"/>
              </w:rPr>
            </w:pPr>
            <w:r>
              <w:rPr>
                <w:rFonts w:hint="eastAsia"/>
                <w:color w:val="auto"/>
                <w:highlight w:val="none"/>
              </w:rPr>
              <w:t>②提供已完成技术负责人业绩</w:t>
            </w:r>
            <w:r>
              <w:rPr>
                <w:rFonts w:hint="eastAsia"/>
                <w:color w:val="auto"/>
                <w:highlight w:val="none"/>
                <w:lang w:val="en-US" w:eastAsia="zh-CN"/>
              </w:rPr>
              <w:t>含</w:t>
            </w:r>
            <w:r>
              <w:rPr>
                <w:rFonts w:hint="eastAsia"/>
                <w:color w:val="auto"/>
                <w:highlight w:val="none"/>
              </w:rPr>
              <w:t>高速公路</w:t>
            </w:r>
            <w:r>
              <w:rPr>
                <w:rFonts w:hint="eastAsia"/>
                <w:color w:val="auto"/>
                <w:highlight w:val="none"/>
                <w:lang w:eastAsia="zh-CN"/>
              </w:rPr>
              <w:t>（或其他公路）</w:t>
            </w:r>
            <w:r>
              <w:rPr>
                <w:rFonts w:hint="eastAsia"/>
                <w:color w:val="auto"/>
                <w:highlight w:val="none"/>
                <w:lang w:val="en-US" w:eastAsia="zh-CN"/>
              </w:rPr>
              <w:t>机电工程</w:t>
            </w:r>
            <w:r>
              <w:rPr>
                <w:rFonts w:hint="eastAsia"/>
                <w:color w:val="auto"/>
                <w:kern w:val="2"/>
                <w:highlight w:val="none"/>
                <w:lang w:val="en-US" w:eastAsia="zh-CN"/>
              </w:rPr>
              <w:t>交工（或竣工）</w:t>
            </w:r>
            <w:r>
              <w:rPr>
                <w:rFonts w:hint="eastAsia"/>
                <w:color w:val="auto"/>
                <w:highlight w:val="none"/>
                <w:lang w:val="en-US" w:eastAsia="zh-CN"/>
              </w:rPr>
              <w:t>检测</w:t>
            </w:r>
            <w:r>
              <w:rPr>
                <w:rFonts w:hint="eastAsia"/>
                <w:color w:val="auto"/>
                <w:highlight w:val="none"/>
              </w:rPr>
              <w:t>的，每提供1项加2分</w:t>
            </w:r>
            <w:r>
              <w:rPr>
                <w:color w:val="auto"/>
                <w:highlight w:val="none"/>
              </w:rPr>
              <w:t>，最多加</w:t>
            </w:r>
            <w:r>
              <w:rPr>
                <w:rFonts w:hint="eastAsia"/>
                <w:color w:val="auto"/>
                <w:highlight w:val="none"/>
                <w:lang w:val="en-US" w:eastAsia="zh-CN"/>
              </w:rPr>
              <w:t>4</w:t>
            </w:r>
            <w:r>
              <w:rPr>
                <w:color w:val="auto"/>
                <w:highlight w:val="none"/>
              </w:rPr>
              <w:t>分。</w:t>
            </w:r>
          </w:p>
          <w:p>
            <w:pPr>
              <w:snapToGrid w:val="0"/>
              <w:spacing w:line="276" w:lineRule="auto"/>
              <w:rPr>
                <w:rFonts w:hint="eastAsia"/>
                <w:color w:val="auto"/>
                <w:highlight w:val="none"/>
              </w:rPr>
            </w:pPr>
            <w:r>
              <w:rPr>
                <w:rFonts w:hint="eastAsia"/>
                <w:color w:val="auto"/>
                <w:kern w:val="2"/>
                <w:highlight w:val="none"/>
                <w:lang w:eastAsia="zh-CN"/>
              </w:rPr>
              <w:t>③</w:t>
            </w:r>
            <w:r>
              <w:rPr>
                <w:rFonts w:hint="eastAsia"/>
                <w:color w:val="auto"/>
                <w:kern w:val="2"/>
                <w:highlight w:val="none"/>
                <w:lang w:val="en-US" w:eastAsia="zh-CN"/>
              </w:rPr>
              <w:t>技术</w:t>
            </w:r>
            <w:r>
              <w:rPr>
                <w:rFonts w:hint="eastAsia"/>
                <w:color w:val="auto"/>
                <w:kern w:val="2"/>
                <w:highlight w:val="none"/>
              </w:rPr>
              <w:t>负责人</w:t>
            </w:r>
            <w:r>
              <w:rPr>
                <w:rFonts w:hint="eastAsia"/>
                <w:color w:val="auto"/>
                <w:highlight w:val="none"/>
                <w:lang w:eastAsia="zh-CN"/>
              </w:rPr>
              <w:t>持有</w:t>
            </w:r>
            <w:r>
              <w:rPr>
                <w:rFonts w:hint="eastAsia"/>
                <w:color w:val="auto"/>
                <w:highlight w:val="none"/>
                <w:lang w:val="en-US" w:eastAsia="zh-CN"/>
              </w:rPr>
              <w:t>软件评测工程师或软件测试工程师</w:t>
            </w:r>
            <w:r>
              <w:rPr>
                <w:rFonts w:hint="eastAsia"/>
                <w:color w:val="auto"/>
                <w:highlight w:val="none"/>
                <w:lang w:eastAsia="zh-CN"/>
              </w:rPr>
              <w:t>相关证书，</w:t>
            </w:r>
            <w:r>
              <w:rPr>
                <w:rFonts w:hint="eastAsia"/>
                <w:color w:val="auto"/>
                <w:highlight w:val="none"/>
                <w:lang w:val="en-US" w:eastAsia="zh-CN"/>
              </w:rPr>
              <w:t>提供复印件加盖公章</w:t>
            </w:r>
            <w:r>
              <w:rPr>
                <w:rFonts w:hint="eastAsia"/>
                <w:color w:val="auto"/>
                <w:highlight w:val="none"/>
              </w:rPr>
              <w:t>加2分</w:t>
            </w:r>
            <w:r>
              <w:rPr>
                <w:rFonts w:hint="eastAsia"/>
                <w:color w:val="auto"/>
                <w:kern w:val="2"/>
                <w:highlight w:val="none"/>
                <w:lang w:eastAsia="zh-CN"/>
              </w:rPr>
              <w:t>。</w:t>
            </w:r>
          </w:p>
        </w:tc>
      </w:tr>
      <w:tr>
        <w:tblPrEx>
          <w:tblCellMar>
            <w:top w:w="0" w:type="dxa"/>
            <w:left w:w="0" w:type="dxa"/>
            <w:bottom w:w="0" w:type="dxa"/>
            <w:right w:w="0" w:type="dxa"/>
          </w:tblCellMar>
        </w:tblPrEx>
        <w:trPr>
          <w:jc w:val="center"/>
        </w:trPr>
        <w:tc>
          <w:tcPr>
            <w:tcW w:w="596"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2.2.4（3）</w:t>
            </w:r>
          </w:p>
        </w:tc>
        <w:tc>
          <w:tcPr>
            <w:tcW w:w="70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sz w:val="24"/>
                <w:szCs w:val="24"/>
                <w:highlight w:val="none"/>
              </w:rPr>
              <w:t>其他因素</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sz w:val="24"/>
                <w:szCs w:val="24"/>
                <w:highlight w:val="none"/>
                <w:lang w:eastAsia="zh-CN"/>
              </w:rPr>
              <w:t>投标人综合能力</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eastAsia="宋体"/>
                <w:color w:val="auto"/>
                <w:kern w:val="2"/>
                <w:highlight w:val="none"/>
                <w:lang w:eastAsia="zh-CN"/>
              </w:rPr>
            </w:pPr>
            <w:r>
              <w:rPr>
                <w:rFonts w:hint="eastAsia"/>
                <w:color w:val="auto"/>
                <w:kern w:val="2"/>
                <w:highlight w:val="none"/>
                <w:lang w:val="en-US" w:eastAsia="zh-CN"/>
              </w:rPr>
              <w:t>5</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①</w:t>
            </w:r>
            <w:r>
              <w:rPr>
                <w:rFonts w:hint="eastAsia"/>
                <w:color w:val="auto"/>
                <w:kern w:val="2"/>
                <w:highlight w:val="none"/>
                <w:lang w:eastAsia="zh-CN"/>
              </w:rPr>
              <w:t>具有</w:t>
            </w:r>
            <w:r>
              <w:rPr>
                <w:rFonts w:hint="eastAsia"/>
                <w:color w:val="auto"/>
                <w:kern w:val="2"/>
                <w:highlight w:val="none"/>
                <w:lang w:val="en-US" w:eastAsia="zh-CN"/>
              </w:rPr>
              <w:t>有效的</w:t>
            </w:r>
            <w:r>
              <w:rPr>
                <w:rFonts w:hint="eastAsia"/>
                <w:color w:val="auto"/>
                <w:kern w:val="2"/>
                <w:highlight w:val="none"/>
                <w:lang w:eastAsia="zh-CN"/>
              </w:rPr>
              <w:t>中国合格评定国家认可委员会</w:t>
            </w:r>
            <w:r>
              <w:rPr>
                <w:rFonts w:hint="eastAsia"/>
                <w:color w:val="auto"/>
                <w:kern w:val="2"/>
                <w:highlight w:val="none"/>
                <w:lang w:val="en-US" w:eastAsia="zh-CN"/>
              </w:rPr>
              <w:t>实验室</w:t>
            </w:r>
            <w:r>
              <w:rPr>
                <w:rFonts w:hint="eastAsia"/>
                <w:color w:val="auto"/>
                <w:kern w:val="2"/>
                <w:highlight w:val="none"/>
                <w:lang w:eastAsia="zh-CN"/>
              </w:rPr>
              <w:t>认可证书</w:t>
            </w:r>
            <w:r>
              <w:rPr>
                <w:rFonts w:hint="eastAsia"/>
                <w:color w:val="auto"/>
                <w:kern w:val="2"/>
                <w:highlight w:val="none"/>
              </w:rPr>
              <w:t>得2</w:t>
            </w:r>
            <w:r>
              <w:rPr>
                <w:rFonts w:hint="eastAsia"/>
                <w:color w:val="auto"/>
                <w:kern w:val="2"/>
                <w:highlight w:val="none"/>
                <w:lang w:val="en-US" w:eastAsia="zh-CN"/>
              </w:rPr>
              <w:t>.5</w:t>
            </w:r>
            <w:r>
              <w:rPr>
                <w:rFonts w:hint="eastAsia"/>
                <w:color w:val="auto"/>
                <w:kern w:val="2"/>
                <w:highlight w:val="none"/>
              </w:rPr>
              <w:t>分</w:t>
            </w:r>
            <w:r>
              <w:rPr>
                <w:rFonts w:hint="eastAsia"/>
                <w:color w:val="auto"/>
                <w:kern w:val="2"/>
                <w:highlight w:val="none"/>
                <w:lang w:eastAsia="zh-CN"/>
              </w:rPr>
              <w:t>，</w:t>
            </w:r>
            <w:r>
              <w:rPr>
                <w:rFonts w:hint="eastAsia"/>
                <w:color w:val="auto"/>
                <w:kern w:val="2"/>
                <w:highlight w:val="none"/>
                <w:lang w:val="en-US" w:eastAsia="zh-CN"/>
              </w:rPr>
              <w:t>提供符合要求的证书复印件加盖公章，不提供不得分</w:t>
            </w:r>
            <w:r>
              <w:rPr>
                <w:rFonts w:hint="eastAsia"/>
                <w:color w:val="auto"/>
                <w:kern w:val="2"/>
                <w:highlight w:val="none"/>
              </w:rPr>
              <w:t>；</w:t>
            </w:r>
          </w:p>
          <w:p>
            <w:pPr>
              <w:snapToGrid w:val="0"/>
              <w:spacing w:line="276" w:lineRule="auto"/>
              <w:rPr>
                <w:rFonts w:hint="eastAsia" w:eastAsia="宋体"/>
                <w:color w:val="auto"/>
                <w:kern w:val="2"/>
                <w:highlight w:val="none"/>
                <w:lang w:val="en-US" w:eastAsia="zh-CN"/>
              </w:rPr>
            </w:pPr>
            <w:r>
              <w:rPr>
                <w:rFonts w:hint="eastAsia"/>
                <w:color w:val="auto"/>
                <w:kern w:val="2"/>
                <w:highlight w:val="none"/>
                <w:lang w:eastAsia="zh-CN"/>
              </w:rPr>
              <w:t>②具有</w:t>
            </w:r>
            <w:r>
              <w:rPr>
                <w:rFonts w:hint="eastAsia"/>
                <w:color w:val="auto"/>
                <w:kern w:val="2"/>
                <w:highlight w:val="none"/>
                <w:lang w:val="en-US" w:eastAsia="zh-CN"/>
              </w:rPr>
              <w:t>有效的</w:t>
            </w:r>
            <w:r>
              <w:rPr>
                <w:rFonts w:hint="eastAsia"/>
                <w:color w:val="auto"/>
                <w:kern w:val="2"/>
                <w:highlight w:val="none"/>
                <w:lang w:eastAsia="zh-CN"/>
              </w:rPr>
              <w:t>中国合格评定国家认可委员会</w:t>
            </w:r>
            <w:r>
              <w:rPr>
                <w:rFonts w:hint="eastAsia"/>
                <w:color w:val="auto"/>
                <w:kern w:val="2"/>
                <w:highlight w:val="none"/>
                <w:lang w:val="en-US" w:eastAsia="zh-CN"/>
              </w:rPr>
              <w:t>检验机构</w:t>
            </w:r>
            <w:r>
              <w:rPr>
                <w:rFonts w:hint="eastAsia"/>
                <w:color w:val="auto"/>
                <w:kern w:val="2"/>
                <w:highlight w:val="none"/>
                <w:lang w:eastAsia="zh-CN"/>
              </w:rPr>
              <w:t>认可证书</w:t>
            </w:r>
            <w:r>
              <w:rPr>
                <w:rFonts w:hint="eastAsia"/>
                <w:color w:val="auto"/>
                <w:kern w:val="2"/>
                <w:highlight w:val="none"/>
              </w:rPr>
              <w:t>得2</w:t>
            </w:r>
            <w:r>
              <w:rPr>
                <w:rFonts w:hint="eastAsia"/>
                <w:color w:val="auto"/>
                <w:kern w:val="2"/>
                <w:highlight w:val="none"/>
                <w:lang w:val="en-US" w:eastAsia="zh-CN"/>
              </w:rPr>
              <w:t>.5</w:t>
            </w:r>
            <w:r>
              <w:rPr>
                <w:rFonts w:hint="eastAsia"/>
                <w:color w:val="auto"/>
                <w:kern w:val="2"/>
                <w:highlight w:val="none"/>
              </w:rPr>
              <w:t>分</w:t>
            </w:r>
            <w:r>
              <w:rPr>
                <w:rFonts w:hint="eastAsia"/>
                <w:color w:val="auto"/>
                <w:kern w:val="2"/>
                <w:highlight w:val="none"/>
                <w:lang w:eastAsia="zh-CN"/>
              </w:rPr>
              <w:t>，</w:t>
            </w:r>
            <w:r>
              <w:rPr>
                <w:rFonts w:hint="eastAsia"/>
                <w:color w:val="auto"/>
                <w:kern w:val="2"/>
                <w:highlight w:val="none"/>
                <w:lang w:val="en-US" w:eastAsia="zh-CN"/>
              </w:rPr>
              <w:t>提供符合要求的证书复印件加盖公章，不提供不得分</w:t>
            </w:r>
            <w:r>
              <w:rPr>
                <w:rFonts w:hint="eastAsia"/>
                <w:color w:val="auto"/>
                <w:kern w:val="2"/>
                <w:highlight w:val="none"/>
              </w:rPr>
              <w:t>；</w:t>
            </w:r>
          </w:p>
        </w:tc>
      </w:tr>
      <w:tr>
        <w:tblPrEx>
          <w:tblCellMar>
            <w:top w:w="0" w:type="dxa"/>
            <w:left w:w="0" w:type="dxa"/>
            <w:bottom w:w="0" w:type="dxa"/>
            <w:right w:w="0" w:type="dxa"/>
          </w:tblCellMar>
        </w:tblPrEx>
        <w:trPr>
          <w:jc w:val="center"/>
        </w:trPr>
        <w:tc>
          <w:tcPr>
            <w:tcW w:w="59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sz w:val="24"/>
                <w:szCs w:val="24"/>
                <w:highlight w:val="none"/>
              </w:rPr>
            </w:pPr>
          </w:p>
        </w:tc>
        <w:tc>
          <w:tcPr>
            <w:tcW w:w="56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default" w:eastAsia="宋体"/>
                <w:color w:val="auto"/>
                <w:kern w:val="2"/>
                <w:highlight w:val="none"/>
                <w:lang w:val="en-US" w:eastAsia="zh-CN"/>
              </w:rPr>
            </w:pPr>
            <w:r>
              <w:rPr>
                <w:rFonts w:hint="eastAsia"/>
                <w:color w:val="auto"/>
                <w:kern w:val="2"/>
                <w:highlight w:val="none"/>
                <w:lang w:val="en-US" w:eastAsia="zh-CN"/>
              </w:rPr>
              <w:t>26</w:t>
            </w:r>
          </w:p>
        </w:tc>
        <w:tc>
          <w:tcPr>
            <w:tcW w:w="198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sz w:val="24"/>
                <w:szCs w:val="24"/>
                <w:highlight w:val="none"/>
              </w:rPr>
            </w:pPr>
            <w:r>
              <w:rPr>
                <w:rFonts w:hint="eastAsia"/>
                <w:color w:val="auto"/>
                <w:kern w:val="2"/>
                <w:highlight w:val="none"/>
              </w:rPr>
              <w:t>企业类似业绩</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default"/>
                <w:color w:val="auto"/>
                <w:kern w:val="2"/>
                <w:highlight w:val="none"/>
                <w:lang w:val="en-US"/>
              </w:rPr>
            </w:pPr>
            <w:r>
              <w:rPr>
                <w:rFonts w:hint="eastAsia"/>
                <w:color w:val="auto"/>
                <w:kern w:val="2"/>
                <w:highlight w:val="none"/>
                <w:lang w:val="en-US" w:eastAsia="zh-CN"/>
              </w:rPr>
              <w:t>26</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ind w:firstLine="440" w:firstLineChars="200"/>
              <w:rPr>
                <w:rFonts w:hint="eastAsia"/>
                <w:color w:val="auto"/>
                <w:kern w:val="2"/>
                <w:szCs w:val="22"/>
                <w:highlight w:val="none"/>
              </w:rPr>
            </w:pPr>
            <w:r>
              <w:rPr>
                <w:rFonts w:hint="eastAsia"/>
                <w:color w:val="auto"/>
                <w:kern w:val="2"/>
                <w:szCs w:val="22"/>
                <w:highlight w:val="none"/>
              </w:rPr>
              <w:t>最近</w:t>
            </w:r>
            <w:r>
              <w:rPr>
                <w:rFonts w:hint="eastAsia"/>
                <w:color w:val="auto"/>
                <w:kern w:val="2"/>
                <w:szCs w:val="22"/>
                <w:highlight w:val="none"/>
                <w:lang w:val="en-US" w:eastAsia="zh-CN"/>
              </w:rPr>
              <w:t>5</w:t>
            </w:r>
            <w:r>
              <w:rPr>
                <w:rFonts w:hint="eastAsia"/>
                <w:color w:val="auto"/>
                <w:kern w:val="2"/>
                <w:szCs w:val="22"/>
                <w:highlight w:val="none"/>
              </w:rPr>
              <w:t>年（ 201</w:t>
            </w:r>
            <w:r>
              <w:rPr>
                <w:rFonts w:hint="eastAsia"/>
                <w:color w:val="auto"/>
                <w:kern w:val="2"/>
                <w:szCs w:val="22"/>
                <w:highlight w:val="none"/>
                <w:lang w:val="en-US" w:eastAsia="zh-CN"/>
              </w:rPr>
              <w:t>6</w:t>
            </w:r>
            <w:r>
              <w:rPr>
                <w:rFonts w:hint="eastAsia"/>
                <w:color w:val="auto"/>
                <w:kern w:val="2"/>
                <w:szCs w:val="22"/>
                <w:highlight w:val="none"/>
              </w:rPr>
              <w:t>年1月1日～至投标文件递交截止之日，以合同协议书和业主出具的相关证明文件（两项证明文件必须同时具备）或者合同协议和质量监督部门出具的证明（两项证明文件必须同时具备）中的业绩完成日期为准。</w:t>
            </w:r>
          </w:p>
          <w:p>
            <w:pPr>
              <w:snapToGrid w:val="0"/>
              <w:spacing w:line="276" w:lineRule="auto"/>
              <w:rPr>
                <w:rFonts w:hint="eastAsia"/>
                <w:color w:val="auto"/>
                <w:kern w:val="2"/>
                <w:szCs w:val="22"/>
                <w:highlight w:val="none"/>
              </w:rPr>
            </w:pPr>
            <w:r>
              <w:rPr>
                <w:rFonts w:hint="eastAsia"/>
                <w:color w:val="auto"/>
                <w:kern w:val="2"/>
                <w:szCs w:val="22"/>
                <w:highlight w:val="none"/>
              </w:rPr>
              <w:t>①每提供1项已完成的业绩</w:t>
            </w:r>
            <w:r>
              <w:rPr>
                <w:rFonts w:hint="eastAsia"/>
                <w:color w:val="auto"/>
                <w:kern w:val="2"/>
                <w:szCs w:val="22"/>
                <w:highlight w:val="none"/>
                <w:lang w:val="en-US" w:eastAsia="zh-CN"/>
              </w:rPr>
              <w:t>含</w:t>
            </w:r>
            <w:r>
              <w:rPr>
                <w:rFonts w:hint="eastAsia"/>
                <w:color w:val="auto"/>
                <w:kern w:val="2"/>
                <w:szCs w:val="22"/>
                <w:highlight w:val="none"/>
              </w:rPr>
              <w:t>高速公路</w:t>
            </w:r>
            <w:r>
              <w:rPr>
                <w:rFonts w:hint="eastAsia"/>
                <w:color w:val="auto"/>
                <w:kern w:val="2"/>
                <w:szCs w:val="22"/>
                <w:highlight w:val="none"/>
                <w:lang w:eastAsia="zh-CN"/>
              </w:rPr>
              <w:t>（或其他公路）</w:t>
            </w:r>
            <w:r>
              <w:rPr>
                <w:rFonts w:hint="eastAsia"/>
                <w:color w:val="auto"/>
                <w:kern w:val="2"/>
                <w:highlight w:val="none"/>
                <w:lang w:val="en-US" w:eastAsia="zh-CN"/>
              </w:rPr>
              <w:t>机电工程交工（或竣工）检测</w:t>
            </w:r>
            <w:r>
              <w:rPr>
                <w:rFonts w:hint="eastAsia"/>
                <w:color w:val="auto"/>
                <w:kern w:val="2"/>
                <w:szCs w:val="22"/>
                <w:highlight w:val="none"/>
                <w:lang w:val="en-US" w:eastAsia="zh-CN"/>
              </w:rPr>
              <w:t>的，</w:t>
            </w:r>
            <w:r>
              <w:rPr>
                <w:rFonts w:hint="eastAsia"/>
                <w:color w:val="auto"/>
                <w:kern w:val="2"/>
                <w:szCs w:val="22"/>
                <w:highlight w:val="none"/>
              </w:rPr>
              <w:t>得</w:t>
            </w:r>
            <w:r>
              <w:rPr>
                <w:rFonts w:hint="eastAsia"/>
                <w:color w:val="auto"/>
                <w:kern w:val="2"/>
                <w:szCs w:val="22"/>
                <w:highlight w:val="none"/>
                <w:lang w:val="en-US" w:eastAsia="zh-CN"/>
              </w:rPr>
              <w:t>2.5</w:t>
            </w:r>
            <w:r>
              <w:rPr>
                <w:rFonts w:hint="eastAsia"/>
                <w:color w:val="auto"/>
                <w:kern w:val="2"/>
                <w:szCs w:val="22"/>
                <w:highlight w:val="none"/>
              </w:rPr>
              <w:t>分</w:t>
            </w:r>
            <w:r>
              <w:rPr>
                <w:rFonts w:hint="eastAsia"/>
                <w:color w:val="auto"/>
                <w:kern w:val="2"/>
                <w:szCs w:val="22"/>
                <w:highlight w:val="none"/>
                <w:lang w:eastAsia="zh-CN"/>
              </w:rPr>
              <w:t>。</w:t>
            </w:r>
            <w:r>
              <w:rPr>
                <w:rFonts w:hint="eastAsia"/>
                <w:color w:val="auto"/>
                <w:kern w:val="2"/>
                <w:szCs w:val="22"/>
                <w:highlight w:val="none"/>
              </w:rPr>
              <w:t>最多加</w:t>
            </w:r>
            <w:r>
              <w:rPr>
                <w:rFonts w:hint="eastAsia"/>
                <w:color w:val="auto"/>
                <w:kern w:val="2"/>
                <w:szCs w:val="22"/>
                <w:highlight w:val="none"/>
                <w:lang w:val="en-US" w:eastAsia="zh-CN"/>
              </w:rPr>
              <w:t>10分</w:t>
            </w:r>
            <w:r>
              <w:rPr>
                <w:rFonts w:hint="eastAsia"/>
                <w:color w:val="auto"/>
                <w:kern w:val="2"/>
                <w:szCs w:val="22"/>
                <w:highlight w:val="none"/>
              </w:rPr>
              <w:t>。</w:t>
            </w:r>
          </w:p>
          <w:p>
            <w:pPr>
              <w:numPr>
                <w:ilvl w:val="0"/>
                <w:numId w:val="0"/>
              </w:numPr>
              <w:snapToGrid w:val="0"/>
              <w:spacing w:line="276" w:lineRule="auto"/>
              <w:ind w:leftChars="0"/>
              <w:rPr>
                <w:color w:val="auto"/>
                <w:kern w:val="2"/>
                <w:szCs w:val="22"/>
                <w:highlight w:val="none"/>
              </w:rPr>
            </w:pPr>
            <w:r>
              <w:rPr>
                <w:rFonts w:hint="eastAsia"/>
                <w:color w:val="auto"/>
                <w:kern w:val="2"/>
                <w:szCs w:val="22"/>
                <w:highlight w:val="none"/>
                <w:lang w:val="en-US" w:eastAsia="zh-CN"/>
              </w:rPr>
              <w:t>②</w:t>
            </w:r>
            <w:r>
              <w:rPr>
                <w:rFonts w:hint="eastAsia"/>
                <w:color w:val="auto"/>
                <w:kern w:val="2"/>
                <w:szCs w:val="22"/>
                <w:highlight w:val="none"/>
              </w:rPr>
              <w:t>每提供1项已完成的合同金额不低于</w:t>
            </w:r>
            <w:r>
              <w:rPr>
                <w:rFonts w:hint="eastAsia"/>
                <w:color w:val="auto"/>
                <w:kern w:val="2"/>
                <w:szCs w:val="22"/>
                <w:highlight w:val="none"/>
                <w:lang w:val="en-US" w:eastAsia="zh-CN"/>
              </w:rPr>
              <w:t>200</w:t>
            </w:r>
            <w:r>
              <w:rPr>
                <w:rFonts w:hint="eastAsia"/>
                <w:color w:val="auto"/>
                <w:kern w:val="2"/>
                <w:szCs w:val="22"/>
                <w:highlight w:val="none"/>
              </w:rPr>
              <w:t>万</w:t>
            </w:r>
            <w:r>
              <w:rPr>
                <w:rFonts w:hint="eastAsia"/>
                <w:color w:val="auto"/>
                <w:kern w:val="2"/>
                <w:szCs w:val="22"/>
                <w:highlight w:val="none"/>
                <w:lang w:eastAsia="zh-CN"/>
              </w:rPr>
              <w:t>（含</w:t>
            </w:r>
            <w:r>
              <w:rPr>
                <w:rFonts w:hint="eastAsia"/>
                <w:color w:val="auto"/>
                <w:kern w:val="2"/>
                <w:szCs w:val="22"/>
                <w:highlight w:val="none"/>
                <w:lang w:val="en-US" w:eastAsia="zh-CN"/>
              </w:rPr>
              <w:t>200万</w:t>
            </w:r>
            <w:r>
              <w:rPr>
                <w:rFonts w:hint="eastAsia"/>
                <w:color w:val="auto"/>
                <w:kern w:val="2"/>
                <w:szCs w:val="22"/>
                <w:highlight w:val="none"/>
                <w:lang w:eastAsia="zh-CN"/>
              </w:rPr>
              <w:t>）</w:t>
            </w:r>
            <w:r>
              <w:rPr>
                <w:rFonts w:hint="eastAsia"/>
                <w:color w:val="auto"/>
                <w:kern w:val="2"/>
                <w:szCs w:val="22"/>
                <w:highlight w:val="none"/>
              </w:rPr>
              <w:t>的</w:t>
            </w:r>
            <w:r>
              <w:rPr>
                <w:rFonts w:hint="eastAsia"/>
                <w:color w:val="auto"/>
                <w:kern w:val="2"/>
                <w:szCs w:val="22"/>
                <w:highlight w:val="none"/>
                <w:lang w:val="en-US" w:eastAsia="zh-CN"/>
              </w:rPr>
              <w:t>业绩含</w:t>
            </w:r>
            <w:r>
              <w:rPr>
                <w:rFonts w:hint="eastAsia"/>
                <w:color w:val="auto"/>
                <w:kern w:val="2"/>
                <w:szCs w:val="22"/>
                <w:highlight w:val="none"/>
              </w:rPr>
              <w:t>高速公路</w:t>
            </w:r>
            <w:r>
              <w:rPr>
                <w:rFonts w:hint="eastAsia"/>
                <w:color w:val="auto"/>
                <w:kern w:val="2"/>
                <w:szCs w:val="22"/>
                <w:highlight w:val="none"/>
                <w:lang w:eastAsia="zh-CN"/>
              </w:rPr>
              <w:t>（或其他公路）</w:t>
            </w:r>
            <w:r>
              <w:rPr>
                <w:rFonts w:hint="eastAsia"/>
                <w:color w:val="auto"/>
                <w:kern w:val="2"/>
                <w:highlight w:val="none"/>
                <w:lang w:val="en-US" w:eastAsia="zh-CN"/>
              </w:rPr>
              <w:t>机电工程交工（或竣工）检测</w:t>
            </w:r>
            <w:r>
              <w:rPr>
                <w:rFonts w:hint="eastAsia"/>
                <w:color w:val="auto"/>
                <w:kern w:val="2"/>
                <w:szCs w:val="22"/>
                <w:highlight w:val="none"/>
                <w:lang w:val="en-US" w:eastAsia="zh-CN"/>
              </w:rPr>
              <w:t>的</w:t>
            </w:r>
            <w:r>
              <w:rPr>
                <w:rFonts w:hint="eastAsia"/>
                <w:color w:val="auto"/>
                <w:kern w:val="2"/>
                <w:szCs w:val="22"/>
                <w:highlight w:val="none"/>
              </w:rPr>
              <w:t>，每项加</w:t>
            </w:r>
            <w:r>
              <w:rPr>
                <w:rFonts w:hint="eastAsia"/>
                <w:color w:val="auto"/>
                <w:kern w:val="2"/>
                <w:szCs w:val="22"/>
                <w:highlight w:val="none"/>
                <w:lang w:val="en-US" w:eastAsia="zh-CN"/>
              </w:rPr>
              <w:t>4</w:t>
            </w:r>
            <w:r>
              <w:rPr>
                <w:rFonts w:hint="eastAsia"/>
                <w:color w:val="auto"/>
                <w:kern w:val="2"/>
                <w:szCs w:val="22"/>
                <w:highlight w:val="none"/>
              </w:rPr>
              <w:t>分，最多加</w:t>
            </w:r>
            <w:r>
              <w:rPr>
                <w:rFonts w:hint="eastAsia"/>
                <w:color w:val="auto"/>
                <w:kern w:val="2"/>
                <w:szCs w:val="22"/>
                <w:highlight w:val="none"/>
                <w:lang w:val="en-US" w:eastAsia="zh-CN"/>
              </w:rPr>
              <w:t>16</w:t>
            </w:r>
            <w:r>
              <w:rPr>
                <w:rFonts w:hint="eastAsia"/>
                <w:color w:val="auto"/>
                <w:kern w:val="2"/>
                <w:szCs w:val="22"/>
                <w:highlight w:val="none"/>
              </w:rPr>
              <w:t>分。</w:t>
            </w:r>
          </w:p>
          <w:p>
            <w:pPr>
              <w:snapToGrid w:val="0"/>
              <w:spacing w:line="276" w:lineRule="auto"/>
              <w:rPr>
                <w:rFonts w:hint="eastAsia"/>
                <w:color w:val="auto"/>
                <w:kern w:val="2"/>
                <w:szCs w:val="22"/>
                <w:highlight w:val="none"/>
              </w:rPr>
            </w:pPr>
            <w:r>
              <w:rPr>
                <w:rFonts w:hint="eastAsia"/>
                <w:color w:val="auto"/>
                <w:kern w:val="2"/>
                <w:szCs w:val="22"/>
                <w:highlight w:val="none"/>
              </w:rPr>
              <w:t>（业绩分别满足以上①、②项的</w:t>
            </w:r>
            <w:r>
              <w:rPr>
                <w:rFonts w:hint="eastAsia"/>
                <w:color w:val="auto"/>
                <w:kern w:val="2"/>
                <w:szCs w:val="22"/>
                <w:highlight w:val="none"/>
                <w:lang w:val="en-US" w:eastAsia="zh-CN"/>
              </w:rPr>
              <w:t>不</w:t>
            </w:r>
            <w:r>
              <w:rPr>
                <w:rFonts w:hint="eastAsia"/>
                <w:color w:val="auto"/>
                <w:kern w:val="2"/>
                <w:szCs w:val="22"/>
                <w:highlight w:val="none"/>
              </w:rPr>
              <w:t>可以累计加分。加分业绩应满足招标文件第六章投标文件格式的相关要求，否则不予认可）</w:t>
            </w:r>
          </w:p>
        </w:tc>
      </w:tr>
      <w:tr>
        <w:tblPrEx>
          <w:tblCellMar>
            <w:top w:w="0" w:type="dxa"/>
            <w:left w:w="0" w:type="dxa"/>
            <w:bottom w:w="0" w:type="dxa"/>
            <w:right w:w="0" w:type="dxa"/>
          </w:tblCellMar>
        </w:tblPrEx>
        <w:trPr>
          <w:trHeight w:val="657" w:hRule="atLeast"/>
          <w:jc w:val="center"/>
        </w:trPr>
        <w:tc>
          <w:tcPr>
            <w:tcW w:w="59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p>
        </w:tc>
        <w:tc>
          <w:tcPr>
            <w:tcW w:w="70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sz w:val="24"/>
                <w:szCs w:val="24"/>
                <w:highlight w:val="none"/>
              </w:rPr>
            </w:pP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3</w:t>
            </w:r>
          </w:p>
        </w:tc>
        <w:tc>
          <w:tcPr>
            <w:tcW w:w="1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sz w:val="24"/>
                <w:szCs w:val="24"/>
                <w:highlight w:val="none"/>
              </w:rPr>
            </w:pPr>
            <w:r>
              <w:rPr>
                <w:color w:val="auto"/>
                <w:kern w:val="2"/>
                <w:sz w:val="24"/>
                <w:szCs w:val="24"/>
                <w:highlight w:val="none"/>
              </w:rPr>
              <w:t>履约信誉</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highlight w:val="none"/>
              </w:rPr>
            </w:pPr>
            <w:r>
              <w:rPr>
                <w:rFonts w:hint="eastAsia"/>
                <w:color w:val="auto"/>
                <w:kern w:val="2"/>
                <w:highlight w:val="none"/>
              </w:rPr>
              <w:t>3</w:t>
            </w:r>
          </w:p>
        </w:tc>
        <w:tc>
          <w:tcPr>
            <w:tcW w:w="49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rFonts w:hint="eastAsia"/>
                <w:color w:val="auto"/>
                <w:kern w:val="2"/>
                <w:szCs w:val="22"/>
                <w:highlight w:val="none"/>
                <w:lang w:eastAsia="en-US"/>
              </w:rPr>
            </w:pPr>
            <w:r>
              <w:rPr>
                <w:rFonts w:hint="eastAsia"/>
                <w:color w:val="auto"/>
                <w:kern w:val="2"/>
                <w:szCs w:val="22"/>
                <w:highlight w:val="none"/>
                <w:lang w:eastAsia="en-US"/>
              </w:rPr>
              <w:t>参照贵州省交通运输厅关于印发《贵州省高速公路设计施工企业信用评价实施细则（试行）》的通知（黔交建设[2016]279号文件）和《关于高速公路设计施工企业信用评价结果引用的补充通知》（黔交建设[2016]291号文件）（可在贵州省交通运输厅网站信用等级www.qjt.gov.cn上查询）《交通运输部关于印发〈公路水运工程试检测信用评价办法〉的通知》交安监发〔2018〕78号中有关规定以及在“公路水运工程试验检测管理信息系统”上查询到的最新的试验检测信用评价结果确定信用等级。</w:t>
            </w:r>
          </w:p>
          <w:p>
            <w:pPr>
              <w:snapToGrid w:val="0"/>
              <w:spacing w:line="276" w:lineRule="auto"/>
              <w:rPr>
                <w:rFonts w:hint="eastAsia"/>
                <w:color w:val="auto"/>
                <w:kern w:val="2"/>
                <w:szCs w:val="22"/>
                <w:highlight w:val="none"/>
              </w:rPr>
            </w:pPr>
            <w:r>
              <w:rPr>
                <w:rFonts w:hint="eastAsia"/>
                <w:color w:val="auto"/>
                <w:kern w:val="2"/>
                <w:szCs w:val="22"/>
                <w:highlight w:val="none"/>
              </w:rPr>
              <w:t>按上述规定确定的最新信用等级评价，评价为 AA 级得 3 分；A 级得 1.5 分；B 级</w:t>
            </w:r>
            <w:r>
              <w:rPr>
                <w:rFonts w:hint="eastAsia"/>
                <w:color w:val="auto"/>
                <w:kern w:val="2"/>
                <w:szCs w:val="22"/>
                <w:highlight w:val="none"/>
                <w:lang w:eastAsia="zh-CN"/>
              </w:rPr>
              <w:t>、</w:t>
            </w:r>
            <w:r>
              <w:rPr>
                <w:rFonts w:hint="eastAsia"/>
                <w:color w:val="auto"/>
                <w:kern w:val="2"/>
                <w:szCs w:val="22"/>
                <w:highlight w:val="none"/>
                <w:lang w:val="en-US" w:eastAsia="zh-CN"/>
              </w:rPr>
              <w:t>C级</w:t>
            </w:r>
            <w:r>
              <w:rPr>
                <w:rFonts w:hint="eastAsia"/>
                <w:color w:val="auto"/>
                <w:kern w:val="2"/>
                <w:szCs w:val="22"/>
                <w:highlight w:val="none"/>
              </w:rPr>
              <w:t>得 0 分。</w:t>
            </w:r>
          </w:p>
        </w:tc>
      </w:tr>
      <w:tr>
        <w:tblPrEx>
          <w:tblCellMar>
            <w:top w:w="0" w:type="dxa"/>
            <w:left w:w="0" w:type="dxa"/>
            <w:bottom w:w="0" w:type="dxa"/>
            <w:right w:w="0" w:type="dxa"/>
          </w:tblCellMar>
        </w:tblPrEx>
        <w:trPr>
          <w:jc w:val="center"/>
        </w:trPr>
        <w:tc>
          <w:tcPr>
            <w:tcW w:w="5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2.2.4（</w:t>
            </w:r>
            <w:r>
              <w:rPr>
                <w:rFonts w:hint="eastAsia"/>
                <w:color w:val="auto"/>
                <w:kern w:val="2"/>
                <w:highlight w:val="none"/>
                <w:lang w:val="en-US" w:eastAsia="zh-CN"/>
              </w:rPr>
              <w:t>4</w:t>
            </w:r>
            <w:r>
              <w:rPr>
                <w:rFonts w:hint="eastAsia"/>
                <w:color w:val="auto"/>
                <w:kern w:val="2"/>
                <w:highlight w:val="none"/>
              </w:rPr>
              <w:t>）</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评标价</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10</w:t>
            </w:r>
          </w:p>
        </w:tc>
        <w:tc>
          <w:tcPr>
            <w:tcW w:w="805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76" w:lineRule="auto"/>
              <w:rPr>
                <w:color w:val="auto"/>
                <w:kern w:val="2"/>
                <w:highlight w:val="none"/>
              </w:rPr>
            </w:pPr>
            <w:r>
              <w:rPr>
                <w:rFonts w:hint="eastAsia"/>
                <w:color w:val="auto"/>
                <w:kern w:val="2"/>
                <w:highlight w:val="none"/>
              </w:rPr>
              <w:t>（</w:t>
            </w:r>
            <w:r>
              <w:rPr>
                <w:color w:val="auto"/>
                <w:kern w:val="2"/>
                <w:highlight w:val="none"/>
              </w:rPr>
              <w:t>1</w:t>
            </w:r>
            <w:r>
              <w:rPr>
                <w:rFonts w:hint="eastAsia"/>
                <w:color w:val="auto"/>
                <w:kern w:val="2"/>
                <w:highlight w:val="none"/>
              </w:rPr>
              <w:t>）如果投标报价＞评标基准价，则投标报价得分</w:t>
            </w:r>
            <w:r>
              <w:rPr>
                <w:color w:val="auto"/>
                <w:kern w:val="2"/>
                <w:highlight w:val="none"/>
              </w:rPr>
              <w:t>=10-</w:t>
            </w:r>
            <w:r>
              <w:rPr>
                <w:rFonts w:hint="eastAsia"/>
                <w:color w:val="auto"/>
                <w:kern w:val="2"/>
                <w:highlight w:val="none"/>
              </w:rPr>
              <w:t>偏差率</w:t>
            </w:r>
            <w:r>
              <w:rPr>
                <w:color w:val="auto"/>
                <w:kern w:val="2"/>
                <w:highlight w:val="none"/>
              </w:rPr>
              <w:t>×100×E1</w:t>
            </w:r>
            <w:r>
              <w:rPr>
                <w:rFonts w:hint="eastAsia"/>
                <w:color w:val="auto"/>
                <w:kern w:val="2"/>
                <w:highlight w:val="none"/>
              </w:rPr>
              <w:t>；</w:t>
            </w:r>
          </w:p>
          <w:p>
            <w:pPr>
              <w:snapToGrid w:val="0"/>
              <w:spacing w:line="276" w:lineRule="auto"/>
              <w:rPr>
                <w:color w:val="auto"/>
                <w:kern w:val="2"/>
                <w:highlight w:val="none"/>
              </w:rPr>
            </w:pPr>
            <w:r>
              <w:rPr>
                <w:rFonts w:hint="eastAsia"/>
                <w:color w:val="auto"/>
                <w:kern w:val="2"/>
                <w:highlight w:val="none"/>
              </w:rPr>
              <w:t>（</w:t>
            </w:r>
            <w:r>
              <w:rPr>
                <w:color w:val="auto"/>
                <w:kern w:val="2"/>
                <w:highlight w:val="none"/>
              </w:rPr>
              <w:t>2</w:t>
            </w:r>
            <w:r>
              <w:rPr>
                <w:rFonts w:hint="eastAsia"/>
                <w:color w:val="auto"/>
                <w:kern w:val="2"/>
                <w:highlight w:val="none"/>
              </w:rPr>
              <w:t>）如果投标报价</w:t>
            </w:r>
            <w:r>
              <w:rPr>
                <w:color w:val="auto"/>
                <w:kern w:val="2"/>
                <w:highlight w:val="none"/>
              </w:rPr>
              <w:t>≤</w:t>
            </w:r>
            <w:r>
              <w:rPr>
                <w:rFonts w:hint="eastAsia"/>
                <w:color w:val="auto"/>
                <w:kern w:val="2"/>
                <w:highlight w:val="none"/>
              </w:rPr>
              <w:t>评标基准价，且偏差率</w:t>
            </w:r>
            <w:r>
              <w:rPr>
                <w:color w:val="auto"/>
                <w:kern w:val="2"/>
                <w:highlight w:val="none"/>
              </w:rPr>
              <w:t>&gt;= -</w:t>
            </w:r>
            <w:r>
              <w:rPr>
                <w:rFonts w:hint="eastAsia"/>
                <w:color w:val="auto"/>
                <w:kern w:val="2"/>
                <w:highlight w:val="none"/>
              </w:rPr>
              <w:t>15</w:t>
            </w:r>
            <w:r>
              <w:rPr>
                <w:color w:val="auto"/>
                <w:kern w:val="2"/>
                <w:highlight w:val="none"/>
              </w:rPr>
              <w:t>%</w:t>
            </w:r>
            <w:r>
              <w:rPr>
                <w:rFonts w:hint="eastAsia"/>
                <w:color w:val="auto"/>
                <w:kern w:val="2"/>
                <w:highlight w:val="none"/>
              </w:rPr>
              <w:t>，则投标报价得分</w:t>
            </w:r>
            <w:r>
              <w:rPr>
                <w:color w:val="auto"/>
                <w:kern w:val="2"/>
                <w:highlight w:val="none"/>
              </w:rPr>
              <w:t>=10+</w:t>
            </w:r>
            <w:r>
              <w:rPr>
                <w:rFonts w:hint="eastAsia"/>
                <w:color w:val="auto"/>
                <w:kern w:val="2"/>
                <w:highlight w:val="none"/>
              </w:rPr>
              <w:t>偏差率</w:t>
            </w:r>
            <w:r>
              <w:rPr>
                <w:color w:val="auto"/>
                <w:kern w:val="2"/>
                <w:highlight w:val="none"/>
              </w:rPr>
              <w:t>×100×E2</w:t>
            </w:r>
            <w:r>
              <w:rPr>
                <w:rFonts w:hint="eastAsia"/>
                <w:color w:val="auto"/>
                <w:kern w:val="2"/>
                <w:highlight w:val="none"/>
              </w:rPr>
              <w:t>；</w:t>
            </w:r>
          </w:p>
          <w:p>
            <w:pPr>
              <w:snapToGrid w:val="0"/>
              <w:spacing w:line="276" w:lineRule="auto"/>
              <w:rPr>
                <w:color w:val="auto"/>
                <w:kern w:val="2"/>
                <w:highlight w:val="none"/>
              </w:rPr>
            </w:pPr>
            <w:r>
              <w:rPr>
                <w:rFonts w:hint="eastAsia"/>
                <w:color w:val="auto"/>
                <w:kern w:val="2"/>
                <w:highlight w:val="none"/>
              </w:rPr>
              <w:t>（</w:t>
            </w:r>
            <w:r>
              <w:rPr>
                <w:color w:val="auto"/>
                <w:kern w:val="2"/>
                <w:highlight w:val="none"/>
              </w:rPr>
              <w:t>3</w:t>
            </w:r>
            <w:r>
              <w:rPr>
                <w:rFonts w:hint="eastAsia"/>
                <w:color w:val="auto"/>
                <w:kern w:val="2"/>
                <w:highlight w:val="none"/>
              </w:rPr>
              <w:t>）如果投标报价</w:t>
            </w:r>
            <w:r>
              <w:rPr>
                <w:color w:val="auto"/>
                <w:kern w:val="2"/>
                <w:highlight w:val="none"/>
              </w:rPr>
              <w:t>≤</w:t>
            </w:r>
            <w:r>
              <w:rPr>
                <w:rFonts w:hint="eastAsia"/>
                <w:color w:val="auto"/>
                <w:kern w:val="2"/>
                <w:highlight w:val="none"/>
              </w:rPr>
              <w:t>评标基准价，且偏差率</w:t>
            </w:r>
            <w:r>
              <w:rPr>
                <w:color w:val="auto"/>
                <w:kern w:val="2"/>
                <w:highlight w:val="none"/>
              </w:rPr>
              <w:t>&lt; -</w:t>
            </w:r>
            <w:r>
              <w:rPr>
                <w:rFonts w:hint="eastAsia"/>
                <w:color w:val="auto"/>
                <w:kern w:val="2"/>
                <w:highlight w:val="none"/>
              </w:rPr>
              <w:t>15</w:t>
            </w:r>
            <w:r>
              <w:rPr>
                <w:color w:val="auto"/>
                <w:kern w:val="2"/>
                <w:highlight w:val="none"/>
              </w:rPr>
              <w:t>%</w:t>
            </w:r>
            <w:r>
              <w:rPr>
                <w:rFonts w:hint="eastAsia"/>
                <w:color w:val="auto"/>
                <w:kern w:val="2"/>
                <w:highlight w:val="none"/>
              </w:rPr>
              <w:t>，则投标报价得分</w:t>
            </w:r>
            <w:r>
              <w:rPr>
                <w:color w:val="auto"/>
                <w:kern w:val="2"/>
                <w:highlight w:val="none"/>
              </w:rPr>
              <w:t>=10+</w:t>
            </w:r>
            <w:r>
              <w:rPr>
                <w:rFonts w:hint="eastAsia"/>
                <w:color w:val="auto"/>
                <w:kern w:val="2"/>
                <w:highlight w:val="none"/>
              </w:rPr>
              <w:t>偏差率</w:t>
            </w:r>
            <w:r>
              <w:rPr>
                <w:color w:val="auto"/>
                <w:kern w:val="2"/>
                <w:highlight w:val="none"/>
              </w:rPr>
              <w:t>×100×E1</w:t>
            </w:r>
            <w:r>
              <w:rPr>
                <w:rFonts w:hint="eastAsia"/>
                <w:color w:val="auto"/>
                <w:kern w:val="2"/>
                <w:highlight w:val="none"/>
              </w:rPr>
              <w:t>；</w:t>
            </w:r>
          </w:p>
          <w:p>
            <w:pPr>
              <w:snapToGrid w:val="0"/>
              <w:spacing w:line="276" w:lineRule="auto"/>
              <w:rPr>
                <w:color w:val="auto"/>
                <w:kern w:val="2"/>
                <w:highlight w:val="none"/>
              </w:rPr>
            </w:pPr>
            <w:r>
              <w:rPr>
                <w:rFonts w:hint="eastAsia"/>
                <w:color w:val="auto"/>
                <w:kern w:val="2"/>
                <w:highlight w:val="none"/>
              </w:rPr>
              <w:t>其中：</w:t>
            </w:r>
            <w:r>
              <w:rPr>
                <w:color w:val="auto"/>
                <w:kern w:val="2"/>
                <w:highlight w:val="none"/>
              </w:rPr>
              <w:t xml:space="preserve"> E1=0.</w:t>
            </w:r>
            <w:r>
              <w:rPr>
                <w:rFonts w:hint="eastAsia"/>
                <w:color w:val="auto"/>
                <w:kern w:val="2"/>
                <w:highlight w:val="none"/>
              </w:rPr>
              <w:t>15；</w:t>
            </w:r>
            <w:r>
              <w:rPr>
                <w:color w:val="auto"/>
                <w:kern w:val="2"/>
                <w:highlight w:val="none"/>
              </w:rPr>
              <w:t xml:space="preserve"> E2=0.1</w:t>
            </w:r>
            <w:r>
              <w:rPr>
                <w:rFonts w:hint="eastAsia"/>
                <w:color w:val="auto"/>
                <w:kern w:val="2"/>
                <w:highlight w:val="none"/>
              </w:rPr>
              <w:t>。</w:t>
            </w:r>
          </w:p>
          <w:p>
            <w:pPr>
              <w:snapToGrid w:val="0"/>
              <w:spacing w:line="276" w:lineRule="auto"/>
              <w:rPr>
                <w:rFonts w:hint="eastAsia"/>
                <w:color w:val="auto"/>
                <w:kern w:val="2"/>
                <w:highlight w:val="none"/>
              </w:rPr>
            </w:pPr>
            <w:r>
              <w:rPr>
                <w:rFonts w:hint="eastAsia"/>
                <w:color w:val="auto"/>
                <w:kern w:val="2"/>
                <w:highlight w:val="none"/>
              </w:rPr>
              <w:t>投标报价得分最低为</w:t>
            </w:r>
            <w:r>
              <w:rPr>
                <w:color w:val="auto"/>
                <w:kern w:val="2"/>
                <w:highlight w:val="none"/>
              </w:rPr>
              <w:t xml:space="preserve">0 </w:t>
            </w:r>
            <w:r>
              <w:rPr>
                <w:rFonts w:hint="eastAsia"/>
                <w:color w:val="auto"/>
                <w:kern w:val="2"/>
                <w:highlight w:val="none"/>
              </w:rPr>
              <w:t>分。保留两位小数。</w:t>
            </w:r>
          </w:p>
          <w:p>
            <w:pPr>
              <w:snapToGrid w:val="0"/>
              <w:spacing w:line="276" w:lineRule="auto"/>
              <w:rPr>
                <w:rFonts w:hint="eastAsia"/>
                <w:color w:val="auto"/>
                <w:kern w:val="2"/>
                <w:highlight w:val="none"/>
              </w:rPr>
            </w:pPr>
            <w:r>
              <w:rPr>
                <w:rFonts w:hint="eastAsia"/>
                <w:color w:val="auto"/>
                <w:kern w:val="2"/>
                <w:highlight w:val="none"/>
              </w:rPr>
              <w:t>（4）投标报价高于投标限价的，投标报价得分为0分。</w:t>
            </w:r>
          </w:p>
        </w:tc>
      </w:tr>
    </w:tbl>
    <w:p>
      <w:pPr>
        <w:pStyle w:val="2"/>
        <w:jc w:val="both"/>
      </w:pP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D7DA8"/>
    <w:multiLevelType w:val="multilevel"/>
    <w:tmpl w:val="539D7DA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46298"/>
    <w:multiLevelType w:val="singleLevel"/>
    <w:tmpl w:val="5C946298"/>
    <w:lvl w:ilvl="0" w:tentative="0">
      <w:start w:val="1"/>
      <w:numFmt w:val="decimal"/>
      <w:lvlText w:val="(%1)"/>
      <w:lvlJc w:val="left"/>
      <w:pPr>
        <w:ind w:left="0" w:hanging="425"/>
      </w:pPr>
      <w:rPr>
        <w:rFonts w:hint="default"/>
        <w:w w:val="100"/>
      </w:rPr>
    </w:lvl>
  </w:abstractNum>
  <w:abstractNum w:abstractNumId="2">
    <w:nsid w:val="5C946299"/>
    <w:multiLevelType w:val="singleLevel"/>
    <w:tmpl w:val="5C946299"/>
    <w:lvl w:ilvl="0" w:tentative="0">
      <w:start w:val="1"/>
      <w:numFmt w:val="lowerLetter"/>
      <w:lvlText w:val="%1."/>
      <w:lvlJc w:val="left"/>
      <w:pPr>
        <w:ind w:left="0" w:hanging="425"/>
      </w:pPr>
      <w:rPr>
        <w:rFonts w:hint="default"/>
        <w:w w:val="100"/>
      </w:rPr>
    </w:lvl>
  </w:abstractNum>
  <w:abstractNum w:abstractNumId="3">
    <w:nsid w:val="5C94629B"/>
    <w:multiLevelType w:val="singleLevel"/>
    <w:tmpl w:val="5C94629B"/>
    <w:lvl w:ilvl="0" w:tentative="0">
      <w:start w:val="1"/>
      <w:numFmt w:val="lowerLetter"/>
      <w:lvlText w:val="%1."/>
      <w:lvlJc w:val="left"/>
      <w:pPr>
        <w:ind w:left="0" w:hanging="425"/>
      </w:pPr>
      <w:rPr>
        <w:rFonts w:hint="default"/>
        <w:w w:val="100"/>
      </w:rPr>
    </w:lvl>
  </w:abstractNum>
  <w:abstractNum w:abstractNumId="4">
    <w:nsid w:val="5C94629C"/>
    <w:multiLevelType w:val="singleLevel"/>
    <w:tmpl w:val="5C94629C"/>
    <w:lvl w:ilvl="0" w:tentative="0">
      <w:start w:val="1"/>
      <w:numFmt w:val="decimal"/>
      <w:lvlText w:val="(%1)"/>
      <w:lvlJc w:val="left"/>
      <w:pPr>
        <w:ind w:left="0" w:hanging="425"/>
      </w:pPr>
      <w:rPr>
        <w:rFonts w:hint="default"/>
        <w:w w:val="100"/>
      </w:rPr>
    </w:lvl>
  </w:abstractNum>
  <w:abstractNum w:abstractNumId="5">
    <w:nsid w:val="5C94629D"/>
    <w:multiLevelType w:val="singleLevel"/>
    <w:tmpl w:val="5C94629D"/>
    <w:lvl w:ilvl="0" w:tentative="0">
      <w:start w:val="1"/>
      <w:numFmt w:val="decimal"/>
      <w:lvlText w:val="(%1)"/>
      <w:lvlJc w:val="left"/>
      <w:pPr>
        <w:ind w:left="0" w:hanging="425"/>
      </w:pPr>
      <w:rPr>
        <w:rFonts w:hint="default"/>
        <w:w w:val="100"/>
      </w:rPr>
    </w:lvl>
  </w:abstractNum>
  <w:abstractNum w:abstractNumId="6">
    <w:nsid w:val="5C94629E"/>
    <w:multiLevelType w:val="singleLevel"/>
    <w:tmpl w:val="5C94629E"/>
    <w:lvl w:ilvl="0" w:tentative="0">
      <w:start w:val="1"/>
      <w:numFmt w:val="decimal"/>
      <w:lvlText w:val="(%1)"/>
      <w:lvlJc w:val="left"/>
      <w:pPr>
        <w:ind w:left="0" w:hanging="425"/>
      </w:pPr>
      <w:rPr>
        <w:rFonts w:hint="default"/>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5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宋体" w:cs="Times New Roman"/>
      <w:sz w:val="22"/>
      <w:lang w:val="en-US" w:eastAsia="zh-CN" w:bidi="ar-SA"/>
    </w:rPr>
  </w:style>
  <w:style w:type="paragraph" w:styleId="2">
    <w:name w:val="heading 3"/>
    <w:basedOn w:val="1"/>
    <w:next w:val="1"/>
    <w:qFormat/>
    <w:uiPriority w:val="0"/>
    <w:pPr>
      <w:widowControl w:val="0"/>
      <w:autoSpaceDE w:val="0"/>
      <w:autoSpaceDN w:val="0"/>
      <w:spacing w:before="8" w:after="0" w:line="240" w:lineRule="auto"/>
      <w:ind w:left="0" w:right="14" w:firstLine="0"/>
      <w:jc w:val="center"/>
      <w:outlineLvl w:val="2"/>
    </w:pPr>
    <w:rPr>
      <w:rFonts w:ascii="黑体" w:eastAsia="黑体"/>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2021-08-02T09:20:15Z</dcterms:created>
  <dc:creator>01</dc:creator>
  <cp:lastModifiedBy>hiong</cp:lastModifiedBy>
  <dcterms:modified xsi:type="dcterms:W3CDTF">2021-08-02T09:21:27Z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85B725BBD49A4A3E8F8DE367B76530E0</vt:lpwstr>
  </property>
</Properties>
</file>