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hint="eastAsia" w:ascii="宋体" w:hAnsi="宋体" w:cs="宋体"/>
          <w:b/>
          <w:bCs/>
          <w:kern w:val="44"/>
          <w:sz w:val="28"/>
          <w:szCs w:val="28"/>
        </w:rPr>
      </w:pPr>
      <w:bookmarkStart w:id="7" w:name="_GoBack"/>
      <w:bookmarkEnd w:id="7"/>
      <w:r>
        <w:rPr>
          <w:rFonts w:hint="eastAsia" w:ascii="宋体" w:hAnsi="宋体" w:cs="宋体"/>
          <w:b/>
          <w:bCs/>
          <w:kern w:val="44"/>
          <w:sz w:val="28"/>
          <w:szCs w:val="28"/>
        </w:rPr>
        <w:t>附录1   资格审查条件(资质最低要求)</w:t>
      </w:r>
    </w:p>
    <w:tbl>
      <w:tblPr>
        <w:tblStyle w:val="8"/>
        <w:tblW w:w="0" w:type="auto"/>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747" w:type="dxa"/>
            <w:vAlign w:val="center"/>
          </w:tcPr>
          <w:p>
            <w:pPr>
              <w:jc w:val="center"/>
              <w:rPr>
                <w:rFonts w:hint="eastAsia" w:eastAsia="仿宋" w:cs="宋体"/>
                <w:sz w:val="24"/>
              </w:rPr>
            </w:pPr>
            <w:r>
              <w:rPr>
                <w:rFonts w:hint="eastAsia" w:ascii="宋体" w:hAnsi="宋体" w:cs="Arial"/>
                <w:sz w:val="24"/>
                <w:szCs w:val="24"/>
              </w:rPr>
              <w:t>企业资质要求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6" w:hRule="atLeast"/>
        </w:trPr>
        <w:tc>
          <w:tcPr>
            <w:tcW w:w="9747" w:type="dxa"/>
            <w:vAlign w:val="center"/>
          </w:tcPr>
          <w:p>
            <w:pPr>
              <w:snapToGrid w:val="0"/>
              <w:ind w:left="42" w:leftChars="20"/>
              <w:rPr>
                <w:rFonts w:hint="eastAsia" w:eastAsia="仿宋" w:cs="宋体"/>
                <w:szCs w:val="21"/>
              </w:rPr>
            </w:pPr>
          </w:p>
          <w:p>
            <w:pPr>
              <w:widowControl/>
              <w:adjustRightInd w:val="0"/>
              <w:snapToGrid w:val="0"/>
              <w:spacing w:line="360" w:lineRule="auto"/>
              <w:ind w:firstLine="240" w:firstLineChars="100"/>
              <w:jc w:val="left"/>
              <w:rPr>
                <w:rFonts w:hint="eastAsia" w:ascii="宋体" w:hAnsi="宋体" w:cs="Arial"/>
                <w:sz w:val="24"/>
                <w:szCs w:val="24"/>
              </w:rPr>
            </w:pPr>
            <w:r>
              <w:rPr>
                <w:rFonts w:hint="eastAsia" w:ascii="宋体" w:hAnsi="宋体" w:cs="宋体"/>
                <w:sz w:val="24"/>
                <w:szCs w:val="24"/>
              </w:rPr>
              <w:t>（1）</w:t>
            </w:r>
            <w:r>
              <w:rPr>
                <w:rFonts w:hint="eastAsia" w:ascii="宋体" w:hAnsi="宋体" w:cs="Arial"/>
                <w:sz w:val="24"/>
                <w:szCs w:val="24"/>
              </w:rPr>
              <w:t>投标人具有有效的企业法人营业执照（或者合法有效的事业单位法人证书）</w:t>
            </w:r>
          </w:p>
          <w:p>
            <w:pPr>
              <w:widowControl/>
              <w:adjustRightInd w:val="0"/>
              <w:snapToGrid w:val="0"/>
              <w:spacing w:line="360" w:lineRule="auto"/>
              <w:ind w:firstLine="240" w:firstLineChars="100"/>
              <w:jc w:val="left"/>
              <w:rPr>
                <w:rFonts w:hint="eastAsia" w:ascii="宋体" w:hAnsi="宋体" w:cs="宋体"/>
                <w:sz w:val="24"/>
                <w:szCs w:val="24"/>
              </w:rPr>
            </w:pPr>
            <w:r>
              <w:rPr>
                <w:rFonts w:hint="eastAsia" w:ascii="宋体" w:hAnsi="宋体" w:cs="宋体"/>
                <w:sz w:val="24"/>
                <w:szCs w:val="24"/>
              </w:rPr>
              <w:t>（2）具备建设行政主管部门核发的电子与智能化工程专业承包二级及以上资质,并在人员、设备、资金等方面具有承担本标段的能力。</w:t>
            </w:r>
          </w:p>
          <w:p>
            <w:pPr>
              <w:widowControl/>
              <w:adjustRightInd w:val="0"/>
              <w:snapToGrid w:val="0"/>
              <w:spacing w:line="360" w:lineRule="auto"/>
              <w:ind w:firstLine="240" w:firstLineChars="100"/>
              <w:jc w:val="left"/>
              <w:rPr>
                <w:rFonts w:hint="eastAsia" w:eastAsia="仿宋" w:cs="宋体"/>
              </w:rPr>
            </w:pPr>
            <w:r>
              <w:rPr>
                <w:rFonts w:hint="eastAsia" w:ascii="宋体" w:hAnsi="宋体" w:cs="宋体"/>
                <w:sz w:val="24"/>
                <w:szCs w:val="24"/>
              </w:rPr>
              <w:t>（3）投标人应具有信息安全管理体系认证ISO27001。</w:t>
            </w:r>
          </w:p>
        </w:tc>
      </w:tr>
    </w:tbl>
    <w:p>
      <w:pPr>
        <w:spacing w:before="120" w:after="120"/>
        <w:jc w:val="center"/>
        <w:rPr>
          <w:rFonts w:hint="eastAsia" w:eastAsia="仿宋" w:cs="宋体"/>
          <w:b/>
          <w:bCs/>
          <w:kern w:val="44"/>
          <w:sz w:val="28"/>
          <w:szCs w:val="28"/>
        </w:rPr>
      </w:pPr>
    </w:p>
    <w:p>
      <w:pPr>
        <w:spacing w:before="120" w:after="120"/>
        <w:jc w:val="center"/>
        <w:rPr>
          <w:rFonts w:hint="eastAsia" w:ascii="宋体" w:hAnsi="宋体" w:cs="宋体"/>
          <w:b/>
          <w:bCs/>
          <w:kern w:val="44"/>
          <w:sz w:val="28"/>
          <w:szCs w:val="28"/>
        </w:rPr>
      </w:pPr>
      <w:r>
        <w:rPr>
          <w:rFonts w:hint="eastAsia" w:ascii="宋体" w:hAnsi="宋体" w:cs="宋体"/>
          <w:b/>
          <w:bCs/>
          <w:kern w:val="44"/>
          <w:sz w:val="28"/>
          <w:szCs w:val="28"/>
        </w:rPr>
        <w:t>附录2   资格审查条件(财务最低要求)</w:t>
      </w:r>
    </w:p>
    <w:p>
      <w:pPr>
        <w:rPr>
          <w:rFonts w:hint="eastAsia" w:eastAsia="仿宋" w:cs="宋体"/>
        </w:rPr>
      </w:pPr>
    </w:p>
    <w:tbl>
      <w:tblPr>
        <w:tblStyle w:val="8"/>
        <w:tblW w:w="0" w:type="auto"/>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750" w:type="dxa"/>
            <w:vAlign w:val="center"/>
          </w:tcPr>
          <w:p>
            <w:pPr>
              <w:jc w:val="center"/>
              <w:rPr>
                <w:rFonts w:hint="eastAsia" w:eastAsia="仿宋" w:cs="宋体"/>
                <w:sz w:val="24"/>
              </w:rPr>
            </w:pPr>
            <w:r>
              <w:rPr>
                <w:rFonts w:hint="eastAsia" w:ascii="宋体" w:hAnsi="宋体" w:cs="Arial"/>
                <w:sz w:val="24"/>
                <w:szCs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5" w:hRule="atLeast"/>
        </w:trPr>
        <w:tc>
          <w:tcPr>
            <w:tcW w:w="9750" w:type="dxa"/>
            <w:vAlign w:val="center"/>
          </w:tcPr>
          <w:p>
            <w:pPr>
              <w:adjustRightInd w:val="0"/>
              <w:snapToGrid w:val="0"/>
              <w:spacing w:line="360" w:lineRule="auto"/>
              <w:ind w:firstLine="480" w:firstLineChars="200"/>
              <w:jc w:val="left"/>
              <w:rPr>
                <w:rFonts w:hint="eastAsia" w:eastAsia="仿宋" w:cs="宋体"/>
              </w:rPr>
            </w:pPr>
            <w:r>
              <w:rPr>
                <w:rFonts w:hint="eastAsia" w:ascii="宋体" w:hAnsi="宋体" w:cs="宋体"/>
                <w:sz w:val="24"/>
              </w:rPr>
              <w:t>具有会计师事务所出具的2020年财务审计报告（含资产负债表、利润或利润分配表、现金流量表和财务报表附注），</w:t>
            </w:r>
            <w:r>
              <w:rPr>
                <w:rFonts w:hint="eastAsia" w:ascii="宋体" w:hAnsi="宋体" w:cs="宋体"/>
                <w:kern w:val="0"/>
                <w:sz w:val="24"/>
              </w:rPr>
              <w:t>新成立公司（2020年3月1日之后成立）提供银行资信证明材料。</w:t>
            </w:r>
            <w:r>
              <w:rPr>
                <w:rFonts w:hint="eastAsia" w:ascii="宋体" w:hAnsi="宋体" w:cs="Arial"/>
                <w:sz w:val="24"/>
                <w:szCs w:val="24"/>
              </w:rPr>
              <w:t>2020年流动资产与流动负债的比率不小于1。</w:t>
            </w:r>
          </w:p>
        </w:tc>
      </w:tr>
    </w:tbl>
    <w:p>
      <w:pPr>
        <w:rPr>
          <w:rFonts w:hint="eastAsia" w:eastAsia="仿宋" w:cs="宋体"/>
        </w:rPr>
      </w:pPr>
      <w:r>
        <w:rPr>
          <w:rFonts w:hint="eastAsia" w:eastAsia="仿宋" w:cs="宋体"/>
        </w:rPr>
        <w:t xml:space="preserve"> </w:t>
      </w:r>
    </w:p>
    <w:p>
      <w:pPr>
        <w:rPr>
          <w:rFonts w:hint="eastAsia" w:eastAsia="仿宋" w:cs="宋体"/>
        </w:rPr>
      </w:pPr>
    </w:p>
    <w:p>
      <w:pPr>
        <w:spacing w:before="120" w:after="120"/>
        <w:jc w:val="center"/>
        <w:rPr>
          <w:rFonts w:hint="eastAsia" w:ascii="宋体" w:hAnsi="宋体" w:cs="宋体"/>
          <w:b/>
          <w:bCs/>
          <w:kern w:val="44"/>
          <w:sz w:val="28"/>
          <w:szCs w:val="28"/>
        </w:rPr>
      </w:pPr>
      <w:r>
        <w:rPr>
          <w:rFonts w:hint="eastAsia" w:ascii="宋体" w:hAnsi="宋体" w:cs="宋体"/>
          <w:b/>
          <w:bCs/>
          <w:kern w:val="44"/>
          <w:sz w:val="28"/>
          <w:szCs w:val="28"/>
        </w:rPr>
        <w:t>附录3   资格审查条件(业绩最低要求)</w:t>
      </w:r>
    </w:p>
    <w:tbl>
      <w:tblPr>
        <w:tblStyle w:val="8"/>
        <w:tblpPr w:leftFromText="180" w:rightFromText="180" w:vertAnchor="text" w:horzAnchor="page" w:tblpX="1243" w:tblpY="510"/>
        <w:tblOverlap w:val="never"/>
        <w:tblW w:w="97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748" w:type="dxa"/>
            <w:vAlign w:val="center"/>
          </w:tcPr>
          <w:p>
            <w:pPr>
              <w:jc w:val="center"/>
              <w:rPr>
                <w:rFonts w:ascii="宋体" w:hAnsi="宋体"/>
              </w:rPr>
            </w:pPr>
            <w:r>
              <w:rPr>
                <w:rFonts w:hint="eastAsia" w:ascii="宋体" w:hAnsi="宋体"/>
                <w:sz w:val="24"/>
                <w:szCs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4" w:hRule="atLeast"/>
        </w:trPr>
        <w:tc>
          <w:tcPr>
            <w:tcW w:w="9748" w:type="dxa"/>
            <w:vAlign w:val="center"/>
          </w:tcPr>
          <w:p>
            <w:pPr>
              <w:spacing w:line="276" w:lineRule="auto"/>
              <w:ind w:firstLine="480" w:firstLineChars="200"/>
              <w:jc w:val="left"/>
              <w:rPr>
                <w:rFonts w:hint="eastAsia" w:ascii="宋体" w:hAnsi="宋体"/>
                <w:szCs w:val="24"/>
              </w:rPr>
            </w:pPr>
            <w:r>
              <w:rPr>
                <w:rFonts w:hint="eastAsia" w:ascii="宋体" w:hAnsi="宋体"/>
                <w:sz w:val="24"/>
                <w:szCs w:val="24"/>
              </w:rPr>
              <w:t>本项目无单位业绩最低要求，投标人不提供不作为无效标处理。</w:t>
            </w:r>
          </w:p>
        </w:tc>
      </w:tr>
    </w:tbl>
    <w:p>
      <w:pPr>
        <w:rPr>
          <w:rFonts w:hint="eastAsia" w:ascii="宋体" w:hAnsi="宋体" w:cs="宋体"/>
          <w:sz w:val="28"/>
          <w:szCs w:val="28"/>
        </w:rPr>
      </w:pPr>
    </w:p>
    <w:p>
      <w:pPr>
        <w:spacing w:before="120" w:after="120"/>
        <w:jc w:val="center"/>
        <w:rPr>
          <w:rFonts w:hint="eastAsia" w:ascii="宋体" w:hAnsi="宋体" w:cs="宋体"/>
          <w:b/>
          <w:bCs/>
          <w:kern w:val="44"/>
          <w:sz w:val="13"/>
          <w:szCs w:val="13"/>
        </w:rPr>
      </w:pPr>
    </w:p>
    <w:p>
      <w:pPr>
        <w:spacing w:before="120" w:after="120"/>
        <w:jc w:val="center"/>
        <w:rPr>
          <w:rFonts w:hint="eastAsia" w:ascii="宋体" w:hAnsi="宋体" w:cs="宋体"/>
          <w:b/>
          <w:bCs/>
          <w:kern w:val="44"/>
          <w:sz w:val="28"/>
          <w:szCs w:val="28"/>
        </w:rPr>
      </w:pPr>
      <w:r>
        <w:rPr>
          <w:rFonts w:hint="eastAsia" w:ascii="宋体" w:hAnsi="宋体" w:cs="宋体"/>
          <w:b/>
          <w:bCs/>
          <w:kern w:val="44"/>
          <w:sz w:val="28"/>
          <w:szCs w:val="28"/>
        </w:rPr>
        <w:t>附录4   资格审查条件(信誉最低要求)</w:t>
      </w:r>
    </w:p>
    <w:tbl>
      <w:tblPr>
        <w:tblStyle w:val="8"/>
        <w:tblpPr w:leftFromText="180" w:rightFromText="180" w:vertAnchor="text" w:horzAnchor="page" w:tblpX="1337" w:tblpY="14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747" w:type="dxa"/>
            <w:vAlign w:val="center"/>
          </w:tcPr>
          <w:p>
            <w:pPr>
              <w:jc w:val="center"/>
              <w:rPr>
                <w:rFonts w:hint="eastAsia" w:eastAsia="仿宋" w:cs="宋体"/>
                <w:szCs w:val="21"/>
              </w:rPr>
            </w:pPr>
            <w:r>
              <w:rPr>
                <w:rFonts w:hint="eastAsia" w:ascii="宋体" w:hAnsi="宋体" w:cs="宋体"/>
                <w:sz w:val="24"/>
                <w:szCs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8" w:hRule="atLeast"/>
        </w:trPr>
        <w:tc>
          <w:tcPr>
            <w:tcW w:w="9747" w:type="dxa"/>
            <w:vAlign w:val="center"/>
          </w:tcPr>
          <w:p>
            <w:pPr>
              <w:widowControl/>
              <w:spacing w:line="360" w:lineRule="auto"/>
              <w:ind w:firstLine="240" w:firstLineChars="100"/>
              <w:rPr>
                <w:rFonts w:hint="eastAsia" w:eastAsia="仿宋" w:cs="宋体"/>
                <w:szCs w:val="21"/>
              </w:rPr>
            </w:pPr>
            <w:r>
              <w:rPr>
                <w:rFonts w:hint="eastAsia" w:ascii="宋体" w:hAnsi="宋体" w:cs="宋体"/>
                <w:sz w:val="24"/>
                <w:szCs w:val="24"/>
              </w:rPr>
              <w:t>投标人不得出现投标人须知总则第1.4.3条款有关情形，以投标人承诺书为评审依据，投标人进行虚假承诺的，一经查实，取消其投标或中标资格，情节严重的，依法追究相关责任。</w:t>
            </w:r>
          </w:p>
        </w:tc>
      </w:tr>
    </w:tbl>
    <w:p>
      <w:pPr>
        <w:jc w:val="left"/>
        <w:rPr>
          <w:rFonts w:hint="eastAsia" w:ascii="宋体" w:hAnsi="宋体" w:cs="宋体"/>
          <w:sz w:val="28"/>
          <w:szCs w:val="28"/>
        </w:rPr>
      </w:pPr>
    </w:p>
    <w:p>
      <w:pPr>
        <w:jc w:val="center"/>
        <w:rPr>
          <w:rFonts w:hint="eastAsia" w:ascii="宋体" w:hAnsi="宋体" w:cs="宋体"/>
          <w:b/>
          <w:bCs/>
          <w:kern w:val="44"/>
          <w:sz w:val="28"/>
          <w:szCs w:val="28"/>
        </w:rPr>
      </w:pPr>
      <w:r>
        <w:rPr>
          <w:rFonts w:hint="eastAsia" w:ascii="宋体" w:hAnsi="宋体" w:cs="宋体"/>
          <w:b/>
          <w:bCs/>
          <w:kern w:val="44"/>
          <w:sz w:val="28"/>
          <w:szCs w:val="28"/>
        </w:rPr>
        <w:t>附录5  资格审查条件(项目主要负责人最低要求)</w:t>
      </w:r>
    </w:p>
    <w:p>
      <w:pPr>
        <w:pStyle w:val="2"/>
        <w:ind w:firstLine="562"/>
        <w:rPr>
          <w:rFonts w:hint="eastAsia" w:hAnsi="宋体" w:cs="宋体"/>
          <w:b/>
          <w:bCs/>
          <w:kern w:val="44"/>
          <w:sz w:val="28"/>
          <w:szCs w:val="28"/>
        </w:rPr>
      </w:pPr>
    </w:p>
    <w:tbl>
      <w:tblPr>
        <w:tblStyle w:val="8"/>
        <w:tblW w:w="9750"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1276"/>
        <w:gridCol w:w="6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1575" w:type="dxa"/>
            <w:vAlign w:val="center"/>
          </w:tcPr>
          <w:p>
            <w:pPr>
              <w:jc w:val="center"/>
              <w:rPr>
                <w:rFonts w:hint="eastAsia" w:ascii="宋体" w:hAnsi="宋体" w:cs="宋体"/>
                <w:sz w:val="24"/>
                <w:szCs w:val="24"/>
              </w:rPr>
            </w:pPr>
            <w:r>
              <w:rPr>
                <w:rFonts w:hint="eastAsia" w:ascii="宋体" w:hAnsi="宋体" w:cs="宋体"/>
                <w:sz w:val="24"/>
                <w:szCs w:val="24"/>
              </w:rPr>
              <w:t>人  员</w:t>
            </w:r>
          </w:p>
        </w:tc>
        <w:tc>
          <w:tcPr>
            <w:tcW w:w="1276" w:type="dxa"/>
            <w:vAlign w:val="center"/>
          </w:tcPr>
          <w:p>
            <w:pPr>
              <w:jc w:val="center"/>
              <w:rPr>
                <w:rFonts w:hint="eastAsia" w:ascii="宋体" w:hAnsi="宋体" w:cs="宋体"/>
                <w:sz w:val="24"/>
                <w:szCs w:val="24"/>
              </w:rPr>
            </w:pPr>
            <w:r>
              <w:rPr>
                <w:rFonts w:hint="eastAsia" w:ascii="宋体" w:hAnsi="宋体" w:cs="宋体"/>
                <w:sz w:val="24"/>
                <w:szCs w:val="24"/>
              </w:rPr>
              <w:t>数  量</w:t>
            </w:r>
          </w:p>
        </w:tc>
        <w:tc>
          <w:tcPr>
            <w:tcW w:w="6899" w:type="dxa"/>
            <w:vAlign w:val="center"/>
          </w:tcPr>
          <w:p>
            <w:pPr>
              <w:jc w:val="center"/>
              <w:rPr>
                <w:rFonts w:hint="eastAsia" w:ascii="宋体" w:hAnsi="宋体" w:cs="宋体"/>
                <w:sz w:val="24"/>
                <w:szCs w:val="24"/>
              </w:rPr>
            </w:pPr>
            <w:r>
              <w:rPr>
                <w:rFonts w:hint="eastAsia" w:ascii="宋体" w:hAnsi="宋体" w:cs="宋体"/>
                <w:sz w:val="24"/>
                <w:szCs w:val="24"/>
              </w:rPr>
              <w:t>资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1" w:hRule="atLeast"/>
        </w:trPr>
        <w:tc>
          <w:tcPr>
            <w:tcW w:w="1575" w:type="dxa"/>
            <w:tcBorders>
              <w:bottom w:val="single" w:color="auto" w:sz="4" w:space="0"/>
            </w:tcBorders>
            <w:vAlign w:val="center"/>
          </w:tcPr>
          <w:p>
            <w:pPr>
              <w:widowControl/>
              <w:spacing w:line="360" w:lineRule="auto"/>
              <w:ind w:firstLine="240" w:firstLineChars="100"/>
              <w:rPr>
                <w:rFonts w:hint="eastAsia" w:ascii="宋体" w:hAnsi="宋体" w:cs="宋体"/>
                <w:sz w:val="24"/>
                <w:szCs w:val="24"/>
              </w:rPr>
            </w:pPr>
            <w:r>
              <w:rPr>
                <w:rFonts w:hint="eastAsia" w:ascii="宋体" w:hAnsi="宋体" w:cs="宋体"/>
                <w:sz w:val="24"/>
                <w:szCs w:val="24"/>
              </w:rPr>
              <w:t>项目经理</w:t>
            </w:r>
          </w:p>
        </w:tc>
        <w:tc>
          <w:tcPr>
            <w:tcW w:w="1276" w:type="dxa"/>
            <w:tcBorders>
              <w:bottom w:val="single" w:color="auto" w:sz="4" w:space="0"/>
            </w:tcBorders>
            <w:vAlign w:val="center"/>
          </w:tcPr>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w:t>
            </w:r>
          </w:p>
        </w:tc>
        <w:tc>
          <w:tcPr>
            <w:tcW w:w="6899" w:type="dxa"/>
            <w:tcBorders>
              <w:bottom w:val="single" w:color="auto" w:sz="4" w:space="0"/>
            </w:tcBorders>
            <w:vAlign w:val="center"/>
          </w:tcPr>
          <w:p>
            <w:pPr>
              <w:widowControl/>
              <w:spacing w:line="360" w:lineRule="auto"/>
              <w:ind w:firstLine="240" w:firstLineChars="100"/>
              <w:rPr>
                <w:rFonts w:hint="eastAsia" w:ascii="宋体" w:hAnsi="宋体" w:cs="宋体"/>
                <w:sz w:val="24"/>
                <w:szCs w:val="24"/>
              </w:rPr>
            </w:pPr>
            <w:r>
              <w:rPr>
                <w:rFonts w:ascii="宋体" w:hAnsi="宋体" w:cs="宋体"/>
                <w:sz w:val="24"/>
                <w:szCs w:val="24"/>
              </w:rPr>
              <w:t>具有电子信息工程</w:t>
            </w:r>
            <w:r>
              <w:rPr>
                <w:rFonts w:hint="eastAsia" w:ascii="宋体" w:hAnsi="宋体" w:cs="宋体"/>
                <w:sz w:val="24"/>
                <w:szCs w:val="24"/>
              </w:rPr>
              <w:t>或电力工程技术</w:t>
            </w:r>
            <w:r>
              <w:rPr>
                <w:rFonts w:ascii="宋体" w:hAnsi="宋体" w:cs="宋体"/>
                <w:sz w:val="24"/>
                <w:szCs w:val="24"/>
              </w:rPr>
              <w:t>相关专业工程师及以上职称，并具有类似工作经验。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2" w:hRule="atLeast"/>
        </w:trPr>
        <w:tc>
          <w:tcPr>
            <w:tcW w:w="1575" w:type="dxa"/>
            <w:tcBorders>
              <w:top w:val="single" w:color="auto" w:sz="4" w:space="0"/>
            </w:tcBorders>
            <w:vAlign w:val="center"/>
          </w:tcPr>
          <w:p>
            <w:pPr>
              <w:jc w:val="center"/>
              <w:rPr>
                <w:rFonts w:hint="eastAsia" w:ascii="宋体" w:hAnsi="宋体" w:cs="宋体"/>
                <w:b/>
                <w:bCs/>
                <w:sz w:val="24"/>
                <w:szCs w:val="24"/>
              </w:rPr>
            </w:pPr>
            <w:r>
              <w:rPr>
                <w:rFonts w:hint="eastAsia" w:ascii="宋体" w:hAnsi="宋体" w:cs="宋体"/>
                <w:sz w:val="24"/>
                <w:szCs w:val="24"/>
              </w:rPr>
              <w:t>项目技术负责人</w:t>
            </w:r>
          </w:p>
        </w:tc>
        <w:tc>
          <w:tcPr>
            <w:tcW w:w="1276" w:type="dxa"/>
            <w:tcBorders>
              <w:top w:val="single" w:color="auto" w:sz="4" w:space="0"/>
            </w:tcBorders>
            <w:vAlign w:val="center"/>
          </w:tcPr>
          <w:p>
            <w:pPr>
              <w:jc w:val="center"/>
              <w:rPr>
                <w:rFonts w:hint="eastAsia" w:ascii="宋体" w:hAnsi="宋体" w:cs="宋体"/>
                <w:b/>
                <w:bCs/>
                <w:sz w:val="24"/>
                <w:szCs w:val="24"/>
              </w:rPr>
            </w:pPr>
            <w:r>
              <w:rPr>
                <w:rFonts w:hint="eastAsia" w:ascii="宋体" w:hAnsi="宋体" w:cs="宋体"/>
                <w:sz w:val="24"/>
                <w:szCs w:val="24"/>
              </w:rPr>
              <w:t>1</w:t>
            </w:r>
          </w:p>
        </w:tc>
        <w:tc>
          <w:tcPr>
            <w:tcW w:w="6899" w:type="dxa"/>
            <w:tcBorders>
              <w:top w:val="single" w:color="auto" w:sz="4" w:space="0"/>
            </w:tcBorders>
            <w:vAlign w:val="center"/>
          </w:tcPr>
          <w:p>
            <w:pPr>
              <w:spacing w:line="360" w:lineRule="auto"/>
              <w:ind w:firstLine="240" w:firstLineChars="100"/>
              <w:rPr>
                <w:rFonts w:hint="eastAsia" w:ascii="宋体" w:hAnsi="宋体" w:cs="宋体"/>
                <w:b/>
                <w:bCs/>
                <w:sz w:val="24"/>
                <w:szCs w:val="24"/>
              </w:rPr>
            </w:pPr>
            <w:r>
              <w:rPr>
                <w:rFonts w:ascii="宋体" w:hAnsi="宋体" w:cs="宋体"/>
                <w:sz w:val="24"/>
                <w:szCs w:val="24"/>
              </w:rPr>
              <w:t>具有电子信息工程</w:t>
            </w:r>
            <w:r>
              <w:rPr>
                <w:rFonts w:hint="eastAsia" w:ascii="宋体" w:hAnsi="宋体" w:cs="宋体"/>
                <w:sz w:val="24"/>
                <w:szCs w:val="24"/>
              </w:rPr>
              <w:t>或电力工程技术</w:t>
            </w:r>
            <w:r>
              <w:rPr>
                <w:rFonts w:ascii="宋体" w:hAnsi="宋体" w:cs="宋体"/>
                <w:sz w:val="24"/>
                <w:szCs w:val="24"/>
              </w:rPr>
              <w:t>相关专业工程师及以上职称，并具有类似工作经验。</w:t>
            </w:r>
          </w:p>
        </w:tc>
      </w:tr>
    </w:tbl>
    <w:p/>
    <w:p>
      <w:pPr>
        <w:pStyle w:val="2"/>
      </w:pPr>
      <w:r>
        <w:br w:type="page"/>
      </w:r>
    </w:p>
    <w:p>
      <w:pPr>
        <w:pStyle w:val="3"/>
        <w:spacing w:before="120" w:after="120" w:line="360" w:lineRule="auto"/>
        <w:jc w:val="center"/>
        <w:rPr>
          <w:rFonts w:hint="eastAsia" w:ascii="宋体" w:hAnsi="宋体" w:cs="宋体"/>
          <w:sz w:val="32"/>
          <w:szCs w:val="32"/>
        </w:rPr>
      </w:pPr>
      <w:r>
        <w:rPr>
          <w:rFonts w:hint="eastAsia" w:ascii="宋体" w:hAnsi="宋体" w:cs="宋体"/>
          <w:sz w:val="32"/>
          <w:szCs w:val="32"/>
        </w:rPr>
        <w:t>评标办法（综合评估法）</w:t>
      </w:r>
    </w:p>
    <w:p>
      <w:pPr>
        <w:autoSpaceDE w:val="0"/>
        <w:autoSpaceDN w:val="0"/>
        <w:adjustRightInd w:val="0"/>
        <w:ind w:left="120" w:right="-20"/>
        <w:jc w:val="left"/>
        <w:rPr>
          <w:rFonts w:hint="eastAsia" w:ascii="宋体" w:hAnsi="宋体" w:cs="宋体"/>
          <w:b/>
          <w:bCs/>
          <w:kern w:val="44"/>
          <w:sz w:val="32"/>
          <w:szCs w:val="32"/>
        </w:rPr>
      </w:pPr>
      <w:r>
        <w:rPr>
          <w:rFonts w:hint="eastAsia" w:ascii="宋体" w:hAnsi="宋体" w:cs="宋体"/>
          <w:b/>
          <w:bCs/>
          <w:kern w:val="44"/>
          <w:sz w:val="32"/>
          <w:szCs w:val="32"/>
        </w:rPr>
        <w:t>评标办法前附表</w:t>
      </w:r>
    </w:p>
    <w:tbl>
      <w:tblPr>
        <w:tblStyle w:val="8"/>
        <w:tblW w:w="9671" w:type="dxa"/>
        <w:tblInd w:w="102" w:type="dxa"/>
        <w:tblLayout w:type="fixed"/>
        <w:tblCellMar>
          <w:top w:w="0" w:type="dxa"/>
          <w:left w:w="0" w:type="dxa"/>
          <w:bottom w:w="0" w:type="dxa"/>
          <w:right w:w="0" w:type="dxa"/>
        </w:tblCellMar>
      </w:tblPr>
      <w:tblGrid>
        <w:gridCol w:w="599"/>
        <w:gridCol w:w="142"/>
        <w:gridCol w:w="992"/>
        <w:gridCol w:w="2335"/>
        <w:gridCol w:w="5603"/>
      </w:tblGrid>
      <w:tr>
        <w:tblPrEx>
          <w:tblCellMar>
            <w:top w:w="0" w:type="dxa"/>
            <w:left w:w="0" w:type="dxa"/>
            <w:bottom w:w="0" w:type="dxa"/>
            <w:right w:w="0" w:type="dxa"/>
          </w:tblCellMar>
        </w:tblPrEx>
        <w:trPr>
          <w:trHeight w:val="567" w:hRule="exact"/>
        </w:trPr>
        <w:tc>
          <w:tcPr>
            <w:tcW w:w="173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条款号</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评审因素</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评审标准</w:t>
            </w:r>
          </w:p>
        </w:tc>
      </w:tr>
      <w:tr>
        <w:tblPrEx>
          <w:tblCellMar>
            <w:top w:w="0" w:type="dxa"/>
            <w:left w:w="0" w:type="dxa"/>
            <w:bottom w:w="0" w:type="dxa"/>
            <w:right w:w="0" w:type="dxa"/>
          </w:tblCellMar>
        </w:tblPrEx>
        <w:trPr>
          <w:trHeight w:val="1867" w:hRule="exact"/>
        </w:trPr>
        <w:tc>
          <w:tcPr>
            <w:tcW w:w="74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评标方法</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中标候选人排序方法</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sz w:val="24"/>
                <w:szCs w:val="24"/>
              </w:rPr>
            </w:pPr>
            <w:r>
              <w:rPr>
                <w:rFonts w:hint="eastAsia" w:ascii="宋体" w:hAnsi="宋体" w:cs="宋体"/>
                <w:sz w:val="24"/>
                <w:szCs w:val="24"/>
              </w:rPr>
              <w:t>评标委员会根据各投标人综合得分由高到低的顺序推荐3名中标候选人，并标明推荐顺序。</w:t>
            </w:r>
          </w:p>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sz w:val="24"/>
                <w:szCs w:val="24"/>
              </w:rPr>
              <w:t>综合得分相等时，以投标报价低的优先；投标报价也相等的，以技术评分高的优先；技术评分也相等的，以商务评分高的优先；商务评分也相等的，由招标人自行确定。</w:t>
            </w:r>
          </w:p>
        </w:tc>
      </w:tr>
      <w:tr>
        <w:tblPrEx>
          <w:tblCellMar>
            <w:top w:w="0" w:type="dxa"/>
            <w:left w:w="0" w:type="dxa"/>
            <w:bottom w:w="0" w:type="dxa"/>
            <w:right w:w="0" w:type="dxa"/>
          </w:tblCellMar>
        </w:tblPrEx>
        <w:trPr>
          <w:trHeight w:val="652" w:hRule="exact"/>
        </w:trPr>
        <w:tc>
          <w:tcPr>
            <w:tcW w:w="74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2.1.1</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形式评审 标准</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投标人名称</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与营业执照（或事业单位法人证书）、资质证书一致。</w:t>
            </w:r>
          </w:p>
        </w:tc>
      </w:tr>
      <w:tr>
        <w:tblPrEx>
          <w:tblCellMar>
            <w:top w:w="0" w:type="dxa"/>
            <w:left w:w="0" w:type="dxa"/>
            <w:bottom w:w="0" w:type="dxa"/>
            <w:right w:w="0" w:type="dxa"/>
          </w:tblCellMar>
        </w:tblPrEx>
        <w:trPr>
          <w:trHeight w:val="1632" w:hRule="exact"/>
        </w:trPr>
        <w:tc>
          <w:tcPr>
            <w:tcW w:w="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投标函签字盖章</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bookmarkStart w:id="0" w:name="OLE_LINK17"/>
            <w:r>
              <w:rPr>
                <w:rFonts w:hint="eastAsia" w:ascii="宋体" w:hAnsi="宋体" w:cs="宋体"/>
                <w:kern w:val="0"/>
                <w:sz w:val="24"/>
                <w:szCs w:val="24"/>
              </w:rPr>
              <w:t>有法定代表人（或其委托代理人）签字，并加盖单位章。由法定代表人（单位负责人）签字的，应附法定代表人（单位负责人）身份证明，由代理人签字的，应附授权委托书，身份证明或授权委托书应符合第六章“投标文件格式”的规定</w:t>
            </w:r>
            <w:bookmarkEnd w:id="0"/>
            <w:r>
              <w:rPr>
                <w:rFonts w:hint="eastAsia" w:ascii="宋体" w:hAnsi="宋体" w:cs="宋体"/>
                <w:kern w:val="0"/>
                <w:sz w:val="24"/>
                <w:szCs w:val="24"/>
              </w:rPr>
              <w:t>。</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投标文件格式</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符合第六章“投标文件格式”的规定</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联合体投标人</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本项不适用</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备选投标方案</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本项目不要求备选投标方案</w:t>
            </w:r>
          </w:p>
        </w:tc>
      </w:tr>
      <w:tr>
        <w:tblPrEx>
          <w:tblCellMar>
            <w:top w:w="0" w:type="dxa"/>
            <w:left w:w="0" w:type="dxa"/>
            <w:bottom w:w="0" w:type="dxa"/>
            <w:right w:w="0" w:type="dxa"/>
          </w:tblCellMar>
        </w:tblPrEx>
        <w:trPr>
          <w:trHeight w:val="1014" w:hRule="exact"/>
        </w:trPr>
        <w:tc>
          <w:tcPr>
            <w:tcW w:w="741"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2.1.2</w:t>
            </w:r>
          </w:p>
        </w:tc>
        <w:tc>
          <w:tcPr>
            <w:tcW w:w="992"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资格评审 标准</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营业执照和基本账户开户许可证</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符合第二章“投标人须知”第 3.5.1 项规定，具备有效的营业执照（或事业单位法人证书）、基本账户开户许可证（或基本存款账户信息）。</w:t>
            </w:r>
          </w:p>
        </w:tc>
      </w:tr>
      <w:tr>
        <w:tblPrEx>
          <w:tblCellMar>
            <w:top w:w="0" w:type="dxa"/>
            <w:left w:w="0" w:type="dxa"/>
            <w:bottom w:w="0" w:type="dxa"/>
            <w:right w:w="0" w:type="dxa"/>
          </w:tblCellMar>
        </w:tblPrEx>
        <w:trPr>
          <w:trHeight w:val="567" w:hRule="exact"/>
        </w:trPr>
        <w:tc>
          <w:tcPr>
            <w:tcW w:w="741" w:type="dxa"/>
            <w:gridSpan w:val="2"/>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资质要求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符合第二章“投标人须知”第 1.4.1 项规定</w:t>
            </w:r>
          </w:p>
        </w:tc>
      </w:tr>
      <w:tr>
        <w:tblPrEx>
          <w:tblCellMar>
            <w:top w:w="0" w:type="dxa"/>
            <w:left w:w="0" w:type="dxa"/>
            <w:bottom w:w="0" w:type="dxa"/>
            <w:right w:w="0" w:type="dxa"/>
          </w:tblCellMar>
        </w:tblPrEx>
        <w:trPr>
          <w:trHeight w:val="567" w:hRule="exact"/>
        </w:trPr>
        <w:tc>
          <w:tcPr>
            <w:tcW w:w="741" w:type="dxa"/>
            <w:gridSpan w:val="2"/>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财务要求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符合第二章“投标人须知”第 1.4.1 项规定</w:t>
            </w:r>
          </w:p>
        </w:tc>
      </w:tr>
      <w:tr>
        <w:tblPrEx>
          <w:tblCellMar>
            <w:top w:w="0" w:type="dxa"/>
            <w:left w:w="0" w:type="dxa"/>
            <w:bottom w:w="0" w:type="dxa"/>
            <w:right w:w="0" w:type="dxa"/>
          </w:tblCellMar>
        </w:tblPrEx>
        <w:trPr>
          <w:trHeight w:val="567" w:hRule="exact"/>
        </w:trPr>
        <w:tc>
          <w:tcPr>
            <w:tcW w:w="741" w:type="dxa"/>
            <w:gridSpan w:val="2"/>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业绩要求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符合第二章“投标人须知”第 1.4.1 项规定</w:t>
            </w:r>
          </w:p>
        </w:tc>
      </w:tr>
      <w:tr>
        <w:tblPrEx>
          <w:tblCellMar>
            <w:top w:w="0" w:type="dxa"/>
            <w:left w:w="0" w:type="dxa"/>
            <w:bottom w:w="0" w:type="dxa"/>
            <w:right w:w="0" w:type="dxa"/>
          </w:tblCellMar>
        </w:tblPrEx>
        <w:trPr>
          <w:trHeight w:val="567" w:hRule="exact"/>
        </w:trPr>
        <w:tc>
          <w:tcPr>
            <w:tcW w:w="741" w:type="dxa"/>
            <w:gridSpan w:val="2"/>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信誉要求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符合第二章“投标人须知”第 1.4.1 项规定</w:t>
            </w:r>
          </w:p>
        </w:tc>
      </w:tr>
      <w:tr>
        <w:tblPrEx>
          <w:tblCellMar>
            <w:top w:w="0" w:type="dxa"/>
            <w:left w:w="0" w:type="dxa"/>
            <w:bottom w:w="0" w:type="dxa"/>
            <w:right w:w="0" w:type="dxa"/>
          </w:tblCellMar>
        </w:tblPrEx>
        <w:trPr>
          <w:trHeight w:val="567" w:hRule="exact"/>
        </w:trPr>
        <w:tc>
          <w:tcPr>
            <w:tcW w:w="741" w:type="dxa"/>
            <w:gridSpan w:val="2"/>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其他要求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符合第二章“投标人须知”第 1.4.1 项规定</w:t>
            </w:r>
          </w:p>
        </w:tc>
      </w:tr>
      <w:tr>
        <w:tblPrEx>
          <w:tblCellMar>
            <w:top w:w="0" w:type="dxa"/>
            <w:left w:w="0" w:type="dxa"/>
            <w:bottom w:w="0" w:type="dxa"/>
            <w:right w:w="0" w:type="dxa"/>
          </w:tblCellMar>
        </w:tblPrEx>
        <w:trPr>
          <w:trHeight w:val="567" w:hRule="exact"/>
        </w:trPr>
        <w:tc>
          <w:tcPr>
            <w:tcW w:w="741" w:type="dxa"/>
            <w:gridSpan w:val="2"/>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left w:val="single" w:color="000000"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联合体投标人</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rPr>
                <w:rFonts w:hint="eastAsia" w:ascii="宋体" w:hAnsi="宋体" w:cs="宋体"/>
                <w:kern w:val="0"/>
                <w:sz w:val="24"/>
                <w:szCs w:val="24"/>
              </w:rPr>
            </w:pPr>
            <w:r>
              <w:rPr>
                <w:rFonts w:hint="eastAsia" w:ascii="宋体" w:hAnsi="宋体" w:cs="宋体"/>
                <w:kern w:val="0"/>
                <w:sz w:val="24"/>
                <w:szCs w:val="24"/>
              </w:rPr>
              <w:t>不接受联合体投标</w:t>
            </w:r>
          </w:p>
        </w:tc>
      </w:tr>
      <w:tr>
        <w:tblPrEx>
          <w:tblCellMar>
            <w:top w:w="0" w:type="dxa"/>
            <w:left w:w="0" w:type="dxa"/>
            <w:bottom w:w="0" w:type="dxa"/>
            <w:right w:w="0" w:type="dxa"/>
          </w:tblCellMar>
        </w:tblPrEx>
        <w:trPr>
          <w:trHeight w:val="860" w:hRule="exact"/>
        </w:trPr>
        <w:tc>
          <w:tcPr>
            <w:tcW w:w="741" w:type="dxa"/>
            <w:gridSpan w:val="2"/>
            <w:vMerge w:val="continue"/>
            <w:tcBorders>
              <w:left w:val="single" w:color="000000" w:sz="4" w:space="0"/>
              <w:bottom w:val="single" w:color="auto"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992" w:type="dxa"/>
            <w:vMerge w:val="continue"/>
            <w:tcBorders>
              <w:left w:val="single" w:color="000000" w:sz="4" w:space="0"/>
              <w:bottom w:val="single" w:color="auto"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不存在禁止投标的情形</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right="26"/>
              <w:rPr>
                <w:rFonts w:hint="eastAsia" w:ascii="宋体" w:hAnsi="宋体" w:cs="宋体"/>
                <w:kern w:val="0"/>
                <w:sz w:val="24"/>
                <w:szCs w:val="24"/>
              </w:rPr>
            </w:pPr>
            <w:r>
              <w:rPr>
                <w:rFonts w:hint="eastAsia" w:ascii="宋体" w:hAnsi="宋体" w:cs="宋体"/>
                <w:kern w:val="0"/>
                <w:sz w:val="24"/>
                <w:szCs w:val="24"/>
              </w:rPr>
              <w:t>不存在第二章“投标人须知”第 1.4.3 项规定的任何一种情形</w:t>
            </w:r>
          </w:p>
        </w:tc>
      </w:tr>
      <w:tr>
        <w:tblPrEx>
          <w:tblCellMar>
            <w:top w:w="0" w:type="dxa"/>
            <w:left w:w="0" w:type="dxa"/>
            <w:bottom w:w="0" w:type="dxa"/>
            <w:right w:w="0" w:type="dxa"/>
          </w:tblCellMar>
        </w:tblPrEx>
        <w:trPr>
          <w:trHeight w:val="673" w:hRule="exact"/>
        </w:trPr>
        <w:tc>
          <w:tcPr>
            <w:tcW w:w="741"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ind w:right="-20"/>
              <w:jc w:val="center"/>
              <w:rPr>
                <w:rFonts w:hint="eastAsia" w:ascii="宋体" w:hAnsi="宋体" w:cs="宋体"/>
                <w:kern w:val="0"/>
                <w:sz w:val="24"/>
                <w:szCs w:val="24"/>
              </w:rPr>
            </w:pPr>
            <w:r>
              <w:rPr>
                <w:rFonts w:hint="eastAsia" w:ascii="宋体" w:hAnsi="宋体" w:cs="宋体"/>
                <w:kern w:val="0"/>
                <w:sz w:val="24"/>
                <w:szCs w:val="24"/>
              </w:rPr>
              <w:t>2.1.3</w:t>
            </w:r>
          </w:p>
        </w:tc>
        <w:tc>
          <w:tcPr>
            <w:tcW w:w="992" w:type="dxa"/>
            <w:vMerge w:val="restart"/>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ind w:right="60"/>
              <w:jc w:val="center"/>
              <w:rPr>
                <w:rFonts w:hint="eastAsia" w:ascii="宋体" w:hAnsi="宋体" w:cs="宋体"/>
                <w:kern w:val="0"/>
                <w:sz w:val="24"/>
                <w:szCs w:val="24"/>
              </w:rPr>
            </w:pPr>
            <w:r>
              <w:rPr>
                <w:rFonts w:hint="eastAsia" w:ascii="宋体" w:hAnsi="宋体" w:cs="宋体"/>
                <w:kern w:val="0"/>
                <w:sz w:val="24"/>
                <w:szCs w:val="24"/>
              </w:rPr>
              <w:t>响应性评审标准</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投标报价</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r>
              <w:rPr>
                <w:rFonts w:hint="eastAsia" w:ascii="宋体" w:hAnsi="宋体" w:cs="宋体"/>
                <w:kern w:val="0"/>
                <w:sz w:val="24"/>
                <w:szCs w:val="24"/>
              </w:rPr>
              <w:t>符合第二章“投标人须知”第 3.2 款规定</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投标内容</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r>
              <w:rPr>
                <w:rFonts w:hint="eastAsia" w:ascii="宋体" w:hAnsi="宋体" w:cs="宋体"/>
                <w:kern w:val="0"/>
                <w:sz w:val="24"/>
                <w:szCs w:val="24"/>
              </w:rPr>
              <w:t>符合第二章“投标人须知”第 1.3.1 项规定</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67"/>
              <w:jc w:val="center"/>
              <w:rPr>
                <w:rFonts w:hint="eastAsia" w:ascii="宋体" w:hAnsi="宋体" w:cs="宋体"/>
                <w:kern w:val="0"/>
                <w:sz w:val="24"/>
                <w:szCs w:val="24"/>
              </w:rPr>
            </w:pPr>
            <w:r>
              <w:rPr>
                <w:rFonts w:hint="eastAsia" w:ascii="宋体" w:hAnsi="宋体" w:cs="宋体"/>
                <w:kern w:val="0"/>
                <w:sz w:val="24"/>
                <w:szCs w:val="24"/>
              </w:rPr>
              <w:t>工期</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r>
              <w:rPr>
                <w:rFonts w:hint="eastAsia" w:ascii="宋体" w:hAnsi="宋体" w:cs="宋体"/>
                <w:kern w:val="0"/>
                <w:sz w:val="24"/>
                <w:szCs w:val="24"/>
              </w:rPr>
              <w:t>符合第二章“投标人须知”第 1.3.2 项规定</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交货地点</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r>
              <w:rPr>
                <w:rFonts w:hint="eastAsia" w:ascii="宋体" w:hAnsi="宋体" w:cs="宋体"/>
                <w:kern w:val="0"/>
                <w:sz w:val="24"/>
                <w:szCs w:val="24"/>
              </w:rPr>
              <w:t>符合第二章“投标人须知”第 1.3.3 项规定</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技术性能指标</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r>
              <w:rPr>
                <w:rFonts w:hint="eastAsia" w:ascii="宋体" w:hAnsi="宋体" w:cs="宋体"/>
                <w:kern w:val="0"/>
                <w:sz w:val="24"/>
                <w:szCs w:val="24"/>
              </w:rPr>
              <w:t>符合第二章“投标人须知”第 1.3.4 项规定</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投标有效期</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r>
              <w:rPr>
                <w:rFonts w:hint="eastAsia" w:ascii="宋体" w:hAnsi="宋体" w:cs="宋体"/>
                <w:kern w:val="0"/>
                <w:sz w:val="24"/>
                <w:szCs w:val="24"/>
              </w:rPr>
              <w:t>符合第二章“投标人须知”第 3.3.1 项规定</w:t>
            </w:r>
          </w:p>
        </w:tc>
      </w:tr>
      <w:tr>
        <w:tblPrEx>
          <w:tblCellMar>
            <w:top w:w="0" w:type="dxa"/>
            <w:left w:w="0" w:type="dxa"/>
            <w:bottom w:w="0" w:type="dxa"/>
            <w:right w:w="0" w:type="dxa"/>
          </w:tblCellMar>
        </w:tblPrEx>
        <w:trPr>
          <w:trHeight w:val="567"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投标保证金</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r>
              <w:rPr>
                <w:rFonts w:hint="eastAsia" w:ascii="宋体" w:hAnsi="宋体" w:cs="宋体"/>
                <w:kern w:val="0"/>
                <w:sz w:val="24"/>
                <w:szCs w:val="24"/>
              </w:rPr>
              <w:t>符合第二章“投标人须知”第 3.4.1 项规定</w:t>
            </w:r>
          </w:p>
        </w:tc>
      </w:tr>
      <w:tr>
        <w:tblPrEx>
          <w:tblCellMar>
            <w:top w:w="0" w:type="dxa"/>
            <w:left w:w="0" w:type="dxa"/>
            <w:bottom w:w="0" w:type="dxa"/>
            <w:right w:w="0" w:type="dxa"/>
          </w:tblCellMar>
        </w:tblPrEx>
        <w:trPr>
          <w:trHeight w:val="823"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权利义务</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57"/>
              <w:rPr>
                <w:rFonts w:hint="eastAsia" w:ascii="宋体" w:hAnsi="宋体" w:cs="宋体"/>
                <w:kern w:val="0"/>
                <w:sz w:val="24"/>
                <w:szCs w:val="24"/>
              </w:rPr>
            </w:pPr>
            <w:r>
              <w:rPr>
                <w:rFonts w:hint="eastAsia" w:ascii="宋体" w:hAnsi="宋体" w:cs="宋体"/>
                <w:kern w:val="0"/>
                <w:sz w:val="24"/>
                <w:szCs w:val="24"/>
              </w:rPr>
              <w:t>符合第二章“投标人须知”第 1.11.1 项规定</w:t>
            </w:r>
          </w:p>
        </w:tc>
      </w:tr>
      <w:tr>
        <w:tblPrEx>
          <w:tblCellMar>
            <w:top w:w="0" w:type="dxa"/>
            <w:left w:w="0" w:type="dxa"/>
            <w:bottom w:w="0" w:type="dxa"/>
            <w:right w:w="0" w:type="dxa"/>
          </w:tblCellMar>
        </w:tblPrEx>
        <w:trPr>
          <w:trHeight w:val="927" w:hRule="exact"/>
        </w:trPr>
        <w:tc>
          <w:tcPr>
            <w:tcW w:w="741" w:type="dxa"/>
            <w:gridSpan w:val="2"/>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83"/>
              <w:ind w:left="102" w:right="-20"/>
              <w:rPr>
                <w:rFonts w:hint="eastAsia" w:ascii="宋体" w:hAnsi="宋体" w:cs="宋体"/>
                <w:kern w:val="0"/>
                <w:sz w:val="24"/>
                <w:szCs w:val="24"/>
              </w:rPr>
            </w:pPr>
          </w:p>
        </w:tc>
        <w:tc>
          <w:tcPr>
            <w:tcW w:w="992"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83"/>
              <w:ind w:left="102" w:right="-2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right="107"/>
              <w:jc w:val="center"/>
              <w:rPr>
                <w:rFonts w:hint="eastAsia" w:ascii="宋体" w:hAnsi="宋体" w:cs="宋体"/>
                <w:kern w:val="0"/>
                <w:sz w:val="24"/>
                <w:szCs w:val="24"/>
              </w:rPr>
            </w:pPr>
            <w:r>
              <w:rPr>
                <w:rFonts w:hint="eastAsia" w:ascii="宋体" w:hAnsi="宋体" w:cs="宋体"/>
                <w:kern w:val="0"/>
                <w:sz w:val="24"/>
                <w:szCs w:val="24"/>
              </w:rPr>
              <w:t>技术服务</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360" w:lineRule="auto"/>
              <w:ind w:left="102" w:right="-20"/>
              <w:rPr>
                <w:rFonts w:hint="eastAsia" w:ascii="宋体" w:hAnsi="宋体" w:cs="宋体"/>
                <w:kern w:val="0"/>
                <w:sz w:val="24"/>
                <w:szCs w:val="24"/>
              </w:rPr>
            </w:pPr>
            <w:r>
              <w:rPr>
                <w:rFonts w:hint="eastAsia" w:ascii="宋体" w:hAnsi="宋体" w:cs="宋体"/>
                <w:kern w:val="0"/>
                <w:sz w:val="24"/>
                <w:szCs w:val="24"/>
              </w:rPr>
              <w:t>符合第五章“供货要求、任务书或买方要求”中的实质性要求和条件</w:t>
            </w:r>
          </w:p>
        </w:tc>
      </w:tr>
      <w:tr>
        <w:tblPrEx>
          <w:tblCellMar>
            <w:top w:w="0" w:type="dxa"/>
            <w:left w:w="0" w:type="dxa"/>
            <w:bottom w:w="0" w:type="dxa"/>
            <w:right w:w="0" w:type="dxa"/>
          </w:tblCellMar>
        </w:tblPrEx>
        <w:trPr>
          <w:trHeight w:val="567" w:hRule="exact"/>
        </w:trPr>
        <w:tc>
          <w:tcPr>
            <w:tcW w:w="1733"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102" w:right="-20"/>
              <w:jc w:val="center"/>
              <w:rPr>
                <w:rFonts w:hint="eastAsia" w:ascii="宋体" w:hAnsi="宋体" w:cs="宋体"/>
                <w:kern w:val="0"/>
                <w:sz w:val="24"/>
                <w:szCs w:val="24"/>
              </w:rPr>
            </w:pPr>
            <w:r>
              <w:rPr>
                <w:rFonts w:hint="eastAsia" w:ascii="宋体" w:hAnsi="宋体" w:cs="宋体"/>
                <w:kern w:val="0"/>
                <w:sz w:val="24"/>
                <w:szCs w:val="24"/>
              </w:rPr>
              <w:t>条款号</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jc w:val="center"/>
              <w:rPr>
                <w:rFonts w:hint="eastAsia" w:ascii="宋体" w:hAnsi="宋体" w:cs="宋体"/>
                <w:kern w:val="0"/>
                <w:sz w:val="24"/>
                <w:szCs w:val="24"/>
              </w:rPr>
            </w:pPr>
            <w:r>
              <w:rPr>
                <w:rFonts w:hint="eastAsia" w:ascii="宋体" w:hAnsi="宋体" w:cs="宋体"/>
                <w:kern w:val="0"/>
                <w:sz w:val="24"/>
                <w:szCs w:val="24"/>
              </w:rPr>
              <w:t>条款内容</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jc w:val="center"/>
              <w:rPr>
                <w:rFonts w:hint="eastAsia" w:ascii="宋体" w:hAnsi="宋体" w:cs="宋体"/>
                <w:kern w:val="0"/>
                <w:sz w:val="24"/>
                <w:szCs w:val="24"/>
              </w:rPr>
            </w:pPr>
            <w:r>
              <w:rPr>
                <w:rFonts w:hint="eastAsia" w:ascii="宋体" w:hAnsi="宋体" w:cs="宋体"/>
                <w:kern w:val="0"/>
                <w:sz w:val="24"/>
                <w:szCs w:val="24"/>
              </w:rPr>
              <w:t>编列内容</w:t>
            </w:r>
          </w:p>
        </w:tc>
      </w:tr>
      <w:tr>
        <w:tblPrEx>
          <w:tblCellMar>
            <w:top w:w="0" w:type="dxa"/>
            <w:left w:w="0" w:type="dxa"/>
            <w:bottom w:w="0" w:type="dxa"/>
            <w:right w:w="0" w:type="dxa"/>
          </w:tblCellMar>
        </w:tblPrEx>
        <w:trPr>
          <w:trHeight w:val="1274" w:hRule="exact"/>
        </w:trPr>
        <w:tc>
          <w:tcPr>
            <w:tcW w:w="1733" w:type="dxa"/>
            <w:gridSpan w:val="3"/>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2.2.1</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分值构成(总分100 分)</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left="63" w:leftChars="30"/>
              <w:rPr>
                <w:rFonts w:hint="eastAsia"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u w:val="single"/>
              </w:rPr>
              <w:t xml:space="preserve"> 25 </w:t>
            </w:r>
            <w:r>
              <w:rPr>
                <w:rFonts w:hint="eastAsia" w:ascii="宋体" w:hAnsi="宋体" w:cs="宋体"/>
                <w:kern w:val="0"/>
                <w:sz w:val="24"/>
                <w:szCs w:val="24"/>
              </w:rPr>
              <w:t xml:space="preserve"> 分 </w:t>
            </w:r>
          </w:p>
          <w:p>
            <w:pPr>
              <w:autoSpaceDE w:val="0"/>
              <w:autoSpaceDN w:val="0"/>
              <w:adjustRightInd w:val="0"/>
              <w:snapToGrid w:val="0"/>
              <w:spacing w:line="360" w:lineRule="auto"/>
              <w:ind w:left="63" w:leftChars="30"/>
              <w:rPr>
                <w:rFonts w:hint="eastAsia" w:ascii="宋体" w:hAnsi="宋体" w:cs="宋体"/>
                <w:kern w:val="0"/>
                <w:sz w:val="24"/>
                <w:szCs w:val="24"/>
              </w:rPr>
            </w:pPr>
            <w:r>
              <w:rPr>
                <w:rFonts w:hint="eastAsia" w:ascii="宋体" w:hAnsi="宋体" w:cs="宋体"/>
                <w:kern w:val="0"/>
                <w:sz w:val="24"/>
                <w:szCs w:val="24"/>
              </w:rPr>
              <w:t>技术部分：</w:t>
            </w:r>
            <w:r>
              <w:rPr>
                <w:rFonts w:hint="eastAsia" w:ascii="宋体" w:hAnsi="宋体" w:cs="宋体"/>
                <w:kern w:val="0"/>
                <w:sz w:val="24"/>
                <w:szCs w:val="24"/>
                <w:u w:val="single"/>
              </w:rPr>
              <w:t xml:space="preserve"> 25 </w:t>
            </w:r>
            <w:r>
              <w:rPr>
                <w:rFonts w:hint="eastAsia" w:ascii="宋体" w:hAnsi="宋体" w:cs="宋体"/>
                <w:kern w:val="0"/>
                <w:sz w:val="24"/>
                <w:szCs w:val="24"/>
              </w:rPr>
              <w:t xml:space="preserve"> 分 </w:t>
            </w:r>
          </w:p>
          <w:p>
            <w:pPr>
              <w:autoSpaceDE w:val="0"/>
              <w:autoSpaceDN w:val="0"/>
              <w:adjustRightInd w:val="0"/>
              <w:snapToGrid w:val="0"/>
              <w:spacing w:line="360" w:lineRule="auto"/>
              <w:ind w:left="63" w:leftChars="30"/>
              <w:rPr>
                <w:rFonts w:hint="eastAsia" w:ascii="宋体" w:hAnsi="宋体" w:cs="宋体"/>
                <w:kern w:val="0"/>
                <w:sz w:val="24"/>
                <w:szCs w:val="24"/>
              </w:rPr>
            </w:pPr>
            <w:r>
              <w:rPr>
                <w:rFonts w:hint="eastAsia" w:ascii="宋体" w:hAnsi="宋体" w:cs="宋体"/>
                <w:kern w:val="0"/>
                <w:sz w:val="24"/>
                <w:szCs w:val="24"/>
              </w:rPr>
              <w:t>投标报价：</w:t>
            </w:r>
            <w:r>
              <w:rPr>
                <w:rFonts w:hint="eastAsia" w:ascii="宋体" w:hAnsi="宋体" w:cs="宋体"/>
                <w:kern w:val="0"/>
                <w:sz w:val="24"/>
                <w:szCs w:val="24"/>
                <w:u w:val="single"/>
              </w:rPr>
              <w:t xml:space="preserve"> 50 </w:t>
            </w:r>
            <w:r>
              <w:rPr>
                <w:rFonts w:hint="eastAsia" w:ascii="宋体" w:hAnsi="宋体" w:cs="宋体"/>
                <w:kern w:val="0"/>
                <w:sz w:val="24"/>
                <w:szCs w:val="24"/>
              </w:rPr>
              <w:t xml:space="preserve"> 分</w:t>
            </w:r>
          </w:p>
        </w:tc>
      </w:tr>
      <w:tr>
        <w:tblPrEx>
          <w:tblCellMar>
            <w:top w:w="0" w:type="dxa"/>
            <w:left w:w="0" w:type="dxa"/>
            <w:bottom w:w="0" w:type="dxa"/>
            <w:right w:w="0" w:type="dxa"/>
          </w:tblCellMar>
        </w:tblPrEx>
        <w:trPr>
          <w:trHeight w:val="8019" w:hRule="exact"/>
        </w:trPr>
        <w:tc>
          <w:tcPr>
            <w:tcW w:w="1733"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2.2.2</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评标基准价计算方法</w:t>
            </w:r>
          </w:p>
        </w:tc>
        <w:tc>
          <w:tcPr>
            <w:tcW w:w="56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63" w:leftChars="30" w:right="42" w:rightChars="20"/>
              <w:rPr>
                <w:rFonts w:ascii="宋体" w:hAnsi="宋体" w:cs="宋体"/>
                <w:sz w:val="24"/>
                <w:szCs w:val="24"/>
              </w:rPr>
            </w:pPr>
            <w:r>
              <w:rPr>
                <w:rFonts w:hint="eastAsia" w:ascii="宋体" w:hAnsi="宋体" w:cs="宋体"/>
                <w:sz w:val="24"/>
                <w:szCs w:val="24"/>
              </w:rPr>
              <w:t>采用投标人[T，0.8T]范围内的报价算术平均值确定</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评标基准价：</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（1）当n≥10时；</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评标基准价为投标人在[T，0.8T]范围内报价中去掉两个最高报价和两个最低报价后余下的投标报价的算术平均值。</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（2）当10＞n＞6时；</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评标基准价为投标人在[T，0.8T]范围内报价中去掉一个最高报价和一个最低报价后余下的投标报价的算术平均值。</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（3）当n=6时；</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评标基准价为投标人在[T，0.8T]范围内去掉一个最低报价后余下的投标报价的算术平均值。</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（4）当n≤5时；</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评标基准价为投标人在[T，0.8T]范围内报价的算术平均值。</w:t>
            </w:r>
          </w:p>
          <w:p>
            <w:pPr>
              <w:adjustRightInd w:val="0"/>
              <w:snapToGrid w:val="0"/>
              <w:ind w:left="63" w:leftChars="30" w:right="42" w:rightChars="20"/>
              <w:rPr>
                <w:rFonts w:hint="eastAsia" w:ascii="宋体" w:hAnsi="宋体" w:cs="宋体"/>
                <w:sz w:val="24"/>
                <w:szCs w:val="24"/>
              </w:rPr>
            </w:pPr>
            <w:r>
              <w:rPr>
                <w:rFonts w:hint="eastAsia" w:ascii="宋体" w:hAnsi="宋体" w:cs="宋体"/>
                <w:sz w:val="24"/>
                <w:szCs w:val="24"/>
              </w:rPr>
              <w:t>n为投标报价在[T，0.8T]范围内报价的投标人个数。</w:t>
            </w:r>
          </w:p>
          <w:p>
            <w:pPr>
              <w:pStyle w:val="5"/>
              <w:rPr>
                <w:rFonts w:hint="eastAsia"/>
                <w:sz w:val="4"/>
                <w:szCs w:val="6"/>
              </w:rPr>
            </w:pPr>
          </w:p>
          <w:p>
            <w:pPr>
              <w:adjustRightInd w:val="0"/>
              <w:snapToGrid w:val="0"/>
              <w:ind w:right="42" w:rightChars="20"/>
              <w:rPr>
                <w:rFonts w:hint="eastAsia" w:ascii="黑体" w:hAnsi="黑体" w:eastAsia="黑体" w:cs="黑体"/>
                <w:szCs w:val="21"/>
              </w:rPr>
            </w:pPr>
            <w:r>
              <w:rPr>
                <w:rFonts w:hint="eastAsia" w:ascii="黑体" w:hAnsi="黑体" w:eastAsia="黑体" w:cs="黑体"/>
                <w:szCs w:val="21"/>
              </w:rPr>
              <w:t>备注：</w:t>
            </w:r>
          </w:p>
          <w:p>
            <w:pPr>
              <w:numPr>
                <w:ilvl w:val="0"/>
                <w:numId w:val="1"/>
              </w:numPr>
              <w:adjustRightInd w:val="0"/>
              <w:snapToGrid w:val="0"/>
              <w:ind w:left="63" w:leftChars="30" w:right="42" w:rightChars="20"/>
              <w:rPr>
                <w:rFonts w:hint="eastAsia" w:ascii="黑体" w:hAnsi="黑体" w:eastAsia="黑体" w:cs="黑体"/>
                <w:szCs w:val="21"/>
              </w:rPr>
            </w:pPr>
            <w:r>
              <w:rPr>
                <w:rFonts w:hint="eastAsia" w:ascii="黑体" w:hAnsi="黑体" w:eastAsia="黑体" w:cs="黑体"/>
                <w:szCs w:val="21"/>
              </w:rPr>
              <w:t>评标基准价在开标现场当场计算。在评标过程中，评标委员会应对招标人计算的评标基准价进行复核，存在计算错误的应予以修正并在评标报告中作出说明。除此之外，评标基准价在整个评标期间及评标结束后均保持不变，不随任何因素发生变化。</w:t>
            </w:r>
          </w:p>
          <w:p>
            <w:pPr>
              <w:numPr>
                <w:ilvl w:val="0"/>
                <w:numId w:val="1"/>
              </w:numPr>
              <w:adjustRightInd w:val="0"/>
              <w:snapToGrid w:val="0"/>
              <w:ind w:left="63" w:leftChars="30" w:right="42" w:rightChars="20"/>
              <w:rPr>
                <w:rFonts w:hint="eastAsia" w:ascii="宋体" w:hAnsi="宋体" w:cs="宋体"/>
                <w:kern w:val="0"/>
                <w:sz w:val="24"/>
                <w:szCs w:val="24"/>
              </w:rPr>
            </w:pPr>
            <w:r>
              <w:rPr>
                <w:rFonts w:hint="eastAsia" w:ascii="黑体" w:hAnsi="黑体" w:eastAsia="黑体" w:cs="黑体"/>
                <w:szCs w:val="21"/>
              </w:rPr>
              <w:t>若投标人的投标报价超过最高控制价T则该投标文件按无效标处理。</w:t>
            </w:r>
          </w:p>
        </w:tc>
      </w:tr>
      <w:tr>
        <w:tblPrEx>
          <w:tblCellMar>
            <w:top w:w="0" w:type="dxa"/>
            <w:left w:w="0" w:type="dxa"/>
            <w:bottom w:w="0" w:type="dxa"/>
            <w:right w:w="0" w:type="dxa"/>
          </w:tblCellMar>
        </w:tblPrEx>
        <w:trPr>
          <w:trHeight w:val="800" w:hRule="exact"/>
        </w:trPr>
        <w:tc>
          <w:tcPr>
            <w:tcW w:w="1733"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2.2.3</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hint="eastAsia" w:ascii="宋体" w:hAnsi="宋体" w:cs="宋体"/>
                <w:kern w:val="0"/>
                <w:sz w:val="24"/>
                <w:szCs w:val="24"/>
              </w:rPr>
            </w:pPr>
            <w:r>
              <w:rPr>
                <w:rFonts w:hint="eastAsia" w:ascii="宋体" w:hAnsi="宋体" w:cs="宋体"/>
                <w:kern w:val="0"/>
                <w:sz w:val="24"/>
                <w:szCs w:val="24"/>
              </w:rPr>
              <w:t>投标报价的偏差率计算公式</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84" w:leftChars="40" w:right="113"/>
              <w:rPr>
                <w:rFonts w:hint="eastAsia" w:ascii="宋体" w:hAnsi="宋体" w:cs="宋体"/>
                <w:kern w:val="0"/>
                <w:sz w:val="24"/>
                <w:szCs w:val="24"/>
              </w:rPr>
            </w:pPr>
            <w:r>
              <w:rPr>
                <w:rFonts w:hint="eastAsia" w:ascii="宋体" w:hAnsi="宋体" w:cs="宋体"/>
                <w:sz w:val="24"/>
                <w:szCs w:val="24"/>
              </w:rPr>
              <w:t>偏差率=100%×（投标人评标价-评标基准价）/评标基准价</w:t>
            </w:r>
          </w:p>
        </w:tc>
      </w:tr>
      <w:tr>
        <w:tblPrEx>
          <w:tblCellMar>
            <w:top w:w="0" w:type="dxa"/>
            <w:left w:w="0" w:type="dxa"/>
            <w:bottom w:w="0" w:type="dxa"/>
            <w:right w:w="0" w:type="dxa"/>
          </w:tblCellMar>
        </w:tblPrEx>
        <w:trPr>
          <w:trHeight w:val="3586" w:hRule="exact"/>
        </w:trPr>
        <w:tc>
          <w:tcPr>
            <w:tcW w:w="5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hint="eastAsia" w:ascii="宋体" w:hAnsi="宋体" w:cs="宋体"/>
                <w:kern w:val="0"/>
                <w:sz w:val="24"/>
                <w:szCs w:val="24"/>
              </w:rPr>
            </w:pP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cs="宋体"/>
                <w:kern w:val="0"/>
                <w:sz w:val="24"/>
                <w:szCs w:val="24"/>
              </w:rPr>
            </w:pPr>
          </w:p>
        </w:tc>
        <w:tc>
          <w:tcPr>
            <w:tcW w:w="233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7"/>
              <w:ind w:left="63" w:leftChars="30" w:right="-20"/>
              <w:jc w:val="center"/>
              <w:rPr>
                <w:rFonts w:hint="eastAsia" w:ascii="宋体" w:hAnsi="宋体" w:cs="宋体"/>
                <w:sz w:val="24"/>
                <w:szCs w:val="24"/>
              </w:rPr>
            </w:pPr>
            <w:r>
              <w:rPr>
                <w:rFonts w:hint="eastAsia" w:ascii="宋体" w:hAnsi="宋体" w:cs="宋体"/>
                <w:sz w:val="24"/>
                <w:szCs w:val="24"/>
              </w:rPr>
              <w:t>投标人专业技术服务能力</w:t>
            </w:r>
          </w:p>
          <w:p>
            <w:pPr>
              <w:autoSpaceDE w:val="0"/>
              <w:autoSpaceDN w:val="0"/>
              <w:adjustRightInd w:val="0"/>
              <w:spacing w:before="7"/>
              <w:ind w:left="63" w:leftChars="30" w:right="-20"/>
              <w:jc w:val="center"/>
              <w:rPr>
                <w:rFonts w:hint="eastAsia" w:ascii="宋体" w:hAnsi="宋体" w:cs="宋体"/>
                <w:sz w:val="24"/>
                <w:szCs w:val="24"/>
              </w:rPr>
            </w:pPr>
            <w:r>
              <w:rPr>
                <w:rFonts w:hint="eastAsia" w:ascii="宋体" w:hAnsi="宋体" w:cs="宋体"/>
                <w:sz w:val="24"/>
                <w:szCs w:val="24"/>
              </w:rPr>
              <w:t>（满分6分）</w:t>
            </w:r>
          </w:p>
        </w:tc>
        <w:tc>
          <w:tcPr>
            <w:tcW w:w="5603"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240" w:lineRule="auto"/>
              <w:ind w:left="84" w:leftChars="40" w:right="113"/>
              <w:rPr>
                <w:rFonts w:hint="eastAsia" w:ascii="宋体" w:hAnsi="宋体" w:cs="宋体"/>
                <w:bCs w:val="0"/>
                <w:sz w:val="24"/>
                <w:szCs w:val="24"/>
              </w:rPr>
            </w:pPr>
            <w:bookmarkStart w:id="1" w:name="_Toc6628"/>
            <w:r>
              <w:rPr>
                <w:rFonts w:hint="eastAsia" w:ascii="宋体" w:hAnsi="宋体" w:cs="宋体"/>
                <w:bCs w:val="0"/>
                <w:sz w:val="24"/>
                <w:szCs w:val="24"/>
              </w:rPr>
              <w:t>具有软件开发成熟度CMMI4级及以上认证证书得2分；</w:t>
            </w:r>
            <w:bookmarkEnd w:id="1"/>
          </w:p>
          <w:p>
            <w:pPr>
              <w:pStyle w:val="4"/>
              <w:spacing w:before="0" w:after="0" w:line="240" w:lineRule="auto"/>
              <w:ind w:left="84" w:leftChars="40" w:right="113"/>
              <w:rPr>
                <w:rFonts w:hint="eastAsia" w:ascii="宋体" w:hAnsi="宋体" w:cs="宋体"/>
                <w:bCs w:val="0"/>
                <w:sz w:val="24"/>
                <w:szCs w:val="24"/>
              </w:rPr>
            </w:pPr>
            <w:bookmarkStart w:id="2" w:name="_Toc24715"/>
            <w:r>
              <w:rPr>
                <w:rFonts w:hint="eastAsia" w:ascii="宋体" w:hAnsi="宋体" w:cs="宋体"/>
                <w:bCs w:val="0"/>
                <w:sz w:val="24"/>
                <w:szCs w:val="24"/>
              </w:rPr>
              <w:t>具有信息系统建设和服务能力评估CS4级及以上等级证书得2分；</w:t>
            </w:r>
            <w:bookmarkEnd w:id="2"/>
          </w:p>
          <w:p>
            <w:pPr>
              <w:pStyle w:val="4"/>
              <w:spacing w:before="0" w:after="0" w:line="240" w:lineRule="auto"/>
              <w:ind w:left="84" w:leftChars="40" w:right="113"/>
              <w:rPr>
                <w:rFonts w:hint="eastAsia" w:ascii="宋体" w:hAnsi="宋体" w:cs="宋体"/>
                <w:bCs w:val="0"/>
                <w:sz w:val="24"/>
                <w:szCs w:val="24"/>
              </w:rPr>
            </w:pPr>
            <w:bookmarkStart w:id="3" w:name="_Toc22402"/>
            <w:r>
              <w:rPr>
                <w:rFonts w:hint="eastAsia" w:ascii="宋体" w:hAnsi="宋体" w:cs="宋体"/>
                <w:bCs w:val="0"/>
                <w:sz w:val="24"/>
                <w:szCs w:val="24"/>
              </w:rPr>
              <w:t>具有公安部信息安全等级保护测评机构资质认定证书得2分；</w:t>
            </w:r>
            <w:bookmarkEnd w:id="3"/>
          </w:p>
          <w:p>
            <w:pPr>
              <w:autoSpaceDE w:val="0"/>
              <w:autoSpaceDN w:val="0"/>
              <w:adjustRightInd w:val="0"/>
              <w:ind w:left="84" w:leftChars="40" w:right="113"/>
              <w:rPr>
                <w:rFonts w:hint="eastAsia" w:ascii="宋体" w:hAnsi="宋体" w:cs="宋体"/>
                <w:sz w:val="24"/>
                <w:szCs w:val="24"/>
              </w:rPr>
            </w:pPr>
            <w:r>
              <w:rPr>
                <w:rFonts w:hint="eastAsia" w:ascii="宋体" w:hAnsi="宋体" w:cs="宋体"/>
                <w:sz w:val="24"/>
                <w:szCs w:val="24"/>
              </w:rPr>
              <w:t>注：</w:t>
            </w:r>
          </w:p>
          <w:p>
            <w:pPr>
              <w:autoSpaceDE w:val="0"/>
              <w:autoSpaceDN w:val="0"/>
              <w:adjustRightInd w:val="0"/>
              <w:spacing w:before="7"/>
              <w:ind w:left="84" w:leftChars="40" w:right="113" w:firstLine="240" w:firstLineChars="100"/>
              <w:rPr>
                <w:rFonts w:hint="eastAsia" w:ascii="宋体" w:hAnsi="宋体" w:cs="宋体"/>
                <w:sz w:val="24"/>
                <w:szCs w:val="24"/>
              </w:rPr>
            </w:pPr>
            <w:r>
              <w:rPr>
                <w:rFonts w:ascii="宋体" w:hAnsi="宋体" w:cs="宋体"/>
                <w:sz w:val="24"/>
                <w:szCs w:val="24"/>
              </w:rPr>
              <w:t>999</w:t>
            </w:r>
            <w:r>
              <w:rPr>
                <w:rFonts w:hint="eastAsia" w:ascii="宋体" w:hAnsi="宋体" w:cs="宋体"/>
                <w:sz w:val="24"/>
                <w:szCs w:val="24"/>
              </w:rPr>
              <w:t>1、提供证书复印件或扫描件并加盖投标人公章，证书需在有效期内。</w:t>
            </w:r>
          </w:p>
          <w:p>
            <w:pPr>
              <w:pStyle w:val="5"/>
              <w:ind w:left="84" w:leftChars="40" w:right="113"/>
              <w:rPr>
                <w:rFonts w:ascii="宋体" w:hAnsi="宋体" w:cs="宋体"/>
                <w:sz w:val="24"/>
                <w:szCs w:val="24"/>
              </w:rPr>
            </w:pPr>
            <w:r>
              <w:rPr>
                <w:rFonts w:hint="eastAsia" w:ascii="宋体" w:hAnsi="宋体" w:cs="宋体"/>
                <w:sz w:val="24"/>
                <w:szCs w:val="24"/>
              </w:rPr>
              <w:t xml:space="preserve">  2、软件开发成熟度及信息系统建设和服务能力评估等级数字越高等级越高。</w:t>
            </w:r>
          </w:p>
        </w:tc>
      </w:tr>
      <w:tr>
        <w:tblPrEx>
          <w:tblCellMar>
            <w:top w:w="0" w:type="dxa"/>
            <w:left w:w="0" w:type="dxa"/>
            <w:bottom w:w="0" w:type="dxa"/>
            <w:right w:w="0" w:type="dxa"/>
          </w:tblCellMar>
        </w:tblPrEx>
        <w:trPr>
          <w:trHeight w:val="1885" w:hRule="exac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hint="eastAsia" w:ascii="宋体" w:hAnsi="宋体" w:cs="宋体"/>
                <w:kern w:val="0"/>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cs="宋体"/>
                <w:kern w:val="0"/>
                <w:sz w:val="24"/>
                <w:szCs w:val="24"/>
              </w:rPr>
            </w:pPr>
          </w:p>
        </w:tc>
        <w:tc>
          <w:tcPr>
            <w:tcW w:w="233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kern w:val="0"/>
                <w:sz w:val="24"/>
                <w:szCs w:val="24"/>
              </w:rPr>
            </w:pPr>
            <w:r>
              <w:rPr>
                <w:rFonts w:hint="eastAsia" w:ascii="宋体" w:hAnsi="宋体" w:cs="宋体"/>
                <w:kern w:val="0"/>
                <w:sz w:val="24"/>
                <w:szCs w:val="24"/>
              </w:rPr>
              <w:t>企业信誉</w:t>
            </w:r>
          </w:p>
          <w:p>
            <w:pPr>
              <w:jc w:val="center"/>
              <w:rPr>
                <w:rFonts w:hint="eastAsia" w:ascii="宋体" w:hAnsi="宋体" w:cs="宋体"/>
                <w:kern w:val="0"/>
                <w:sz w:val="24"/>
                <w:szCs w:val="24"/>
              </w:rPr>
            </w:pPr>
            <w:r>
              <w:rPr>
                <w:rFonts w:hint="eastAsia" w:ascii="宋体" w:hAnsi="宋体" w:cs="宋体"/>
                <w:kern w:val="0"/>
                <w:sz w:val="24"/>
                <w:szCs w:val="24"/>
              </w:rPr>
              <w:t>（满分2分）</w:t>
            </w:r>
          </w:p>
        </w:tc>
        <w:tc>
          <w:tcPr>
            <w:tcW w:w="5603"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ind w:left="84" w:leftChars="40" w:right="113"/>
              <w:rPr>
                <w:rFonts w:hint="eastAsia" w:hAnsi="宋体" w:cs="宋体"/>
                <w:kern w:val="0"/>
                <w:sz w:val="24"/>
                <w:szCs w:val="24"/>
              </w:rPr>
            </w:pPr>
            <w:r>
              <w:rPr>
                <w:rFonts w:hint="eastAsia" w:ascii="宋体" w:hAnsi="宋体" w:cs="宋体"/>
                <w:sz w:val="24"/>
                <w:szCs w:val="24"/>
              </w:rPr>
              <w:t>交通系统信用评价为AA级得2分；A级得1分；B级得0分；C级得-1分。或者：水利建设市场主体信用评价供货类（信息化）AAA级信用等级证书得2分，AA级信用等级证书得1分。</w:t>
            </w:r>
            <w:r>
              <w:rPr>
                <w:rFonts w:hint="eastAsia" w:ascii="宋体" w:hAnsi="宋体" w:cs="宋体"/>
                <w:sz w:val="24"/>
                <w:szCs w:val="24"/>
              </w:rPr>
              <w:br w:type="textWrapping"/>
            </w:r>
            <w:r>
              <w:rPr>
                <w:rFonts w:hint="eastAsia" w:ascii="宋体" w:hAnsi="宋体" w:cs="宋体"/>
                <w:sz w:val="24"/>
                <w:szCs w:val="24"/>
              </w:rPr>
              <w:t>（备注：二选一，只能采用一种系统的评价）</w:t>
            </w:r>
          </w:p>
        </w:tc>
      </w:tr>
      <w:tr>
        <w:tblPrEx>
          <w:tblCellMar>
            <w:top w:w="0" w:type="dxa"/>
            <w:left w:w="0" w:type="dxa"/>
            <w:bottom w:w="0" w:type="dxa"/>
            <w:right w:w="0" w:type="dxa"/>
          </w:tblCellMar>
        </w:tblPrEx>
        <w:trPr>
          <w:trHeight w:val="6720" w:hRule="exac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hint="eastAsia" w:ascii="宋体" w:hAnsi="宋体" w:cs="宋体"/>
                <w:kern w:val="0"/>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cs="宋体"/>
                <w:kern w:val="0"/>
                <w:sz w:val="24"/>
                <w:szCs w:val="24"/>
              </w:rPr>
            </w:pPr>
          </w:p>
        </w:tc>
        <w:tc>
          <w:tcPr>
            <w:tcW w:w="233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7"/>
              <w:ind w:left="63" w:leftChars="30" w:right="-20"/>
              <w:jc w:val="center"/>
              <w:rPr>
                <w:rFonts w:hint="eastAsia" w:ascii="宋体" w:hAnsi="宋体" w:cs="宋体"/>
                <w:sz w:val="24"/>
                <w:szCs w:val="24"/>
              </w:rPr>
            </w:pPr>
            <w:r>
              <w:rPr>
                <w:rFonts w:hint="eastAsia" w:ascii="宋体" w:hAnsi="宋体" w:cs="宋体"/>
                <w:sz w:val="24"/>
                <w:szCs w:val="24"/>
              </w:rPr>
              <w:t>项目主要负责人</w:t>
            </w:r>
          </w:p>
          <w:p>
            <w:pPr>
              <w:autoSpaceDE w:val="0"/>
              <w:autoSpaceDN w:val="0"/>
              <w:adjustRightInd w:val="0"/>
              <w:spacing w:before="7"/>
              <w:ind w:left="63" w:leftChars="30" w:right="-20"/>
              <w:jc w:val="center"/>
              <w:rPr>
                <w:rFonts w:hint="eastAsia" w:ascii="宋体" w:hAnsi="宋体" w:cs="宋体"/>
                <w:sz w:val="24"/>
                <w:szCs w:val="24"/>
              </w:rPr>
            </w:pPr>
            <w:r>
              <w:rPr>
                <w:rFonts w:hint="eastAsia" w:ascii="宋体" w:hAnsi="宋体" w:cs="宋体"/>
                <w:sz w:val="24"/>
                <w:szCs w:val="24"/>
              </w:rPr>
              <w:t>（满分5分）</w:t>
            </w:r>
          </w:p>
          <w:p>
            <w:pPr>
              <w:autoSpaceDE w:val="0"/>
              <w:autoSpaceDN w:val="0"/>
              <w:adjustRightInd w:val="0"/>
              <w:spacing w:before="7"/>
              <w:ind w:left="63" w:leftChars="30" w:right="-20"/>
              <w:jc w:val="left"/>
              <w:rPr>
                <w:rFonts w:hint="eastAsia" w:ascii="宋体" w:hAnsi="宋体" w:cs="宋体"/>
                <w:sz w:val="24"/>
                <w:szCs w:val="24"/>
              </w:rPr>
            </w:pPr>
          </w:p>
        </w:tc>
        <w:tc>
          <w:tcPr>
            <w:tcW w:w="5603" w:type="dxa"/>
            <w:tcBorders>
              <w:top w:val="single" w:color="000000" w:sz="4" w:space="0"/>
              <w:left w:val="single" w:color="000000" w:sz="4" w:space="0"/>
              <w:bottom w:val="single" w:color="000000" w:sz="4" w:space="0"/>
              <w:right w:val="single" w:color="000000" w:sz="4" w:space="0"/>
            </w:tcBorders>
            <w:vAlign w:val="center"/>
          </w:tcPr>
          <w:p>
            <w:pPr>
              <w:pStyle w:val="4"/>
              <w:spacing w:line="240" w:lineRule="auto"/>
              <w:ind w:left="84" w:leftChars="40" w:right="113"/>
              <w:rPr>
                <w:rFonts w:hint="eastAsia" w:ascii="宋体" w:hAnsi="宋体" w:cs="宋体"/>
                <w:b w:val="0"/>
                <w:bCs w:val="0"/>
                <w:sz w:val="24"/>
                <w:szCs w:val="24"/>
              </w:rPr>
            </w:pPr>
            <w:bookmarkStart w:id="4" w:name="_Toc26888"/>
            <w:r>
              <w:rPr>
                <w:rFonts w:hint="eastAsia" w:ascii="宋体" w:hAnsi="宋体" w:cs="宋体"/>
                <w:b w:val="0"/>
                <w:bCs w:val="0"/>
                <w:sz w:val="24"/>
                <w:szCs w:val="24"/>
              </w:rPr>
              <w:t>1、项目经理：近年（2010年1月1日至今）承担完成单项合同金额500万元及以上的航电枢纽或水电站集控系统类似建设项目，每提供一个得1分，最高得3分。</w:t>
            </w:r>
            <w:bookmarkEnd w:id="4"/>
          </w:p>
          <w:p>
            <w:pPr>
              <w:pStyle w:val="4"/>
              <w:spacing w:line="240" w:lineRule="auto"/>
              <w:ind w:left="84" w:leftChars="40" w:right="113"/>
              <w:rPr>
                <w:rFonts w:hint="eastAsia" w:ascii="宋体" w:hAnsi="宋体" w:cs="宋体"/>
                <w:b w:val="0"/>
                <w:bCs w:val="0"/>
                <w:sz w:val="24"/>
                <w:szCs w:val="24"/>
              </w:rPr>
            </w:pPr>
            <w:bookmarkStart w:id="5" w:name="_Toc2980"/>
            <w:r>
              <w:rPr>
                <w:rFonts w:hint="eastAsia" w:ascii="宋体" w:hAnsi="宋体" w:cs="宋体"/>
                <w:b w:val="0"/>
                <w:bCs w:val="0"/>
                <w:sz w:val="24"/>
                <w:szCs w:val="24"/>
              </w:rPr>
              <w:t>2、项目技术负责人：近年（2010年1月1日至今）承担完成单项合同金额500万元及以上的航电枢纽或水电站集控系统类似建设项目，每提供一个得1分，最高得2分。</w:t>
            </w:r>
            <w:bookmarkEnd w:id="5"/>
          </w:p>
          <w:p>
            <w:pPr>
              <w:autoSpaceDE w:val="0"/>
              <w:autoSpaceDN w:val="0"/>
              <w:adjustRightInd w:val="0"/>
              <w:spacing w:before="7"/>
              <w:ind w:left="84" w:leftChars="40" w:right="113"/>
              <w:rPr>
                <w:rFonts w:hint="eastAsia" w:ascii="宋体" w:hAnsi="宋体" w:cs="宋体"/>
                <w:sz w:val="24"/>
                <w:szCs w:val="24"/>
              </w:rPr>
            </w:pPr>
            <w:r>
              <w:rPr>
                <w:rFonts w:hint="eastAsia" w:ascii="宋体" w:hAnsi="宋体" w:cs="宋体"/>
                <w:sz w:val="24"/>
                <w:szCs w:val="24"/>
              </w:rPr>
              <w:t>注：</w:t>
            </w:r>
          </w:p>
          <w:p>
            <w:pPr>
              <w:autoSpaceDE w:val="0"/>
              <w:autoSpaceDN w:val="0"/>
              <w:adjustRightInd w:val="0"/>
              <w:spacing w:before="7"/>
              <w:ind w:left="84" w:leftChars="40" w:right="113"/>
              <w:rPr>
                <w:rFonts w:hint="eastAsia" w:ascii="宋体" w:hAnsi="宋体" w:cs="宋体"/>
                <w:sz w:val="24"/>
                <w:szCs w:val="24"/>
              </w:rPr>
            </w:pPr>
            <w:r>
              <w:rPr>
                <w:rFonts w:hint="eastAsia" w:ascii="宋体" w:hAnsi="宋体" w:cs="宋体"/>
                <w:sz w:val="24"/>
                <w:szCs w:val="24"/>
              </w:rPr>
              <w:t>（1）项目主要负责人所提供的业绩证明材料上须体现出项目经理、项目技术负责人的姓名和在本项目所担任职务。</w:t>
            </w:r>
          </w:p>
          <w:p>
            <w:pPr>
              <w:autoSpaceDE w:val="0"/>
              <w:autoSpaceDN w:val="0"/>
              <w:adjustRightInd w:val="0"/>
              <w:spacing w:before="7"/>
              <w:ind w:left="84" w:leftChars="40" w:right="113"/>
              <w:rPr>
                <w:rFonts w:hint="eastAsia" w:ascii="宋体" w:hAnsi="宋体" w:cs="宋体"/>
                <w:sz w:val="24"/>
                <w:szCs w:val="24"/>
              </w:rPr>
            </w:pPr>
            <w:r>
              <w:rPr>
                <w:rFonts w:hint="eastAsia" w:ascii="宋体" w:hAnsi="宋体" w:cs="宋体"/>
                <w:sz w:val="24"/>
                <w:szCs w:val="24"/>
              </w:rPr>
              <w:t>（2）每个业绩应附中标通知书或合同协议书和设备正常运行的用户证明（证明应与合同对应，提供业主联系方式供核实，并加盖公章）等证明材料复印件或扫描件，否则该业绩不予认可。</w:t>
            </w:r>
          </w:p>
          <w:p>
            <w:pPr>
              <w:autoSpaceDE w:val="0"/>
              <w:autoSpaceDN w:val="0"/>
              <w:adjustRightInd w:val="0"/>
              <w:spacing w:before="7"/>
              <w:ind w:left="84" w:leftChars="40" w:right="113"/>
              <w:rPr>
                <w:rFonts w:ascii="宋体" w:hAnsi="宋体" w:cs="宋体"/>
                <w:sz w:val="24"/>
                <w:szCs w:val="24"/>
              </w:rPr>
            </w:pPr>
            <w:r>
              <w:rPr>
                <w:rFonts w:hint="eastAsia" w:ascii="宋体" w:hAnsi="宋体" w:cs="宋体"/>
                <w:sz w:val="24"/>
                <w:szCs w:val="24"/>
              </w:rPr>
              <w:t>（3）若一个合同中包含两个及以上的类似项目业绩只能按一个业绩记分。</w:t>
            </w:r>
          </w:p>
          <w:p>
            <w:pPr>
              <w:pStyle w:val="4"/>
              <w:spacing w:line="240" w:lineRule="auto"/>
              <w:ind w:left="84" w:leftChars="40" w:right="113"/>
              <w:rPr>
                <w:rFonts w:hint="eastAsia" w:ascii="宋体" w:hAnsi="宋体" w:cs="宋体"/>
                <w:b w:val="0"/>
                <w:bCs w:val="0"/>
                <w:sz w:val="24"/>
                <w:szCs w:val="24"/>
              </w:rPr>
            </w:pPr>
            <w:bookmarkStart w:id="6" w:name="_Toc12024"/>
            <w:r>
              <w:rPr>
                <w:rFonts w:hint="eastAsia" w:ascii="宋体" w:hAnsi="宋体" w:cs="宋体"/>
                <w:b w:val="0"/>
                <w:bCs w:val="0"/>
                <w:sz w:val="24"/>
                <w:szCs w:val="24"/>
              </w:rPr>
              <w:t>（4）项目经理和技术负责人不得为同一人，均需提供2021年任意连续3个月的社保证明材料的复印件。</w:t>
            </w:r>
            <w:bookmarkEnd w:id="6"/>
          </w:p>
        </w:tc>
      </w:tr>
      <w:tr>
        <w:tblPrEx>
          <w:tblCellMar>
            <w:top w:w="0" w:type="dxa"/>
            <w:left w:w="0" w:type="dxa"/>
            <w:bottom w:w="0" w:type="dxa"/>
            <w:right w:w="0" w:type="dxa"/>
          </w:tblCellMar>
        </w:tblPrEx>
        <w:trPr>
          <w:trHeight w:val="3537" w:hRule="exac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34" w:right="-20"/>
              <w:jc w:val="center"/>
              <w:rPr>
                <w:rFonts w:hint="eastAsia" w:ascii="宋体" w:hAnsi="宋体" w:cs="宋体"/>
                <w:kern w:val="0"/>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cs="宋体"/>
                <w:kern w:val="0"/>
                <w:sz w:val="24"/>
                <w:szCs w:val="24"/>
              </w:rPr>
            </w:pPr>
          </w:p>
        </w:tc>
        <w:tc>
          <w:tcPr>
            <w:tcW w:w="233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left="63" w:leftChars="30" w:right="-20"/>
              <w:jc w:val="center"/>
              <w:rPr>
                <w:rFonts w:hint="eastAsia" w:ascii="宋体" w:hAnsi="宋体" w:cs="宋体"/>
                <w:kern w:val="0"/>
                <w:sz w:val="24"/>
                <w:szCs w:val="24"/>
              </w:rPr>
            </w:pPr>
            <w:r>
              <w:rPr>
                <w:rFonts w:hint="eastAsia" w:ascii="宋体" w:hAnsi="宋体" w:cs="宋体"/>
                <w:kern w:val="0"/>
                <w:sz w:val="24"/>
                <w:szCs w:val="24"/>
              </w:rPr>
              <w:t>投标人业绩</w:t>
            </w:r>
          </w:p>
          <w:p>
            <w:pPr>
              <w:autoSpaceDE w:val="0"/>
              <w:autoSpaceDN w:val="0"/>
              <w:adjustRightInd w:val="0"/>
              <w:ind w:left="63" w:leftChars="30" w:right="-20"/>
              <w:jc w:val="center"/>
              <w:rPr>
                <w:rFonts w:hint="eastAsia" w:ascii="宋体" w:hAnsi="宋体" w:cs="宋体"/>
                <w:kern w:val="0"/>
                <w:sz w:val="24"/>
                <w:szCs w:val="24"/>
              </w:rPr>
            </w:pPr>
            <w:r>
              <w:rPr>
                <w:rFonts w:hint="eastAsia" w:ascii="宋体" w:hAnsi="宋体" w:cs="宋体"/>
                <w:kern w:val="0"/>
                <w:sz w:val="24"/>
                <w:szCs w:val="24"/>
              </w:rPr>
              <w:t>（12分）</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84" w:leftChars="40" w:right="113"/>
              <w:rPr>
                <w:rFonts w:hint="eastAsia" w:ascii="宋体" w:hAnsi="宋体" w:cs="宋体"/>
                <w:sz w:val="24"/>
                <w:szCs w:val="24"/>
              </w:rPr>
            </w:pPr>
            <w:r>
              <w:rPr>
                <w:rFonts w:hint="eastAsia" w:ascii="宋体" w:hAnsi="宋体" w:cs="宋体"/>
                <w:sz w:val="24"/>
                <w:szCs w:val="24"/>
              </w:rPr>
              <w:t>类似业绩：</w:t>
            </w:r>
          </w:p>
          <w:p>
            <w:pPr>
              <w:autoSpaceDE w:val="0"/>
              <w:autoSpaceDN w:val="0"/>
              <w:adjustRightInd w:val="0"/>
              <w:spacing w:before="7"/>
              <w:ind w:left="84" w:leftChars="40" w:right="113" w:firstLine="240" w:firstLineChars="100"/>
              <w:rPr>
                <w:rFonts w:hint="eastAsia" w:ascii="宋体" w:hAnsi="宋体" w:cs="宋体"/>
                <w:sz w:val="24"/>
                <w:szCs w:val="24"/>
              </w:rPr>
            </w:pPr>
            <w:r>
              <w:rPr>
                <w:rFonts w:hint="eastAsia" w:ascii="宋体" w:hAnsi="宋体" w:cs="宋体"/>
                <w:sz w:val="24"/>
                <w:szCs w:val="24"/>
              </w:rPr>
              <w:t>近年（2010年1月1日至今）承担完成单项合同金额500万元及以上的航电枢纽或水电站集控系统类似建设项目，每提供一个得4分，最高得12分。</w:t>
            </w:r>
          </w:p>
          <w:p>
            <w:pPr>
              <w:autoSpaceDE w:val="0"/>
              <w:autoSpaceDN w:val="0"/>
              <w:adjustRightInd w:val="0"/>
              <w:spacing w:before="7"/>
              <w:ind w:left="84" w:leftChars="40" w:right="113"/>
              <w:rPr>
                <w:rFonts w:hint="eastAsia" w:ascii="宋体" w:hAnsi="宋体" w:cs="宋体"/>
                <w:sz w:val="24"/>
                <w:szCs w:val="24"/>
              </w:rPr>
            </w:pPr>
            <w:r>
              <w:rPr>
                <w:rFonts w:hint="eastAsia" w:ascii="宋体" w:hAnsi="宋体" w:cs="宋体"/>
                <w:sz w:val="24"/>
                <w:szCs w:val="24"/>
              </w:rPr>
              <w:t>注：</w:t>
            </w:r>
          </w:p>
          <w:p>
            <w:pPr>
              <w:autoSpaceDE w:val="0"/>
              <w:autoSpaceDN w:val="0"/>
              <w:adjustRightInd w:val="0"/>
              <w:spacing w:before="7"/>
              <w:ind w:left="84" w:leftChars="40" w:right="113"/>
              <w:rPr>
                <w:rFonts w:hint="eastAsia" w:ascii="宋体" w:hAnsi="宋体" w:cs="宋体"/>
                <w:sz w:val="24"/>
                <w:szCs w:val="24"/>
              </w:rPr>
            </w:pPr>
            <w:r>
              <w:rPr>
                <w:rFonts w:hint="eastAsia" w:ascii="宋体" w:hAnsi="宋体" w:cs="宋体"/>
                <w:sz w:val="24"/>
                <w:szCs w:val="24"/>
              </w:rPr>
              <w:t>（1）每个业绩应附中标通知书或合同协议书和设备正常运行的用户证明（证明应与合同对应，提供业主联系方式供核实，并加盖公章）等证明材料复印件，否则该业绩不予认可。</w:t>
            </w:r>
          </w:p>
          <w:p>
            <w:pPr>
              <w:autoSpaceDE w:val="0"/>
              <w:autoSpaceDN w:val="0"/>
              <w:adjustRightInd w:val="0"/>
              <w:spacing w:before="7"/>
              <w:ind w:left="84" w:leftChars="40" w:right="113"/>
              <w:rPr>
                <w:rFonts w:ascii="宋体" w:hAnsi="宋体" w:cs="宋体"/>
                <w:sz w:val="24"/>
                <w:szCs w:val="24"/>
              </w:rPr>
            </w:pPr>
            <w:r>
              <w:rPr>
                <w:rFonts w:hint="eastAsia" w:ascii="宋体" w:hAnsi="宋体" w:cs="宋体"/>
                <w:sz w:val="24"/>
                <w:szCs w:val="24"/>
              </w:rPr>
              <w:t>（2）若一个合同中包含两个及以上的类似项目业绩只能按一个业绩记分。</w:t>
            </w:r>
          </w:p>
        </w:tc>
      </w:tr>
      <w:tr>
        <w:tblPrEx>
          <w:tblCellMar>
            <w:top w:w="0" w:type="dxa"/>
            <w:left w:w="0" w:type="dxa"/>
            <w:bottom w:w="0" w:type="dxa"/>
            <w:right w:w="0" w:type="dxa"/>
          </w:tblCellMar>
        </w:tblPrEx>
        <w:trPr>
          <w:trHeight w:val="1037" w:hRule="exact"/>
        </w:trPr>
        <w:tc>
          <w:tcPr>
            <w:tcW w:w="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hint="eastAsia" w:ascii="宋体" w:hAnsi="宋体" w:cs="宋体"/>
                <w:kern w:val="0"/>
                <w:sz w:val="24"/>
                <w:szCs w:val="24"/>
              </w:rPr>
            </w:pPr>
            <w:r>
              <w:rPr>
                <w:rFonts w:hint="eastAsia" w:ascii="宋体" w:hAnsi="宋体" w:cs="宋体"/>
                <w:kern w:val="0"/>
                <w:sz w:val="24"/>
                <w:szCs w:val="24"/>
              </w:rPr>
              <w:t>2.2.4(2)</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技术评分 标准</w:t>
            </w:r>
          </w:p>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（25分）</w:t>
            </w:r>
          </w:p>
        </w:tc>
        <w:tc>
          <w:tcPr>
            <w:tcW w:w="233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技术评分</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ascii="宋体" w:hAnsi="宋体" w:cs="宋体"/>
                <w:kern w:val="0"/>
                <w:sz w:val="24"/>
                <w:szCs w:val="24"/>
              </w:rPr>
            </w:pPr>
            <w:r>
              <w:rPr>
                <w:rFonts w:hint="eastAsia" w:ascii="宋体" w:hAnsi="宋体" w:cs="宋体"/>
                <w:kern w:val="0"/>
                <w:sz w:val="24"/>
                <w:szCs w:val="24"/>
              </w:rPr>
              <w:t>详见评标办法附录一</w:t>
            </w:r>
          </w:p>
        </w:tc>
      </w:tr>
      <w:tr>
        <w:tblPrEx>
          <w:tblCellMar>
            <w:top w:w="0" w:type="dxa"/>
            <w:left w:w="0" w:type="dxa"/>
            <w:bottom w:w="0" w:type="dxa"/>
            <w:right w:w="0" w:type="dxa"/>
          </w:tblCellMar>
        </w:tblPrEx>
        <w:trPr>
          <w:trHeight w:val="1849" w:hRule="exact"/>
        </w:trPr>
        <w:tc>
          <w:tcPr>
            <w:tcW w:w="599" w:type="dxa"/>
            <w:vMerge w:val="restart"/>
            <w:tcBorders>
              <w:top w:val="single" w:color="auto" w:sz="4" w:space="0"/>
              <w:left w:val="single" w:color="000000" w:sz="4" w:space="0"/>
              <w:right w:val="single" w:color="auto" w:sz="4" w:space="0"/>
            </w:tcBorders>
            <w:vAlign w:val="center"/>
          </w:tcPr>
          <w:p>
            <w:pPr>
              <w:autoSpaceDE w:val="0"/>
              <w:autoSpaceDN w:val="0"/>
              <w:adjustRightInd w:val="0"/>
              <w:ind w:right="-20"/>
              <w:jc w:val="center"/>
              <w:rPr>
                <w:rFonts w:hint="eastAsia" w:ascii="宋体" w:hAnsi="宋体" w:cs="宋体"/>
                <w:kern w:val="0"/>
                <w:sz w:val="24"/>
                <w:szCs w:val="24"/>
              </w:rPr>
            </w:pPr>
            <w:r>
              <w:rPr>
                <w:rFonts w:hint="eastAsia" w:ascii="宋体" w:hAnsi="宋体" w:cs="宋体"/>
                <w:kern w:val="0"/>
                <w:sz w:val="24"/>
                <w:szCs w:val="24"/>
              </w:rPr>
              <w:t>2.2.4(3)</w:t>
            </w:r>
          </w:p>
        </w:tc>
        <w:tc>
          <w:tcPr>
            <w:tcW w:w="1134" w:type="dxa"/>
            <w:gridSpan w:val="2"/>
            <w:vMerge w:val="restart"/>
            <w:tcBorders>
              <w:top w:val="single" w:color="auto" w:sz="4" w:space="0"/>
              <w:left w:val="single" w:color="auto" w:sz="4" w:space="0"/>
              <w:right w:val="single" w:color="000000" w:sz="4" w:space="0"/>
            </w:tcBorders>
            <w:vAlign w:val="center"/>
          </w:tcPr>
          <w:p>
            <w:pPr>
              <w:autoSpaceDE w:val="0"/>
              <w:autoSpaceDN w:val="0"/>
              <w:adjustRightInd w:val="0"/>
              <w:ind w:left="63" w:leftChars="30" w:right="-20"/>
              <w:jc w:val="center"/>
              <w:rPr>
                <w:rFonts w:hint="eastAsia" w:ascii="宋体" w:hAnsi="宋体" w:cs="宋体"/>
                <w:kern w:val="0"/>
                <w:sz w:val="24"/>
                <w:szCs w:val="24"/>
              </w:rPr>
            </w:pPr>
            <w:r>
              <w:rPr>
                <w:rFonts w:ascii="宋体" w:hAnsi="宋体" w:cs="宋体"/>
                <w:kern w:val="0"/>
                <w:sz w:val="24"/>
                <w:szCs w:val="24"/>
              </w:rPr>
              <w:t>投标报价 评分标准</w:t>
            </w:r>
          </w:p>
          <w:p>
            <w:pPr>
              <w:autoSpaceDE w:val="0"/>
              <w:autoSpaceDN w:val="0"/>
              <w:adjustRightInd w:val="0"/>
              <w:ind w:left="63" w:leftChars="30" w:right="-20"/>
              <w:jc w:val="center"/>
              <w:rPr>
                <w:rFonts w:hint="eastAsia"/>
              </w:rPr>
            </w:pPr>
            <w:r>
              <w:rPr>
                <w:rFonts w:hint="eastAsia" w:ascii="宋体" w:hAnsi="宋体" w:cs="宋体"/>
                <w:kern w:val="0"/>
                <w:sz w:val="24"/>
                <w:szCs w:val="24"/>
              </w:rPr>
              <w:t>（50）</w:t>
            </w: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7"/>
              <w:ind w:left="63" w:leftChars="30" w:right="860"/>
              <w:jc w:val="center"/>
              <w:rPr>
                <w:rFonts w:hint="eastAsia" w:ascii="宋体" w:hAnsi="宋体" w:cs="宋体"/>
                <w:kern w:val="0"/>
                <w:sz w:val="24"/>
                <w:szCs w:val="24"/>
              </w:rPr>
            </w:pPr>
            <w:r>
              <w:rPr>
                <w:rFonts w:hint="eastAsia" w:ascii="宋体" w:hAnsi="宋体" w:cs="宋体"/>
                <w:kern w:val="0"/>
                <w:sz w:val="24"/>
                <w:szCs w:val="24"/>
              </w:rPr>
              <w:t xml:space="preserve">     偏差率</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84" w:leftChars="40" w:right="42" w:rightChars="20"/>
              <w:rPr>
                <w:rFonts w:hint="eastAsia" w:ascii="宋体" w:hAnsi="宋体" w:cs="宋体"/>
                <w:kern w:val="0"/>
                <w:sz w:val="24"/>
                <w:szCs w:val="24"/>
              </w:rPr>
            </w:pPr>
            <w:r>
              <w:rPr>
                <w:rFonts w:hint="eastAsia" w:ascii="宋体" w:hAnsi="宋体" w:cs="宋体"/>
                <w:kern w:val="0"/>
                <w:sz w:val="24"/>
                <w:szCs w:val="24"/>
              </w:rPr>
              <w:t>投标人评标价每高于评标基准价一个百分点，扣0.5分；</w:t>
            </w:r>
          </w:p>
          <w:p>
            <w:pPr>
              <w:autoSpaceDE w:val="0"/>
              <w:autoSpaceDN w:val="0"/>
              <w:adjustRightInd w:val="0"/>
              <w:snapToGrid w:val="0"/>
              <w:ind w:left="84" w:leftChars="40" w:right="42" w:rightChars="20"/>
              <w:rPr>
                <w:rFonts w:hint="eastAsia" w:ascii="宋体" w:hAnsi="宋体" w:cs="宋体"/>
                <w:kern w:val="0"/>
                <w:sz w:val="24"/>
                <w:szCs w:val="24"/>
              </w:rPr>
            </w:pPr>
            <w:r>
              <w:rPr>
                <w:rFonts w:hint="eastAsia" w:ascii="宋体" w:hAnsi="宋体" w:cs="宋体"/>
                <w:kern w:val="0"/>
                <w:sz w:val="24"/>
                <w:szCs w:val="24"/>
              </w:rPr>
              <w:t>投标人评标价每低于评标基准价一个百分点，扣0.3分。</w:t>
            </w:r>
          </w:p>
        </w:tc>
      </w:tr>
      <w:tr>
        <w:tblPrEx>
          <w:tblCellMar>
            <w:top w:w="0" w:type="dxa"/>
            <w:left w:w="0" w:type="dxa"/>
            <w:bottom w:w="0" w:type="dxa"/>
            <w:right w:w="0" w:type="dxa"/>
          </w:tblCellMar>
        </w:tblPrEx>
        <w:trPr>
          <w:trHeight w:val="2139" w:hRule="exact"/>
        </w:trPr>
        <w:tc>
          <w:tcPr>
            <w:tcW w:w="599" w:type="dxa"/>
            <w:vMerge w:val="continue"/>
            <w:tcBorders>
              <w:left w:val="single" w:color="000000" w:sz="4" w:space="0"/>
              <w:bottom w:val="single" w:color="auto" w:sz="4" w:space="0"/>
              <w:right w:val="single" w:color="auto" w:sz="4" w:space="0"/>
            </w:tcBorders>
            <w:vAlign w:val="center"/>
          </w:tcPr>
          <w:p>
            <w:pPr>
              <w:autoSpaceDE w:val="0"/>
              <w:autoSpaceDN w:val="0"/>
              <w:adjustRightInd w:val="0"/>
              <w:ind w:left="234" w:right="-20"/>
              <w:rPr>
                <w:rFonts w:hint="eastAsia" w:ascii="宋体" w:hAnsi="宋体" w:cs="宋体"/>
                <w:kern w:val="0"/>
                <w:sz w:val="24"/>
                <w:szCs w:val="24"/>
              </w:rPr>
            </w:pPr>
          </w:p>
        </w:tc>
        <w:tc>
          <w:tcPr>
            <w:tcW w:w="1134" w:type="dxa"/>
            <w:gridSpan w:val="2"/>
            <w:vMerge w:val="continue"/>
            <w:tcBorders>
              <w:left w:val="single" w:color="auto" w:sz="4" w:space="0"/>
              <w:bottom w:val="single" w:color="auto" w:sz="4" w:space="0"/>
              <w:right w:val="single" w:color="000000" w:sz="4" w:space="0"/>
            </w:tcBorders>
            <w:vAlign w:val="center"/>
          </w:tcPr>
          <w:p>
            <w:pPr>
              <w:autoSpaceDE w:val="0"/>
              <w:autoSpaceDN w:val="0"/>
              <w:adjustRightInd w:val="0"/>
              <w:snapToGrid w:val="0"/>
              <w:rPr>
                <w:rFonts w:hint="eastAsia" w:ascii="宋体" w:hAnsi="宋体" w:cs="宋体"/>
                <w:kern w:val="0"/>
                <w:sz w:val="24"/>
                <w:szCs w:val="24"/>
              </w:rPr>
            </w:pPr>
          </w:p>
        </w:tc>
        <w:tc>
          <w:tcPr>
            <w:tcW w:w="2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jc w:val="center"/>
              <w:rPr>
                <w:rFonts w:hint="eastAsia" w:ascii="宋体" w:hAnsi="宋体" w:cs="宋体"/>
                <w:kern w:val="0"/>
                <w:sz w:val="24"/>
                <w:szCs w:val="24"/>
              </w:rPr>
            </w:pPr>
            <w:r>
              <w:rPr>
                <w:rFonts w:hint="eastAsia" w:ascii="宋体" w:hAnsi="宋体" w:cs="宋体"/>
                <w:b/>
                <w:sz w:val="24"/>
                <w:szCs w:val="24"/>
              </w:rPr>
              <w:t>评标价得分计算公式</w:t>
            </w:r>
          </w:p>
        </w:tc>
        <w:tc>
          <w:tcPr>
            <w:tcW w:w="56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4" w:leftChars="40" w:right="42" w:rightChars="20"/>
              <w:rPr>
                <w:rFonts w:hint="eastAsia" w:ascii="宋体" w:hAnsi="宋体" w:cs="宋体"/>
                <w:sz w:val="24"/>
                <w:szCs w:val="24"/>
              </w:rPr>
            </w:pPr>
            <w:r>
              <w:rPr>
                <w:rFonts w:hint="eastAsia" w:ascii="宋体" w:hAnsi="宋体" w:cs="宋体"/>
                <w:sz w:val="24"/>
                <w:szCs w:val="24"/>
              </w:rPr>
              <w:t>（一）如果投标人的评标价＞评标基准价，则评标价得分=50-</w:t>
            </w:r>
            <w:r>
              <w:rPr>
                <w:rFonts w:hint="eastAsia" w:ascii="宋体" w:hAnsi="宋体" w:cs="宋体"/>
                <w:kern w:val="0"/>
                <w:sz w:val="24"/>
                <w:szCs w:val="24"/>
              </w:rPr>
              <w:t>∣</w:t>
            </w:r>
            <w:r>
              <w:rPr>
                <w:rFonts w:hint="eastAsia" w:ascii="宋体" w:hAnsi="宋体" w:cs="宋体"/>
                <w:sz w:val="24"/>
                <w:szCs w:val="24"/>
              </w:rPr>
              <w:t>偏差率</w:t>
            </w:r>
            <w:r>
              <w:rPr>
                <w:rFonts w:hint="eastAsia" w:ascii="宋体" w:hAnsi="宋体" w:cs="宋体"/>
                <w:kern w:val="0"/>
                <w:sz w:val="24"/>
                <w:szCs w:val="24"/>
              </w:rPr>
              <w:t>∣</w:t>
            </w:r>
            <w:r>
              <w:rPr>
                <w:rFonts w:hint="eastAsia" w:ascii="宋体" w:hAnsi="宋体" w:cs="宋体"/>
                <w:sz w:val="24"/>
                <w:szCs w:val="24"/>
              </w:rPr>
              <w:t>×100×0</w:t>
            </w:r>
            <w:r>
              <w:rPr>
                <w:rFonts w:hint="eastAsia" w:ascii="宋体" w:hAnsi="宋体" w:cs="宋体"/>
                <w:i/>
                <w:sz w:val="24"/>
                <w:szCs w:val="24"/>
              </w:rPr>
              <w:t>.</w:t>
            </w:r>
            <w:r>
              <w:rPr>
                <w:rFonts w:hint="eastAsia" w:ascii="宋体" w:hAnsi="宋体" w:cs="宋体"/>
                <w:sz w:val="24"/>
                <w:szCs w:val="24"/>
              </w:rPr>
              <w:t>5；</w:t>
            </w:r>
          </w:p>
          <w:p>
            <w:pPr>
              <w:adjustRightInd w:val="0"/>
              <w:snapToGrid w:val="0"/>
              <w:ind w:left="84" w:leftChars="40" w:right="42" w:rightChars="20"/>
              <w:rPr>
                <w:rFonts w:hint="eastAsia" w:ascii="宋体" w:hAnsi="宋体" w:cs="宋体"/>
                <w:kern w:val="0"/>
                <w:sz w:val="24"/>
                <w:szCs w:val="24"/>
              </w:rPr>
            </w:pPr>
            <w:r>
              <w:rPr>
                <w:rFonts w:hint="eastAsia" w:ascii="宋体" w:hAnsi="宋体" w:cs="宋体"/>
                <w:sz w:val="24"/>
                <w:szCs w:val="24"/>
              </w:rPr>
              <w:t>（二）如果投标人的评标价≤评标基准价，则评标价得分=50</w:t>
            </w:r>
            <w:r>
              <w:rPr>
                <w:rFonts w:ascii="宋体" w:hAnsi="宋体" w:cs="宋体"/>
                <w:sz w:val="24"/>
                <w:szCs w:val="24"/>
              </w:rPr>
              <w:t>-</w:t>
            </w:r>
            <w:r>
              <w:rPr>
                <w:rFonts w:hint="eastAsia" w:ascii="宋体" w:hAnsi="宋体" w:cs="宋体"/>
                <w:kern w:val="0"/>
                <w:sz w:val="24"/>
                <w:szCs w:val="24"/>
              </w:rPr>
              <w:t>∣</w:t>
            </w:r>
            <w:r>
              <w:rPr>
                <w:rFonts w:hint="eastAsia" w:ascii="宋体" w:hAnsi="宋体" w:cs="宋体"/>
                <w:sz w:val="24"/>
                <w:szCs w:val="24"/>
              </w:rPr>
              <w:t>偏差率</w:t>
            </w:r>
            <w:r>
              <w:rPr>
                <w:rFonts w:hint="eastAsia" w:ascii="宋体" w:hAnsi="宋体" w:cs="宋体"/>
                <w:kern w:val="0"/>
                <w:sz w:val="24"/>
                <w:szCs w:val="24"/>
              </w:rPr>
              <w:t>∣</w:t>
            </w:r>
            <w:r>
              <w:rPr>
                <w:rFonts w:hint="eastAsia" w:ascii="宋体" w:hAnsi="宋体" w:cs="宋体"/>
                <w:sz w:val="24"/>
                <w:szCs w:val="24"/>
              </w:rPr>
              <w:t>×100×0</w:t>
            </w:r>
            <w:r>
              <w:rPr>
                <w:rFonts w:hint="eastAsia" w:ascii="宋体" w:hAnsi="宋体" w:cs="宋体"/>
                <w:i/>
                <w:sz w:val="24"/>
                <w:szCs w:val="24"/>
              </w:rPr>
              <w:t>.</w:t>
            </w:r>
            <w:r>
              <w:rPr>
                <w:rFonts w:hint="eastAsia" w:ascii="宋体" w:hAnsi="宋体" w:cs="宋体"/>
                <w:kern w:val="0"/>
                <w:sz w:val="24"/>
                <w:szCs w:val="24"/>
              </w:rPr>
              <w:t>3</w:t>
            </w:r>
            <w:r>
              <w:rPr>
                <w:rFonts w:hint="eastAsia" w:ascii="宋体" w:hAnsi="宋体" w:cs="宋体"/>
                <w:sz w:val="24"/>
                <w:szCs w:val="24"/>
              </w:rPr>
              <w:t>；</w:t>
            </w:r>
          </w:p>
        </w:tc>
      </w:tr>
    </w:tbl>
    <w:p>
      <w:pPr>
        <w:autoSpaceDE w:val="0"/>
        <w:autoSpaceDN w:val="0"/>
        <w:adjustRightInd w:val="0"/>
        <w:spacing w:before="9" w:line="90" w:lineRule="exact"/>
        <w:jc w:val="left"/>
        <w:rPr>
          <w:rFonts w:hint="eastAsia" w:eastAsia="仿宋" w:cs="宋体"/>
          <w:kern w:val="0"/>
          <w:sz w:val="9"/>
          <w:szCs w:val="9"/>
        </w:rPr>
      </w:pPr>
    </w:p>
    <w:p>
      <w:pPr>
        <w:autoSpaceDE w:val="0"/>
        <w:autoSpaceDN w:val="0"/>
        <w:adjustRightInd w:val="0"/>
        <w:jc w:val="left"/>
        <w:rPr>
          <w:rFonts w:hint="eastAsia" w:eastAsia="仿宋" w:cs="宋体"/>
          <w:kern w:val="0"/>
          <w:sz w:val="24"/>
          <w:szCs w:val="24"/>
        </w:rPr>
        <w:sectPr>
          <w:footerReference r:id="rId3" w:type="default"/>
          <w:pgSz w:w="11850" w:h="16783"/>
          <w:pgMar w:top="1134" w:right="1134" w:bottom="1134" w:left="1134" w:header="851" w:footer="454" w:gutter="170"/>
          <w:cols w:space="720" w:num="1"/>
        </w:sectPr>
      </w:pPr>
    </w:p>
    <w:p>
      <w:pPr>
        <w:autoSpaceDE w:val="0"/>
        <w:autoSpaceDN w:val="0"/>
        <w:adjustRightInd w:val="0"/>
        <w:spacing w:before="84" w:line="360" w:lineRule="auto"/>
        <w:jc w:val="center"/>
        <w:rPr>
          <w:rFonts w:hint="eastAsia" w:ascii="宋体" w:hAnsi="宋体" w:cs="宋体"/>
          <w:b/>
          <w:bCs/>
          <w:sz w:val="28"/>
          <w:szCs w:val="28"/>
        </w:rPr>
      </w:pPr>
      <w:r>
        <w:rPr>
          <w:rFonts w:hint="eastAsia" w:ascii="宋体" w:hAnsi="宋体" w:cs="宋体"/>
          <w:b/>
          <w:bCs/>
          <w:sz w:val="28"/>
          <w:szCs w:val="28"/>
        </w:rPr>
        <w:t>附录一 技术评分表</w:t>
      </w:r>
    </w:p>
    <w:tbl>
      <w:tblPr>
        <w:tblStyle w:val="8"/>
        <w:tblW w:w="9447" w:type="dxa"/>
        <w:tblInd w:w="-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80"/>
        <w:gridCol w:w="2490"/>
        <w:gridCol w:w="834"/>
        <w:gridCol w:w="53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序号</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评 分 项 目</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分值</w:t>
            </w:r>
          </w:p>
        </w:tc>
        <w:tc>
          <w:tcPr>
            <w:tcW w:w="5343"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评标标准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7"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一</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工程概述</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1</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对工程的认识全面、难点要点分析的准确性。一般得0-0.5分，较好得0.5-0.8分，优秀得0.8-1分。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5"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二</w:t>
            </w:r>
          </w:p>
        </w:tc>
        <w:tc>
          <w:tcPr>
            <w:tcW w:w="2490" w:type="dxa"/>
            <w:vAlign w:val="center"/>
          </w:tcPr>
          <w:p>
            <w:pPr>
              <w:autoSpaceDE w:val="0"/>
              <w:autoSpaceDN w:val="0"/>
              <w:adjustRightInd w:val="0"/>
              <w:spacing w:before="48"/>
              <w:ind w:left="63" w:leftChars="30" w:right="-20"/>
              <w:jc w:val="center"/>
              <w:rPr>
                <w:rFonts w:ascii="宋体" w:hAnsi="宋体" w:cs="宋体"/>
                <w:kern w:val="0"/>
                <w:sz w:val="24"/>
                <w:szCs w:val="24"/>
              </w:rPr>
            </w:pPr>
            <w:r>
              <w:rPr>
                <w:rFonts w:hint="eastAsia" w:ascii="宋体" w:hAnsi="宋体" w:cs="宋体"/>
                <w:kern w:val="0"/>
                <w:sz w:val="24"/>
                <w:szCs w:val="24"/>
              </w:rPr>
              <w:t>集中调度控制管理系统</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10</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8"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①</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设备选型</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包括设备、器材配置是否符合招标要求和具有先进性。一般得0-1分，较好得1-1.5分，优秀得1.5-2分。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②</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应用软件功能</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软件平台功能是否满足招标文件要求。一般得0-1分，较好得1-1.5分，优秀得1.5-2分。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0"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③</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技术方案与技术措施合理性</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技术方案与技术措施合理性。一般得0-1分，较好得 1-1.5分，优秀得1.5-2分。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3"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④</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安装方案与措施合</w:t>
            </w:r>
          </w:p>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理性</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安装方案与措施合理性。一般得0-1分，较好得1-1.5分，优秀得1.5-2分。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⑤</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信息安全防护方案合理性</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方案与措施合理性。一般得0-1分，较好得1-1.5分，优秀得1.5-2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2" w:hRule="atLeast"/>
        </w:trPr>
        <w:tc>
          <w:tcPr>
            <w:tcW w:w="780" w:type="dxa"/>
            <w:vMerge w:val="restart"/>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三</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实施进度计划安排</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1</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进度计划安排及保证措施规范合理性。一般得0-0.3 分，较好得0.4-0.6分，优秀得0.7-1分。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9" w:hRule="atLeast"/>
        </w:trPr>
        <w:tc>
          <w:tcPr>
            <w:tcW w:w="780" w:type="dxa"/>
            <w:vMerge w:val="continue"/>
            <w:vAlign w:val="center"/>
          </w:tcPr>
          <w:p>
            <w:pPr>
              <w:autoSpaceDE w:val="0"/>
              <w:autoSpaceDN w:val="0"/>
              <w:adjustRightInd w:val="0"/>
              <w:spacing w:before="48"/>
              <w:ind w:left="63" w:leftChars="30" w:right="-20"/>
              <w:jc w:val="center"/>
              <w:rPr>
                <w:rFonts w:hint="eastAsia" w:ascii="宋体" w:hAnsi="宋体" w:cs="宋体"/>
                <w:kern w:val="0"/>
                <w:sz w:val="24"/>
                <w:szCs w:val="24"/>
              </w:rPr>
            </w:pP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项目施工组织设计</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1</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生产组织严密,流程合理高效,过程控制措施有针对性的。一般得0-0.3分，较好得0.4-0.6分，优秀得0.7-1分。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2" w:hRule="atLeast"/>
        </w:trPr>
        <w:tc>
          <w:tcPr>
            <w:tcW w:w="780" w:type="dxa"/>
            <w:vMerge w:val="continue"/>
            <w:vAlign w:val="center"/>
          </w:tcPr>
          <w:p>
            <w:pPr>
              <w:autoSpaceDE w:val="0"/>
              <w:autoSpaceDN w:val="0"/>
              <w:adjustRightInd w:val="0"/>
              <w:spacing w:before="48"/>
              <w:ind w:left="63" w:leftChars="30" w:right="-20"/>
              <w:jc w:val="center"/>
              <w:rPr>
                <w:rFonts w:hint="eastAsia" w:ascii="宋体" w:hAnsi="宋体" w:cs="宋体"/>
                <w:kern w:val="0"/>
                <w:sz w:val="24"/>
                <w:szCs w:val="24"/>
              </w:rPr>
            </w:pP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质量保证措施</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1</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质量保证措施全面、完善、合理性。一般得0-0.3分，较好得0.4-0.6分，优秀得0.7-1分。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5"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四</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技术培训方案及措</w:t>
            </w:r>
          </w:p>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施</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技术培训方案及措施合理性。一般得0-1 分，较好得 1-1.5 分，优秀得 1.5-2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7"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五</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项目管理机构的设</w:t>
            </w:r>
          </w:p>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置及人员配置</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现场管理机构及人员配备完备性及合理性。一般得0-1分，较好得1-1.5分，优秀得1.5-2分。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0"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六</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售后服务方案保</w:t>
            </w:r>
          </w:p>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证措施</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hint="eastAsia" w:ascii="宋体" w:hAnsi="宋体" w:cs="宋体"/>
                <w:kern w:val="0"/>
                <w:sz w:val="24"/>
                <w:szCs w:val="24"/>
              </w:rPr>
            </w:pPr>
            <w:r>
              <w:rPr>
                <w:rFonts w:hint="eastAsia" w:ascii="宋体" w:hAnsi="宋体" w:cs="宋体"/>
                <w:kern w:val="0"/>
                <w:sz w:val="24"/>
                <w:szCs w:val="24"/>
              </w:rPr>
              <w:t>售后服务方案及保证措施可行性及合理性。一般得0-1分，较好得1-1.5分，优秀得1.5-2分。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0"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七</w:t>
            </w:r>
          </w:p>
        </w:tc>
        <w:tc>
          <w:tcPr>
            <w:tcW w:w="2490" w:type="dxa"/>
            <w:vAlign w:val="center"/>
          </w:tcPr>
          <w:p>
            <w:pPr>
              <w:autoSpaceDE w:val="0"/>
              <w:autoSpaceDN w:val="0"/>
              <w:adjustRightInd w:val="0"/>
              <w:spacing w:before="48"/>
              <w:ind w:left="63" w:leftChars="30" w:right="-20"/>
              <w:jc w:val="center"/>
              <w:rPr>
                <w:rFonts w:ascii="宋体" w:hAnsi="宋体" w:cs="宋体"/>
                <w:kern w:val="0"/>
                <w:sz w:val="24"/>
                <w:szCs w:val="24"/>
              </w:rPr>
            </w:pPr>
            <w:r>
              <w:rPr>
                <w:rFonts w:hint="eastAsia" w:ascii="宋体" w:hAnsi="宋体" w:cs="宋体"/>
                <w:kern w:val="0"/>
                <w:sz w:val="24"/>
                <w:szCs w:val="24"/>
              </w:rPr>
              <w:t>集控中心系统设计深化</w:t>
            </w:r>
          </w:p>
        </w:tc>
        <w:tc>
          <w:tcPr>
            <w:tcW w:w="834" w:type="dxa"/>
            <w:vAlign w:val="center"/>
          </w:tcPr>
          <w:p>
            <w:pPr>
              <w:autoSpaceDE w:val="0"/>
              <w:autoSpaceDN w:val="0"/>
              <w:adjustRightInd w:val="0"/>
              <w:spacing w:before="48"/>
              <w:ind w:left="63" w:leftChars="30" w:right="-20"/>
              <w:jc w:val="center"/>
              <w:rPr>
                <w:rFonts w:ascii="宋体" w:hAnsi="宋体" w:cs="宋体"/>
                <w:kern w:val="0"/>
                <w:sz w:val="24"/>
                <w:szCs w:val="24"/>
              </w:rPr>
            </w:pPr>
            <w:r>
              <w:rPr>
                <w:rFonts w:hint="eastAsia" w:ascii="宋体" w:hAnsi="宋体" w:cs="宋体"/>
                <w:kern w:val="0"/>
                <w:sz w:val="24"/>
                <w:szCs w:val="24"/>
              </w:rPr>
              <w:t>2</w:t>
            </w:r>
          </w:p>
        </w:tc>
        <w:tc>
          <w:tcPr>
            <w:tcW w:w="5343" w:type="dxa"/>
            <w:vAlign w:val="center"/>
          </w:tcPr>
          <w:p>
            <w:pPr>
              <w:autoSpaceDE w:val="0"/>
              <w:autoSpaceDN w:val="0"/>
              <w:adjustRightInd w:val="0"/>
              <w:ind w:left="84" w:leftChars="40" w:right="113"/>
              <w:rPr>
                <w:rFonts w:ascii="宋体" w:hAnsi="宋体" w:cs="宋体"/>
                <w:kern w:val="0"/>
                <w:sz w:val="24"/>
                <w:szCs w:val="24"/>
              </w:rPr>
            </w:pPr>
            <w:r>
              <w:rPr>
                <w:rFonts w:hint="eastAsia" w:ascii="宋体" w:hAnsi="宋体" w:cs="宋体"/>
                <w:kern w:val="0"/>
                <w:sz w:val="24"/>
                <w:szCs w:val="24"/>
              </w:rPr>
              <w:t>深化设计在满足技术规范的基础上进行深化，深化设计方案。一般得0-1分，较好得1-1.5分，优秀得1.5-2分。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2" w:hRule="atLeast"/>
        </w:trPr>
        <w:tc>
          <w:tcPr>
            <w:tcW w:w="78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八</w:t>
            </w:r>
          </w:p>
        </w:tc>
        <w:tc>
          <w:tcPr>
            <w:tcW w:w="2490"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合理化建议</w:t>
            </w:r>
          </w:p>
        </w:tc>
        <w:tc>
          <w:tcPr>
            <w:tcW w:w="834" w:type="dxa"/>
            <w:vAlign w:val="center"/>
          </w:tcPr>
          <w:p>
            <w:pPr>
              <w:autoSpaceDE w:val="0"/>
              <w:autoSpaceDN w:val="0"/>
              <w:adjustRightInd w:val="0"/>
              <w:spacing w:before="48"/>
              <w:ind w:left="63" w:leftChars="30" w:right="-20"/>
              <w:jc w:val="center"/>
              <w:rPr>
                <w:rFonts w:hint="eastAsia" w:ascii="宋体" w:hAnsi="宋体" w:cs="宋体"/>
                <w:kern w:val="0"/>
                <w:sz w:val="24"/>
                <w:szCs w:val="24"/>
              </w:rPr>
            </w:pPr>
            <w:r>
              <w:rPr>
                <w:rFonts w:hint="eastAsia" w:ascii="宋体" w:hAnsi="宋体" w:cs="宋体"/>
                <w:kern w:val="0"/>
                <w:sz w:val="24"/>
                <w:szCs w:val="24"/>
              </w:rPr>
              <w:t>3</w:t>
            </w:r>
          </w:p>
        </w:tc>
        <w:tc>
          <w:tcPr>
            <w:tcW w:w="5343" w:type="dxa"/>
            <w:vAlign w:val="center"/>
          </w:tcPr>
          <w:p>
            <w:pPr>
              <w:autoSpaceDE w:val="0"/>
              <w:autoSpaceDN w:val="0"/>
              <w:adjustRightInd w:val="0"/>
              <w:ind w:left="84" w:leftChars="40" w:right="113"/>
              <w:rPr>
                <w:rFonts w:ascii="宋体" w:hAnsi="宋体" w:cs="宋体"/>
                <w:kern w:val="0"/>
                <w:sz w:val="24"/>
                <w:szCs w:val="24"/>
              </w:rPr>
            </w:pPr>
            <w:r>
              <w:rPr>
                <w:rFonts w:hint="eastAsia" w:ascii="宋体" w:hAnsi="宋体" w:cs="宋体"/>
                <w:kern w:val="0"/>
                <w:sz w:val="24"/>
                <w:szCs w:val="24"/>
              </w:rPr>
              <w:t>针对集控中心人力资源配置、岗位职责、标准化管理制度提出合理化建议，一般得0-1分，较好得1-2 分，优秀得 2-3 分</w:t>
            </w:r>
          </w:p>
        </w:tc>
      </w:tr>
    </w:tbl>
    <w:p>
      <w:pPr>
        <w:jc w:val="left"/>
        <w:rPr>
          <w:rFonts w:hint="eastAsia" w:ascii="宋体" w:hAnsi="宋体" w:cs="宋体"/>
          <w:b/>
          <w:bCs/>
          <w:sz w:val="24"/>
          <w:szCs w:val="24"/>
        </w:rPr>
      </w:pPr>
      <w:r>
        <w:rPr>
          <w:rFonts w:hint="eastAsia" w:ascii="宋体" w:hAnsi="宋体" w:cs="宋体"/>
          <w:b/>
          <w:bCs/>
          <w:sz w:val="24"/>
          <w:szCs w:val="24"/>
        </w:rPr>
        <w:t>注：投标人技术得分以各评标专家打分的平均值确定。（计算结果保留两位小数，第三位四舍五入）</w:t>
      </w:r>
    </w:p>
    <w:p>
      <w:pPr>
        <w:pStyle w:val="2"/>
        <w:spacing w:line="360" w:lineRule="auto"/>
        <w:rPr>
          <w:rFonts w:hint="eastAsia" w:eastAsia="仿宋" w:cs="宋体"/>
          <w:kern w:val="0"/>
          <w:sz w:val="32"/>
          <w:szCs w:val="32"/>
        </w:rPr>
      </w:pPr>
      <w:r>
        <w:rPr>
          <w:rFonts w:hint="eastAsia" w:eastAsia="仿宋" w:cs="宋体"/>
          <w:szCs w:val="21"/>
        </w:rPr>
        <w:br w:type="page"/>
      </w:r>
      <w:r>
        <w:rPr>
          <w:rFonts w:hint="eastAsia" w:eastAsia="仿宋" w:cs="宋体"/>
          <w:szCs w:val="21"/>
        </w:rPr>
        <w:t>1</w:t>
      </w:r>
      <w:r>
        <w:rPr>
          <w:rFonts w:hint="eastAsia" w:hAnsi="宋体" w:cs="宋体"/>
          <w:b/>
          <w:bCs/>
          <w:kern w:val="0"/>
          <w:sz w:val="32"/>
          <w:szCs w:val="32"/>
        </w:rPr>
        <w:t xml:space="preserve">. </w:t>
      </w:r>
      <w:r>
        <w:rPr>
          <w:rFonts w:hint="eastAsia" w:hAnsi="宋体" w:cs="宋体"/>
          <w:b/>
          <w:bCs/>
          <w:kern w:val="0"/>
          <w:position w:val="-1"/>
          <w:sz w:val="32"/>
          <w:szCs w:val="32"/>
        </w:rPr>
        <w:t>评标方法</w:t>
      </w:r>
    </w:p>
    <w:p>
      <w:pPr>
        <w:adjustRightInd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autoSpaceDE w:val="0"/>
        <w:autoSpaceDN w:val="0"/>
        <w:adjustRightInd w:val="0"/>
        <w:spacing w:before="2" w:line="360" w:lineRule="auto"/>
        <w:jc w:val="left"/>
        <w:rPr>
          <w:rFonts w:hint="eastAsia" w:eastAsia="仿宋" w:cs="宋体"/>
          <w:kern w:val="0"/>
          <w:sz w:val="22"/>
        </w:rPr>
      </w:pPr>
    </w:p>
    <w:p>
      <w:pPr>
        <w:autoSpaceDE w:val="0"/>
        <w:autoSpaceDN w:val="0"/>
        <w:adjustRightInd w:val="0"/>
        <w:spacing w:line="360" w:lineRule="auto"/>
        <w:ind w:left="100" w:right="-20"/>
        <w:jc w:val="left"/>
        <w:rPr>
          <w:rFonts w:hint="eastAsia" w:ascii="宋体" w:hAnsi="宋体" w:cs="宋体"/>
          <w:b/>
          <w:bCs/>
          <w:kern w:val="0"/>
          <w:sz w:val="32"/>
          <w:szCs w:val="32"/>
        </w:rPr>
      </w:pPr>
      <w:r>
        <w:rPr>
          <w:rFonts w:hint="eastAsia" w:ascii="宋体" w:hAnsi="宋体" w:cs="宋体"/>
          <w:b/>
          <w:bCs/>
          <w:kern w:val="0"/>
          <w:sz w:val="32"/>
          <w:szCs w:val="32"/>
        </w:rPr>
        <w:t>2. 评审标准</w:t>
      </w:r>
    </w:p>
    <w:p>
      <w:pPr>
        <w:autoSpaceDE w:val="0"/>
        <w:autoSpaceDN w:val="0"/>
        <w:adjustRightInd w:val="0"/>
        <w:spacing w:line="360" w:lineRule="auto"/>
        <w:ind w:left="237" w:right="-20"/>
        <w:jc w:val="left"/>
        <w:rPr>
          <w:rFonts w:hint="eastAsia" w:ascii="宋体" w:hAnsi="宋体" w:cs="宋体"/>
          <w:kern w:val="0"/>
          <w:sz w:val="28"/>
          <w:szCs w:val="28"/>
        </w:rPr>
      </w:pPr>
      <w:r>
        <w:rPr>
          <w:rFonts w:hint="eastAsia" w:ascii="宋体" w:hAnsi="宋体" w:cs="宋体"/>
          <w:kern w:val="0"/>
          <w:sz w:val="28"/>
          <w:szCs w:val="28"/>
        </w:rPr>
        <w:t>2.1 初步评审标准</w:t>
      </w:r>
    </w:p>
    <w:p>
      <w:pPr>
        <w:autoSpaceDE w:val="0"/>
        <w:autoSpaceDN w:val="0"/>
        <w:adjustRightInd w:val="0"/>
        <w:spacing w:line="360" w:lineRule="auto"/>
        <w:ind w:left="520" w:right="-20"/>
        <w:jc w:val="left"/>
        <w:rPr>
          <w:rFonts w:hint="eastAsia" w:ascii="宋体" w:hAnsi="宋体" w:cs="宋体"/>
          <w:kern w:val="0"/>
          <w:sz w:val="24"/>
          <w:szCs w:val="24"/>
        </w:rPr>
      </w:pPr>
      <w:r>
        <w:rPr>
          <w:rFonts w:hint="eastAsia" w:ascii="宋体" w:hAnsi="宋体" w:cs="宋体"/>
          <w:kern w:val="0"/>
          <w:sz w:val="24"/>
          <w:szCs w:val="24"/>
        </w:rPr>
        <w:t>2.1.1 形式评审标准：见评标办法前附表。</w:t>
      </w:r>
    </w:p>
    <w:p>
      <w:pPr>
        <w:autoSpaceDE w:val="0"/>
        <w:autoSpaceDN w:val="0"/>
        <w:adjustRightInd w:val="0"/>
        <w:spacing w:before="42" w:line="360" w:lineRule="auto"/>
        <w:ind w:left="520" w:right="-20"/>
        <w:jc w:val="left"/>
        <w:rPr>
          <w:rFonts w:hint="eastAsia" w:ascii="宋体" w:hAnsi="宋体" w:cs="宋体"/>
          <w:kern w:val="0"/>
          <w:sz w:val="24"/>
          <w:szCs w:val="24"/>
        </w:rPr>
      </w:pPr>
      <w:r>
        <w:rPr>
          <w:rFonts w:hint="eastAsia" w:ascii="宋体" w:hAnsi="宋体" w:cs="宋体"/>
          <w:kern w:val="0"/>
          <w:sz w:val="24"/>
          <w:szCs w:val="24"/>
        </w:rPr>
        <w:t>2.1.2 资格评审标准：见评标办法前附表。</w:t>
      </w:r>
    </w:p>
    <w:p>
      <w:pPr>
        <w:autoSpaceDE w:val="0"/>
        <w:autoSpaceDN w:val="0"/>
        <w:adjustRightInd w:val="0"/>
        <w:spacing w:before="42" w:line="360" w:lineRule="auto"/>
        <w:ind w:left="520" w:right="-20"/>
        <w:jc w:val="left"/>
        <w:rPr>
          <w:rFonts w:hint="eastAsia" w:ascii="宋体" w:hAnsi="宋体" w:cs="宋体"/>
          <w:kern w:val="0"/>
          <w:sz w:val="24"/>
          <w:szCs w:val="24"/>
        </w:rPr>
      </w:pPr>
      <w:r>
        <w:rPr>
          <w:rFonts w:hint="eastAsia" w:ascii="宋体" w:hAnsi="宋体" w:cs="宋体"/>
          <w:kern w:val="0"/>
          <w:sz w:val="24"/>
          <w:szCs w:val="24"/>
        </w:rPr>
        <w:t>2.1.3 响应性评审标准：见评标办法前附表。</w:t>
      </w:r>
    </w:p>
    <w:p>
      <w:pPr>
        <w:autoSpaceDE w:val="0"/>
        <w:autoSpaceDN w:val="0"/>
        <w:adjustRightInd w:val="0"/>
        <w:spacing w:line="360" w:lineRule="auto"/>
        <w:ind w:left="237" w:right="-20"/>
        <w:jc w:val="left"/>
        <w:rPr>
          <w:rFonts w:hint="eastAsia" w:ascii="宋体" w:hAnsi="宋体" w:cs="宋体"/>
          <w:kern w:val="0"/>
          <w:sz w:val="28"/>
          <w:szCs w:val="28"/>
        </w:rPr>
      </w:pPr>
      <w:r>
        <w:rPr>
          <w:rFonts w:hint="eastAsia" w:ascii="宋体" w:hAnsi="宋体" w:cs="宋体"/>
          <w:kern w:val="0"/>
          <w:sz w:val="28"/>
          <w:szCs w:val="28"/>
        </w:rPr>
        <w:t>2.2 分值构成与评分标准</w:t>
      </w:r>
    </w:p>
    <w:p>
      <w:pPr>
        <w:autoSpaceDE w:val="0"/>
        <w:autoSpaceDN w:val="0"/>
        <w:adjustRightInd w:val="0"/>
        <w:spacing w:line="360" w:lineRule="auto"/>
        <w:ind w:left="520" w:right="-20"/>
        <w:jc w:val="left"/>
        <w:rPr>
          <w:rFonts w:hint="eastAsia" w:ascii="宋体" w:hAnsi="宋体" w:cs="宋体"/>
          <w:kern w:val="0"/>
          <w:sz w:val="24"/>
          <w:szCs w:val="24"/>
        </w:rPr>
      </w:pPr>
      <w:r>
        <w:rPr>
          <w:rFonts w:hint="eastAsia" w:ascii="宋体" w:hAnsi="宋体" w:cs="宋体"/>
          <w:kern w:val="0"/>
          <w:sz w:val="24"/>
          <w:szCs w:val="24"/>
        </w:rPr>
        <w:t>2.2.1 分值构成</w:t>
      </w:r>
    </w:p>
    <w:p>
      <w:pPr>
        <w:autoSpaceDE w:val="0"/>
        <w:autoSpaceDN w:val="0"/>
        <w:adjustRightInd w:val="0"/>
        <w:spacing w:before="42" w:line="360" w:lineRule="auto"/>
        <w:ind w:left="520" w:right="-20"/>
        <w:jc w:val="left"/>
        <w:rPr>
          <w:rFonts w:hint="eastAsia" w:ascii="宋体" w:hAnsi="宋体" w:cs="宋体"/>
          <w:kern w:val="0"/>
          <w:sz w:val="24"/>
          <w:szCs w:val="24"/>
        </w:rPr>
      </w:pPr>
      <w:r>
        <w:rPr>
          <w:rFonts w:hint="eastAsia" w:ascii="宋体" w:hAnsi="宋体" w:cs="宋体"/>
          <w:kern w:val="0"/>
          <w:sz w:val="24"/>
          <w:szCs w:val="24"/>
        </w:rPr>
        <w:t>（1）商务部分：见评标办法前附表；</w:t>
      </w:r>
    </w:p>
    <w:p>
      <w:pPr>
        <w:autoSpaceDE w:val="0"/>
        <w:autoSpaceDN w:val="0"/>
        <w:adjustRightInd w:val="0"/>
        <w:spacing w:before="42" w:line="360" w:lineRule="auto"/>
        <w:ind w:left="520" w:right="-20"/>
        <w:jc w:val="left"/>
        <w:rPr>
          <w:rFonts w:hint="eastAsia" w:ascii="宋体" w:hAnsi="宋体" w:cs="宋体"/>
          <w:kern w:val="0"/>
          <w:sz w:val="24"/>
          <w:szCs w:val="24"/>
        </w:rPr>
      </w:pPr>
      <w:r>
        <w:rPr>
          <w:rFonts w:hint="eastAsia" w:ascii="宋体" w:hAnsi="宋体" w:cs="宋体"/>
          <w:kern w:val="0"/>
          <w:sz w:val="24"/>
          <w:szCs w:val="24"/>
        </w:rPr>
        <w:t>（2）技术部分：见评标办法前附表；</w:t>
      </w:r>
    </w:p>
    <w:p>
      <w:pPr>
        <w:autoSpaceDE w:val="0"/>
        <w:autoSpaceDN w:val="0"/>
        <w:adjustRightInd w:val="0"/>
        <w:spacing w:before="40" w:line="360" w:lineRule="auto"/>
        <w:ind w:left="520" w:right="-20"/>
        <w:jc w:val="left"/>
        <w:rPr>
          <w:rFonts w:hint="eastAsia" w:ascii="宋体" w:hAnsi="宋体" w:cs="宋体"/>
          <w:kern w:val="0"/>
          <w:sz w:val="24"/>
          <w:szCs w:val="24"/>
        </w:rPr>
      </w:pPr>
      <w:r>
        <w:rPr>
          <w:rFonts w:hint="eastAsia" w:ascii="宋体" w:hAnsi="宋体" w:cs="宋体"/>
          <w:kern w:val="0"/>
          <w:sz w:val="24"/>
          <w:szCs w:val="24"/>
        </w:rPr>
        <w:t>（3）投标报价：见评标办法前附表；</w:t>
      </w:r>
    </w:p>
    <w:p>
      <w:pPr>
        <w:autoSpaceDE w:val="0"/>
        <w:autoSpaceDN w:val="0"/>
        <w:adjustRightInd w:val="0"/>
        <w:spacing w:before="43" w:line="360" w:lineRule="auto"/>
        <w:ind w:left="522" w:right="1718"/>
        <w:jc w:val="left"/>
        <w:rPr>
          <w:rFonts w:hint="eastAsia" w:ascii="宋体" w:hAnsi="宋体" w:cs="宋体"/>
          <w:kern w:val="0"/>
          <w:sz w:val="24"/>
          <w:szCs w:val="24"/>
        </w:rPr>
      </w:pPr>
      <w:r>
        <w:rPr>
          <w:rFonts w:hint="eastAsia" w:ascii="宋体" w:hAnsi="宋体" w:cs="宋体"/>
          <w:kern w:val="0"/>
          <w:sz w:val="24"/>
          <w:szCs w:val="24"/>
        </w:rPr>
        <w:t>2.2.2 评标基准价计方法：见评标办法前附表；</w:t>
      </w:r>
    </w:p>
    <w:p>
      <w:pPr>
        <w:autoSpaceDE w:val="0"/>
        <w:autoSpaceDN w:val="0"/>
        <w:adjustRightInd w:val="0"/>
        <w:spacing w:before="11" w:line="360" w:lineRule="auto"/>
        <w:ind w:left="522" w:right="567"/>
        <w:jc w:val="left"/>
        <w:rPr>
          <w:rFonts w:hint="eastAsia" w:ascii="宋体" w:hAnsi="宋体" w:cs="宋体"/>
          <w:kern w:val="0"/>
          <w:sz w:val="24"/>
          <w:szCs w:val="24"/>
        </w:rPr>
      </w:pPr>
      <w:r>
        <w:rPr>
          <w:rFonts w:hint="eastAsia" w:ascii="宋体" w:hAnsi="宋体" w:cs="宋体"/>
          <w:kern w:val="0"/>
          <w:sz w:val="24"/>
          <w:szCs w:val="24"/>
        </w:rPr>
        <w:t>2.2.3 投标报价的偏差率计算公式：见评标办法前附表；</w:t>
      </w:r>
    </w:p>
    <w:p>
      <w:pPr>
        <w:autoSpaceDE w:val="0"/>
        <w:autoSpaceDN w:val="0"/>
        <w:adjustRightInd w:val="0"/>
        <w:spacing w:before="7" w:line="360" w:lineRule="auto"/>
        <w:ind w:left="520" w:right="-20"/>
        <w:jc w:val="left"/>
        <w:rPr>
          <w:rFonts w:hint="eastAsia" w:ascii="宋体" w:hAnsi="宋体" w:cs="宋体"/>
          <w:kern w:val="0"/>
          <w:sz w:val="24"/>
          <w:szCs w:val="24"/>
        </w:rPr>
      </w:pPr>
      <w:r>
        <w:rPr>
          <w:rFonts w:hint="eastAsia" w:ascii="宋体" w:hAnsi="宋体" w:cs="宋体"/>
          <w:kern w:val="0"/>
          <w:sz w:val="24"/>
          <w:szCs w:val="24"/>
        </w:rPr>
        <w:t>2.2.4 评分标准</w:t>
      </w:r>
    </w:p>
    <w:p>
      <w:pPr>
        <w:autoSpaceDE w:val="0"/>
        <w:autoSpaceDN w:val="0"/>
        <w:adjustRightInd w:val="0"/>
        <w:spacing w:before="42" w:line="360" w:lineRule="auto"/>
        <w:ind w:left="520" w:right="-20"/>
        <w:jc w:val="left"/>
        <w:rPr>
          <w:rFonts w:hint="eastAsia" w:ascii="宋体" w:hAnsi="宋体" w:cs="宋体"/>
          <w:kern w:val="0"/>
          <w:sz w:val="24"/>
          <w:szCs w:val="24"/>
        </w:rPr>
      </w:pPr>
      <w:r>
        <w:rPr>
          <w:rFonts w:hint="eastAsia" w:ascii="宋体" w:hAnsi="宋体" w:cs="宋体"/>
          <w:kern w:val="0"/>
          <w:sz w:val="24"/>
          <w:szCs w:val="24"/>
        </w:rPr>
        <w:t>（1）商务评分标准：见评标办法前附表；</w:t>
      </w:r>
    </w:p>
    <w:p>
      <w:pPr>
        <w:autoSpaceDE w:val="0"/>
        <w:autoSpaceDN w:val="0"/>
        <w:adjustRightInd w:val="0"/>
        <w:spacing w:before="42" w:line="360" w:lineRule="auto"/>
        <w:ind w:left="520" w:right="-20"/>
        <w:jc w:val="left"/>
        <w:rPr>
          <w:rFonts w:hint="eastAsia" w:ascii="宋体" w:hAnsi="宋体" w:cs="宋体"/>
          <w:kern w:val="0"/>
          <w:sz w:val="24"/>
          <w:szCs w:val="24"/>
        </w:rPr>
      </w:pPr>
      <w:r>
        <w:rPr>
          <w:rFonts w:hint="eastAsia" w:ascii="宋体" w:hAnsi="宋体" w:cs="宋体"/>
          <w:kern w:val="0"/>
          <w:sz w:val="24"/>
          <w:szCs w:val="24"/>
        </w:rPr>
        <w:t>（2）技术评分标准：见评标办法前附表；</w:t>
      </w:r>
    </w:p>
    <w:p>
      <w:pPr>
        <w:autoSpaceDE w:val="0"/>
        <w:autoSpaceDN w:val="0"/>
        <w:adjustRightInd w:val="0"/>
        <w:spacing w:before="40" w:line="360" w:lineRule="auto"/>
        <w:ind w:left="520" w:right="-20"/>
        <w:jc w:val="left"/>
        <w:rPr>
          <w:rFonts w:hint="eastAsia" w:ascii="宋体" w:hAnsi="宋体" w:cs="宋体"/>
          <w:kern w:val="0"/>
          <w:sz w:val="24"/>
          <w:szCs w:val="24"/>
        </w:rPr>
      </w:pPr>
      <w:r>
        <w:rPr>
          <w:rFonts w:hint="eastAsia" w:ascii="宋体" w:hAnsi="宋体" w:cs="宋体"/>
          <w:kern w:val="0"/>
          <w:sz w:val="24"/>
          <w:szCs w:val="24"/>
        </w:rPr>
        <w:t>（3）投标报价评分标准：见评标办法前附表；</w:t>
      </w:r>
    </w:p>
    <w:p>
      <w:pPr>
        <w:autoSpaceDE w:val="0"/>
        <w:autoSpaceDN w:val="0"/>
        <w:adjustRightInd w:val="0"/>
        <w:spacing w:line="360" w:lineRule="auto"/>
        <w:ind w:left="55" w:right="7107"/>
        <w:jc w:val="center"/>
        <w:rPr>
          <w:rFonts w:hint="eastAsia" w:eastAsia="仿宋" w:cs="宋体"/>
          <w:b/>
          <w:bCs/>
          <w:kern w:val="0"/>
          <w:position w:val="-1"/>
          <w:sz w:val="22"/>
        </w:rPr>
      </w:pPr>
    </w:p>
    <w:p>
      <w:pPr>
        <w:autoSpaceDE w:val="0"/>
        <w:autoSpaceDN w:val="0"/>
        <w:adjustRightInd w:val="0"/>
        <w:spacing w:line="360" w:lineRule="auto"/>
        <w:ind w:left="100" w:right="-20"/>
        <w:jc w:val="left"/>
        <w:rPr>
          <w:rFonts w:hint="eastAsia" w:ascii="宋体" w:hAnsi="宋体" w:cs="宋体"/>
          <w:b/>
          <w:bCs/>
          <w:kern w:val="0"/>
          <w:sz w:val="32"/>
          <w:szCs w:val="32"/>
        </w:rPr>
      </w:pPr>
      <w:r>
        <w:rPr>
          <w:rFonts w:hint="eastAsia" w:ascii="宋体" w:hAnsi="宋体" w:cs="宋体"/>
          <w:b/>
          <w:bCs/>
          <w:kern w:val="0"/>
          <w:sz w:val="32"/>
          <w:szCs w:val="32"/>
        </w:rPr>
        <w:t>3. 评标程序</w:t>
      </w:r>
    </w:p>
    <w:p>
      <w:pPr>
        <w:autoSpaceDE w:val="0"/>
        <w:autoSpaceDN w:val="0"/>
        <w:adjustRightInd w:val="0"/>
        <w:spacing w:line="360" w:lineRule="auto"/>
        <w:ind w:right="7048"/>
        <w:rPr>
          <w:rFonts w:hint="eastAsia" w:ascii="宋体" w:hAnsi="宋体" w:cs="宋体"/>
          <w:kern w:val="0"/>
          <w:sz w:val="28"/>
          <w:szCs w:val="28"/>
        </w:rPr>
      </w:pPr>
      <w:r>
        <w:rPr>
          <w:rFonts w:hint="eastAsia" w:eastAsia="仿宋" w:cs="宋体"/>
          <w:kern w:val="0"/>
          <w:sz w:val="28"/>
          <w:szCs w:val="28"/>
        </w:rPr>
        <w:t xml:space="preserve">     </w:t>
      </w:r>
      <w:r>
        <w:rPr>
          <w:rFonts w:hint="eastAsia" w:ascii="宋体" w:hAnsi="宋体" w:cs="宋体"/>
          <w:kern w:val="0"/>
          <w:sz w:val="28"/>
          <w:szCs w:val="28"/>
        </w:rPr>
        <w:t>3.1 初步评审</w:t>
      </w:r>
    </w:p>
    <w:p>
      <w:pPr>
        <w:autoSpaceDE w:val="0"/>
        <w:autoSpaceDN w:val="0"/>
        <w:adjustRightInd w:val="0"/>
        <w:spacing w:line="360" w:lineRule="auto"/>
        <w:ind w:right="40" w:firstLine="360" w:firstLineChars="150"/>
        <w:jc w:val="left"/>
        <w:rPr>
          <w:rFonts w:hint="eastAsia" w:ascii="宋体" w:hAnsi="宋体" w:cs="宋体"/>
          <w:kern w:val="0"/>
          <w:sz w:val="24"/>
          <w:szCs w:val="24"/>
        </w:rPr>
      </w:pPr>
      <w:r>
        <w:rPr>
          <w:rFonts w:hint="eastAsia" w:ascii="宋体" w:hAnsi="宋体" w:cs="宋体"/>
          <w:kern w:val="0"/>
          <w:sz w:val="24"/>
          <w:szCs w:val="24"/>
        </w:rPr>
        <w:t>3.1.1 评标委员会可以要求投标人提交第二章“投标人须知”规的关证明和证件的原件，以便核验。评标委员会依据本章第2.1款规定的标对标文件进行初步评审。有一项不符合评审标准的，评标委员会应当否决其投标。</w:t>
      </w:r>
    </w:p>
    <w:p>
      <w:pPr>
        <w:autoSpaceDE w:val="0"/>
        <w:autoSpaceDN w:val="0"/>
        <w:adjustRightInd w:val="0"/>
        <w:spacing w:before="11" w:line="360" w:lineRule="auto"/>
        <w:ind w:left="520" w:right="-20"/>
        <w:jc w:val="left"/>
        <w:rPr>
          <w:rFonts w:hint="eastAsia" w:ascii="宋体" w:hAnsi="宋体" w:cs="宋体"/>
          <w:kern w:val="0"/>
          <w:sz w:val="24"/>
          <w:szCs w:val="24"/>
        </w:rPr>
      </w:pPr>
      <w:r>
        <w:rPr>
          <w:rFonts w:hint="eastAsia" w:ascii="宋体" w:hAnsi="宋体" w:cs="宋体"/>
          <w:kern w:val="0"/>
          <w:sz w:val="24"/>
          <w:szCs w:val="24"/>
        </w:rPr>
        <w:t>3.1.2 投标人有以下情形之一的，评标委员会应当否决其投标：</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（1）投标文件没有对招标文件的实质性要求和条件作出响应，或者对招标文件的偏差超出招标文件规定的偏差范围或最高项数；</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（2）有串通投标、弄虚假行贿等违法行为。</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3.1.3 投标报价有算术错误及其他错误的，评标委员会按以下原要投标人对投标报价进行修正，并要求投标人书面澄清确认。投标人拒不澄清确认的，评标委员会应当否决其投标：</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（1）投标文件中的大写金额与小写金额不一致的，以大写金额为准；</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（2）总价金额与单价金额不一致的，以单价金额为准，但单价金额小数点有明显错误的除外；</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（3）投标报价为各分项报价金额之和，投标报价与分项报价的合价不一致的，应以各分项合价累计数为准，修正投标报价.若算术性修正后的投标报价超过招标控制价，则该投标文件按废标处理。</w:t>
      </w:r>
    </w:p>
    <w:p>
      <w:pPr>
        <w:autoSpaceDE w:val="0"/>
        <w:autoSpaceDN w:val="0"/>
        <w:adjustRightInd w:val="0"/>
        <w:spacing w:before="40" w:line="360" w:lineRule="auto"/>
        <w:ind w:left="100" w:right="140" w:firstLine="420"/>
        <w:jc w:val="left"/>
        <w:rPr>
          <w:rFonts w:hint="eastAsia" w:eastAsia="仿宋" w:cs="宋体"/>
          <w:kern w:val="0"/>
          <w:sz w:val="22"/>
        </w:rPr>
      </w:pPr>
      <w:r>
        <w:rPr>
          <w:rFonts w:hint="eastAsia" w:ascii="宋体" w:hAnsi="宋体" w:cs="宋体"/>
          <w:kern w:val="0"/>
          <w:sz w:val="24"/>
          <w:szCs w:val="24"/>
        </w:rPr>
        <w:t>（4）如果分项报价中存在缺漏项，则视为缺漏项价格已包含在其他分项报价之中。</w:t>
      </w:r>
    </w:p>
    <w:p>
      <w:pPr>
        <w:autoSpaceDE w:val="0"/>
        <w:autoSpaceDN w:val="0"/>
        <w:adjustRightInd w:val="0"/>
        <w:spacing w:line="360" w:lineRule="auto"/>
        <w:ind w:right="7047" w:firstLine="495" w:firstLineChars="177"/>
        <w:jc w:val="left"/>
        <w:rPr>
          <w:rFonts w:hint="eastAsia" w:ascii="宋体" w:hAnsi="宋体" w:cs="宋体"/>
          <w:kern w:val="0"/>
          <w:sz w:val="28"/>
          <w:szCs w:val="28"/>
        </w:rPr>
      </w:pPr>
      <w:r>
        <w:rPr>
          <w:rFonts w:hint="eastAsia" w:ascii="宋体" w:hAnsi="宋体" w:cs="宋体"/>
          <w:kern w:val="0"/>
          <w:sz w:val="28"/>
          <w:szCs w:val="28"/>
        </w:rPr>
        <w:t>3.2 详细评审</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3.2.1 评标委员会按本章第 2.2 款规定的量化因素和分值进行打分，并计算出综合评估得分。</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（1）按本章第 2.2.4（1）目规定的评审因素和分值对商务部分计算出得分 A；</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（2）按本章第 2.2.4（2）目规定的评审因素和分值对技术部分计算出得分 B；</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（3）按本章第 2.2.4（3）目规定的评审因素和分值对投标报价计算出得分 C；</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3.2.2 评分分值计算保留小数点后两位，小数点后第三位“四舍五入”</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3.2.3 投标人得分=A+B+C。</w:t>
      </w:r>
    </w:p>
    <w:p>
      <w:pPr>
        <w:autoSpaceDE w:val="0"/>
        <w:autoSpaceDN w:val="0"/>
        <w:adjustRightInd w:val="0"/>
        <w:spacing w:before="40" w:line="360" w:lineRule="auto"/>
        <w:ind w:left="100" w:right="140" w:firstLine="420"/>
        <w:jc w:val="left"/>
        <w:rPr>
          <w:rFonts w:hint="eastAsia" w:eastAsia="仿宋" w:cs="宋体"/>
          <w:kern w:val="0"/>
          <w:szCs w:val="21"/>
        </w:rPr>
      </w:pPr>
      <w:r>
        <w:rPr>
          <w:rFonts w:hint="eastAsia" w:ascii="宋体" w:hAnsi="宋体" w:cs="宋体"/>
          <w:kern w:val="0"/>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决投标。</w:t>
      </w:r>
    </w:p>
    <w:p>
      <w:pPr>
        <w:autoSpaceDE w:val="0"/>
        <w:autoSpaceDN w:val="0"/>
        <w:adjustRightInd w:val="0"/>
        <w:spacing w:line="360" w:lineRule="auto"/>
        <w:ind w:right="-23" w:firstLine="473" w:firstLineChars="169"/>
        <w:jc w:val="left"/>
        <w:rPr>
          <w:rFonts w:hint="eastAsia" w:ascii="宋体" w:hAnsi="宋体" w:cs="宋体"/>
          <w:kern w:val="0"/>
          <w:sz w:val="28"/>
          <w:szCs w:val="28"/>
        </w:rPr>
      </w:pPr>
      <w:r>
        <w:rPr>
          <w:rFonts w:hint="eastAsia" w:ascii="宋体" w:hAnsi="宋体" w:cs="宋体"/>
          <w:kern w:val="0"/>
          <w:position w:val="-1"/>
          <w:sz w:val="28"/>
          <w:szCs w:val="28"/>
        </w:rPr>
        <w:t>3.3 投标文件的澄清</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3.3.2 澄清、说明或补正不得超出投标文件的范围且不得改变投标文件的实质性内容，并构成投标文件的组成部分。</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right="-23" w:firstLine="473" w:firstLineChars="169"/>
        <w:jc w:val="left"/>
        <w:rPr>
          <w:rFonts w:hint="eastAsia" w:ascii="宋体" w:hAnsi="宋体" w:cs="宋体"/>
          <w:kern w:val="0"/>
          <w:position w:val="-1"/>
          <w:sz w:val="28"/>
          <w:szCs w:val="28"/>
        </w:rPr>
      </w:pPr>
      <w:r>
        <w:rPr>
          <w:rFonts w:hint="eastAsia" w:ascii="宋体" w:hAnsi="宋体" w:cs="宋体"/>
          <w:kern w:val="0"/>
          <w:position w:val="-1"/>
          <w:sz w:val="28"/>
          <w:szCs w:val="28"/>
        </w:rPr>
        <w:t>3.4 评标结果</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3.4.1 除第二章“投标人须知”前附表授权直接确定中标人外，评标委员会按照得分由高到低的顺序推荐中标候选人，并标明排序。</w:t>
      </w:r>
    </w:p>
    <w:p>
      <w:pPr>
        <w:autoSpaceDE w:val="0"/>
        <w:autoSpaceDN w:val="0"/>
        <w:adjustRightInd w:val="0"/>
        <w:spacing w:before="40" w:line="360" w:lineRule="auto"/>
        <w:ind w:left="100" w:right="140" w:firstLine="420"/>
        <w:jc w:val="left"/>
        <w:rPr>
          <w:rFonts w:hint="eastAsia" w:ascii="宋体" w:hAnsi="宋体" w:cs="宋体"/>
          <w:kern w:val="0"/>
          <w:sz w:val="24"/>
          <w:szCs w:val="24"/>
        </w:rPr>
      </w:pPr>
      <w:r>
        <w:rPr>
          <w:rFonts w:hint="eastAsia" w:ascii="宋体" w:hAnsi="宋体" w:cs="宋体"/>
          <w:kern w:val="0"/>
          <w:sz w:val="24"/>
          <w:szCs w:val="24"/>
        </w:rPr>
        <w:t>3.4.2 评标委员会完成评标后，应当向招标人提交书面评标报告和中标候选人名单。</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rPr>
                              <w:lang w:val="en-US" w:eastAsia="zh-CN"/>
                            </w:rPr>
                            <w:t>113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encV45wEAALYD&#10;AAAOAAAAAAAAAAEAIAAAAB4BAABkcnMvZTJvRG9jLnhtbFBLBQYAAAAABgAGAFkBAAB3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val="en-US" w:eastAsia="zh-CN"/>
                      </w:rPr>
                      <w:t>113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EE3C1"/>
    <w:multiLevelType w:val="singleLevel"/>
    <w:tmpl w:val="62BEE3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81"/>
    <w:rsid w:val="00794081"/>
    <w:rsid w:val="00935A6D"/>
    <w:rsid w:val="00B931AB"/>
    <w:rsid w:val="7F25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4"/>
    <w:unhideWhenUsed/>
    <w:qFormat/>
    <w:uiPriority w:val="0"/>
    <w:pPr>
      <w:spacing w:after="120" w:line="480" w:lineRule="auto"/>
      <w:ind w:left="420" w:leftChars="200"/>
    </w:pPr>
  </w:style>
  <w:style w:type="paragraph" w:styleId="5">
    <w:name w:val="Body Text"/>
    <w:basedOn w:val="1"/>
    <w:next w:val="1"/>
    <w:link w:val="16"/>
    <w:qFormat/>
    <w:uiPriority w:val="0"/>
    <w:pPr>
      <w:spacing w:after="120"/>
    </w:pPr>
  </w:style>
  <w:style w:type="paragraph" w:styleId="6">
    <w:name w:val="Plain Text"/>
    <w:basedOn w:val="1"/>
    <w:link w:val="11"/>
    <w:qFormat/>
    <w:uiPriority w:val="0"/>
    <w:rPr>
      <w:rFonts w:ascii="宋体" w:hAnsi="Courier New"/>
      <w:kern w:val="0"/>
      <w:sz w:val="20"/>
      <w:szCs w:val="20"/>
    </w:rPr>
  </w:style>
  <w:style w:type="paragraph" w:styleId="7">
    <w:name w:val="footer"/>
    <w:basedOn w:val="1"/>
    <w:next w:val="1"/>
    <w:link w:val="12"/>
    <w:unhideWhenUsed/>
    <w:qFormat/>
    <w:uiPriority w:val="99"/>
    <w:pPr>
      <w:tabs>
        <w:tab w:val="center" w:pos="4153"/>
        <w:tab w:val="right" w:pos="8306"/>
      </w:tabs>
      <w:snapToGrid w:val="0"/>
      <w:jc w:val="left"/>
    </w:pPr>
    <w:rPr>
      <w:kern w:val="0"/>
      <w:sz w:val="18"/>
      <w:szCs w:val="18"/>
    </w:rPr>
  </w:style>
  <w:style w:type="character" w:customStyle="1" w:styleId="10">
    <w:name w:val="标题 1 字符"/>
    <w:basedOn w:val="9"/>
    <w:link w:val="3"/>
    <w:qFormat/>
    <w:uiPriority w:val="9"/>
    <w:rPr>
      <w:rFonts w:ascii="Times New Roman" w:hAnsi="Times New Roman" w:eastAsia="宋体" w:cs="Times New Roman"/>
      <w:b/>
      <w:bCs/>
      <w:kern w:val="44"/>
      <w:sz w:val="44"/>
      <w:szCs w:val="44"/>
    </w:rPr>
  </w:style>
  <w:style w:type="character" w:customStyle="1" w:styleId="11">
    <w:name w:val="纯文本 字符"/>
    <w:basedOn w:val="9"/>
    <w:link w:val="6"/>
    <w:qFormat/>
    <w:uiPriority w:val="0"/>
    <w:rPr>
      <w:rFonts w:ascii="宋体" w:hAnsi="Courier New" w:eastAsia="宋体" w:cs="Times New Roman"/>
      <w:kern w:val="0"/>
      <w:sz w:val="20"/>
      <w:szCs w:val="20"/>
    </w:rPr>
  </w:style>
  <w:style w:type="character" w:customStyle="1" w:styleId="12">
    <w:name w:val="页脚 字符"/>
    <w:basedOn w:val="9"/>
    <w:link w:val="7"/>
    <w:qFormat/>
    <w:uiPriority w:val="99"/>
    <w:rPr>
      <w:rFonts w:ascii="Times New Roman" w:hAnsi="Times New Roman" w:eastAsia="宋体" w:cs="Times New Roman"/>
      <w:kern w:val="0"/>
      <w:sz w:val="18"/>
      <w:szCs w:val="18"/>
    </w:rPr>
  </w:style>
  <w:style w:type="paragraph" w:styleId="13">
    <w:name w:val="List Paragraph"/>
    <w:basedOn w:val="1"/>
    <w:qFormat/>
    <w:uiPriority w:val="34"/>
    <w:pPr>
      <w:ind w:left="100" w:firstLine="420"/>
    </w:pPr>
  </w:style>
  <w:style w:type="character" w:customStyle="1" w:styleId="14">
    <w:name w:val="正文文本缩进 2 字符"/>
    <w:basedOn w:val="9"/>
    <w:link w:val="2"/>
    <w:qFormat/>
    <w:uiPriority w:val="99"/>
    <w:rPr>
      <w:rFonts w:ascii="Times New Roman" w:hAnsi="Times New Roman" w:eastAsia="宋体" w:cs="Times New Roman"/>
    </w:rPr>
  </w:style>
  <w:style w:type="character" w:customStyle="1" w:styleId="15">
    <w:name w:val="标题 3 字符"/>
    <w:basedOn w:val="9"/>
    <w:link w:val="4"/>
    <w:semiHidden/>
    <w:qFormat/>
    <w:uiPriority w:val="9"/>
    <w:rPr>
      <w:rFonts w:ascii="Times New Roman" w:hAnsi="Times New Roman" w:eastAsia="宋体" w:cs="Times New Roman"/>
      <w:b/>
      <w:bCs/>
      <w:sz w:val="32"/>
      <w:szCs w:val="32"/>
    </w:rPr>
  </w:style>
  <w:style w:type="character" w:customStyle="1" w:styleId="16">
    <w:name w:val="正文文本 字符"/>
    <w:basedOn w:val="9"/>
    <w:link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1551</Words>
  <Characters>8843</Characters>
  <Lines>73</Lines>
  <Paragraphs>20</Paragraphs>
  <TotalTime>0</TotalTime>
  <ScaleCrop>false</ScaleCrop>
  <LinksUpToDate>false</LinksUpToDate>
  <CharactersWithSpaces>10374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2021-09-08T02:48:00Z</dcterms:created>
  <dc:creator>liu muliang</dc:creator>
  <cp:lastModifiedBy>Administrator</cp:lastModifiedBy>
  <dcterms:modified xsi:type="dcterms:W3CDTF">2021-09-08T06:49:18Z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