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firstLineChars="0"/>
        <w:jc w:val="left"/>
        <w:rPr>
          <w:rFonts w:ascii="新罗马" w:hAnsi="宋体" w:eastAsia="新罗马"/>
        </w:rPr>
      </w:pPr>
      <w:bookmarkStart w:id="0" w:name="_Toc234832863"/>
      <w:bookmarkStart w:id="1" w:name="_Toc510015669"/>
      <w:r>
        <w:rPr>
          <w:rFonts w:hint="eastAsia" w:ascii="新罗马" w:hAnsi="宋体" w:eastAsia="新罗马"/>
          <w:sz w:val="36"/>
          <w:szCs w:val="36"/>
        </w:rPr>
        <w:t>附件：</w:t>
      </w:r>
    </w:p>
    <w:p>
      <w:pPr>
        <w:pStyle w:val="2"/>
        <w:ind w:firstLine="0" w:firstLineChars="0"/>
        <w:jc w:val="left"/>
        <w:rPr>
          <w:rFonts w:ascii="新罗马" w:eastAsia="新罗马"/>
          <w:sz w:val="36"/>
          <w:szCs w:val="36"/>
        </w:rPr>
      </w:pPr>
      <w:r>
        <w:rPr>
          <w:rFonts w:hint="eastAsia" w:ascii="新罗马" w:eastAsia="新罗马"/>
          <w:sz w:val="36"/>
          <w:szCs w:val="36"/>
        </w:rPr>
        <w:t>1、</w:t>
      </w:r>
      <w:bookmarkStart w:id="39" w:name="_GoBack"/>
      <w:r>
        <w:rPr>
          <w:rFonts w:hint="eastAsia" w:ascii="新罗马" w:eastAsia="新罗马"/>
          <w:sz w:val="36"/>
          <w:szCs w:val="36"/>
        </w:rPr>
        <w:t>投标人资格要求</w:t>
      </w:r>
    </w:p>
    <w:bookmarkEnd w:id="39"/>
    <w:p>
      <w:pPr>
        <w:keepNext/>
        <w:keepLines/>
        <w:spacing w:before="240" w:after="240" w:line="240" w:lineRule="atLeast"/>
        <w:ind w:firstLine="0" w:firstLineChars="0"/>
        <w:jc w:val="center"/>
        <w:outlineLvl w:val="0"/>
        <w:rPr>
          <w:rFonts w:ascii="宋体" w:hAnsi="宋体"/>
          <w:b/>
          <w:bCs/>
          <w:color w:val="auto"/>
          <w:kern w:val="44"/>
          <w:szCs w:val="44"/>
          <w:lang w:val="zh-CN"/>
        </w:rPr>
      </w:pPr>
      <w:r>
        <w:rPr>
          <w:rFonts w:hint="eastAsia" w:ascii="宋体" w:hAnsi="宋体"/>
          <w:b/>
          <w:bCs/>
          <w:color w:val="auto"/>
          <w:kern w:val="44"/>
          <w:sz w:val="28"/>
          <w:szCs w:val="28"/>
          <w:lang w:val="zh-CN"/>
        </w:rPr>
        <w:t>附录1  资格审查条件（资质最低要求）</w:t>
      </w:r>
      <w:bookmarkEnd w:id="0"/>
      <w:bookmarkEnd w:id="1"/>
    </w:p>
    <w:tbl>
      <w:tblPr>
        <w:tblStyle w:val="6"/>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7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000" w:type="pct"/>
            <w:gridSpan w:val="2"/>
            <w:vAlign w:val="center"/>
          </w:tcPr>
          <w:p>
            <w:pPr>
              <w:adjustRightInd w:val="0"/>
              <w:snapToGrid w:val="0"/>
              <w:spacing w:line="360" w:lineRule="atLeast"/>
              <w:ind w:firstLine="0" w:firstLineChars="0"/>
              <w:jc w:val="center"/>
              <w:rPr>
                <w:rFonts w:ascii="宋体" w:hAnsi="宋体"/>
                <w:b/>
                <w:color w:val="auto"/>
                <w:sz w:val="21"/>
                <w:szCs w:val="21"/>
              </w:rPr>
            </w:pPr>
            <w:r>
              <w:rPr>
                <w:rFonts w:hint="eastAsia" w:ascii="宋体" w:hAnsi="宋体"/>
                <w:b/>
                <w:color w:val="auto"/>
                <w:sz w:val="21"/>
                <w:szCs w:val="21"/>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87" w:type="pct"/>
            <w:vAlign w:val="center"/>
          </w:tcPr>
          <w:p>
            <w:pPr>
              <w:adjustRightInd w:val="0"/>
              <w:snapToGrid w:val="0"/>
              <w:spacing w:line="360" w:lineRule="atLeast"/>
              <w:ind w:firstLine="0" w:firstLineChars="0"/>
              <w:jc w:val="center"/>
              <w:rPr>
                <w:rFonts w:ascii="宋体" w:hAnsi="宋体"/>
                <w:color w:val="auto"/>
                <w:sz w:val="21"/>
                <w:szCs w:val="21"/>
              </w:rPr>
            </w:pPr>
            <w:r>
              <w:rPr>
                <w:rFonts w:hint="eastAsia" w:ascii="宋体" w:hAnsi="宋体"/>
                <w:color w:val="auto"/>
                <w:sz w:val="21"/>
                <w:szCs w:val="21"/>
              </w:rPr>
              <w:t>SYS-1、SYS-2、SYS-3标段</w:t>
            </w:r>
          </w:p>
        </w:tc>
        <w:tc>
          <w:tcPr>
            <w:tcW w:w="4113" w:type="pct"/>
            <w:vAlign w:val="center"/>
          </w:tcPr>
          <w:p>
            <w:pPr>
              <w:adjustRightInd w:val="0"/>
              <w:snapToGrid w:val="0"/>
              <w:spacing w:line="360" w:lineRule="atLeast"/>
              <w:ind w:firstLine="0" w:firstLineChars="0"/>
              <w:rPr>
                <w:rFonts w:ascii="宋体" w:hAnsi="宋体"/>
                <w:color w:val="auto"/>
                <w:sz w:val="21"/>
                <w:szCs w:val="21"/>
              </w:rPr>
            </w:pPr>
            <w:r>
              <w:rPr>
                <w:rFonts w:hint="eastAsia" w:ascii="宋体" w:hAnsi="宋体"/>
                <w:color w:val="auto"/>
                <w:sz w:val="21"/>
                <w:szCs w:val="21"/>
              </w:rPr>
              <w:t>1. 持有市场监督管理部门核发的企业法人营业执照或事业单位法人资格证书；</w:t>
            </w:r>
          </w:p>
          <w:p>
            <w:pPr>
              <w:adjustRightInd w:val="0"/>
              <w:snapToGrid w:val="0"/>
              <w:spacing w:line="360" w:lineRule="atLeast"/>
              <w:ind w:firstLine="0" w:firstLineChars="0"/>
              <w:rPr>
                <w:rFonts w:ascii="宋体" w:hAnsi="宋体"/>
                <w:color w:val="auto"/>
                <w:sz w:val="21"/>
                <w:szCs w:val="21"/>
              </w:rPr>
            </w:pPr>
            <w:r>
              <w:rPr>
                <w:rFonts w:hint="eastAsia" w:ascii="宋体" w:hAnsi="宋体"/>
                <w:color w:val="auto"/>
                <w:sz w:val="21"/>
                <w:szCs w:val="21"/>
              </w:rPr>
              <w:t>2. 具有交通运输部核发的公路工程试验检测机构综合甲级资质（核发《等级证书》时间应在2017年8月2日之后），或交通运输部核发的公路工程试验检测机构综合甲级（核发《等级证书》时间应在2017年8月2日之前）和桥梁隧道工程专项资质；</w:t>
            </w:r>
          </w:p>
          <w:p>
            <w:pPr>
              <w:adjustRightInd w:val="0"/>
              <w:snapToGrid w:val="0"/>
              <w:spacing w:line="360" w:lineRule="atLeast"/>
              <w:ind w:firstLine="0" w:firstLineChars="0"/>
              <w:rPr>
                <w:rFonts w:ascii="宋体" w:hAnsi="宋体"/>
                <w:color w:val="auto"/>
                <w:sz w:val="21"/>
                <w:szCs w:val="21"/>
              </w:rPr>
            </w:pPr>
            <w:r>
              <w:rPr>
                <w:rFonts w:hint="eastAsia" w:ascii="宋体" w:hAnsi="宋体"/>
                <w:color w:val="auto"/>
                <w:sz w:val="21"/>
                <w:szCs w:val="21"/>
              </w:rPr>
              <w:t>3. 取得计量行政部门颁发的计量认证证书（CMA），证书附表参数应覆盖中心试验室检测服务参数内容。</w:t>
            </w:r>
          </w:p>
        </w:tc>
      </w:tr>
    </w:tbl>
    <w:p>
      <w:pPr>
        <w:adjustRightInd w:val="0"/>
        <w:snapToGrid w:val="0"/>
        <w:spacing w:line="300" w:lineRule="exact"/>
        <w:ind w:firstLine="0" w:firstLineChars="0"/>
        <w:jc w:val="both"/>
        <w:rPr>
          <w:rFonts w:ascii="宋体" w:hAnsi="宋体"/>
          <w:b/>
          <w:color w:val="auto"/>
          <w:sz w:val="32"/>
        </w:rPr>
      </w:pPr>
    </w:p>
    <w:p>
      <w:pPr>
        <w:keepNext/>
        <w:keepLines/>
        <w:spacing w:before="240" w:after="240" w:line="240" w:lineRule="atLeast"/>
        <w:ind w:firstLine="0" w:firstLineChars="0"/>
        <w:jc w:val="center"/>
        <w:outlineLvl w:val="0"/>
        <w:rPr>
          <w:rFonts w:ascii="宋体" w:hAnsi="宋体"/>
          <w:b/>
          <w:bCs/>
          <w:color w:val="auto"/>
          <w:kern w:val="44"/>
          <w:sz w:val="28"/>
          <w:szCs w:val="28"/>
          <w:lang w:val="zh-CN"/>
        </w:rPr>
      </w:pPr>
      <w:bookmarkStart w:id="2" w:name="_Toc510015670"/>
      <w:bookmarkStart w:id="3" w:name="_Toc234832865"/>
      <w:r>
        <w:rPr>
          <w:rFonts w:hint="eastAsia" w:ascii="宋体" w:hAnsi="宋体"/>
          <w:b/>
          <w:bCs/>
          <w:color w:val="auto"/>
          <w:kern w:val="44"/>
          <w:sz w:val="28"/>
          <w:szCs w:val="28"/>
          <w:lang w:val="zh-CN"/>
        </w:rPr>
        <w:t>附录2  资格审查条件（业绩最低要求）</w:t>
      </w:r>
      <w:bookmarkEnd w:id="2"/>
      <w:bookmarkEnd w:id="3"/>
    </w:p>
    <w:tbl>
      <w:tblPr>
        <w:tblStyle w:val="6"/>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7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000" w:type="pct"/>
            <w:gridSpan w:val="2"/>
            <w:vAlign w:val="center"/>
          </w:tcPr>
          <w:p>
            <w:pPr>
              <w:adjustRightInd w:val="0"/>
              <w:snapToGrid w:val="0"/>
              <w:spacing w:line="360" w:lineRule="atLeast"/>
              <w:ind w:firstLine="0" w:firstLineChars="0"/>
              <w:jc w:val="center"/>
              <w:rPr>
                <w:rFonts w:ascii="宋体" w:hAnsi="宋体"/>
                <w:b/>
                <w:color w:val="auto"/>
                <w:sz w:val="21"/>
                <w:szCs w:val="21"/>
              </w:rPr>
            </w:pPr>
            <w:r>
              <w:rPr>
                <w:rFonts w:hint="eastAsia" w:ascii="宋体" w:hAnsi="宋体"/>
                <w:b/>
                <w:color w:val="auto"/>
                <w:sz w:val="21"/>
                <w:szCs w:val="21"/>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87" w:type="pct"/>
            <w:vAlign w:val="center"/>
          </w:tcPr>
          <w:p>
            <w:pPr>
              <w:adjustRightInd w:val="0"/>
              <w:snapToGrid w:val="0"/>
              <w:spacing w:line="360" w:lineRule="atLeast"/>
              <w:ind w:firstLine="0" w:firstLineChars="0"/>
              <w:jc w:val="center"/>
              <w:rPr>
                <w:rFonts w:ascii="宋体" w:hAnsi="宋体"/>
                <w:color w:val="auto"/>
                <w:sz w:val="21"/>
                <w:szCs w:val="21"/>
              </w:rPr>
            </w:pPr>
            <w:r>
              <w:rPr>
                <w:rFonts w:hint="eastAsia" w:ascii="宋体" w:hAnsi="宋体"/>
                <w:color w:val="auto"/>
                <w:sz w:val="21"/>
                <w:szCs w:val="21"/>
              </w:rPr>
              <w:t>SYS-1、SYS-2、SYS-3标段</w:t>
            </w:r>
          </w:p>
        </w:tc>
        <w:tc>
          <w:tcPr>
            <w:tcW w:w="4113" w:type="pct"/>
            <w:vAlign w:val="center"/>
          </w:tcPr>
          <w:p>
            <w:pPr>
              <w:adjustRightInd w:val="0"/>
              <w:snapToGrid w:val="0"/>
              <w:spacing w:line="400" w:lineRule="atLeast"/>
              <w:ind w:firstLine="0" w:firstLineChars="0"/>
              <w:jc w:val="center"/>
              <w:rPr>
                <w:rFonts w:ascii="宋体" w:hAnsi="宋体"/>
                <w:color w:val="auto"/>
                <w:sz w:val="21"/>
                <w:szCs w:val="21"/>
              </w:rPr>
            </w:pPr>
            <w:r>
              <w:rPr>
                <w:rFonts w:hint="eastAsia" w:ascii="宋体" w:hAnsi="宋体"/>
                <w:color w:val="auto"/>
                <w:sz w:val="21"/>
                <w:szCs w:val="21"/>
              </w:rPr>
              <w:t>无</w:t>
            </w:r>
          </w:p>
        </w:tc>
      </w:tr>
    </w:tbl>
    <w:p>
      <w:pPr>
        <w:adjustRightInd w:val="0"/>
        <w:snapToGrid w:val="0"/>
        <w:spacing w:line="300" w:lineRule="exact"/>
        <w:ind w:firstLine="0" w:firstLineChars="0"/>
        <w:jc w:val="both"/>
        <w:rPr>
          <w:rFonts w:ascii="宋体" w:hAnsi="宋体"/>
          <w:b/>
          <w:color w:val="auto"/>
          <w:sz w:val="32"/>
        </w:rPr>
      </w:pPr>
    </w:p>
    <w:p>
      <w:pPr>
        <w:keepNext/>
        <w:keepLines/>
        <w:spacing w:before="240" w:after="240" w:line="240" w:lineRule="atLeast"/>
        <w:ind w:firstLine="0" w:firstLineChars="0"/>
        <w:jc w:val="center"/>
        <w:outlineLvl w:val="0"/>
        <w:rPr>
          <w:rFonts w:ascii="宋体" w:hAnsi="宋体"/>
          <w:b/>
          <w:bCs/>
          <w:color w:val="auto"/>
          <w:kern w:val="44"/>
          <w:sz w:val="28"/>
          <w:szCs w:val="28"/>
          <w:lang w:val="zh-CN"/>
        </w:rPr>
      </w:pPr>
      <w:bookmarkStart w:id="4" w:name="_Toc234832866"/>
      <w:bookmarkStart w:id="5" w:name="_Toc510015671"/>
      <w:r>
        <w:rPr>
          <w:rFonts w:hint="eastAsia" w:ascii="宋体" w:hAnsi="宋体"/>
          <w:b/>
          <w:bCs/>
          <w:color w:val="auto"/>
          <w:kern w:val="44"/>
          <w:sz w:val="28"/>
          <w:szCs w:val="28"/>
          <w:lang w:val="zh-CN"/>
        </w:rPr>
        <w:t>附录3  资格审查条件（信誉最低要求）</w:t>
      </w:r>
      <w:bookmarkEnd w:id="4"/>
      <w:bookmarkEnd w:id="5"/>
    </w:p>
    <w:tbl>
      <w:tblPr>
        <w:tblStyle w:val="6"/>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7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5000" w:type="pct"/>
            <w:gridSpan w:val="2"/>
            <w:vAlign w:val="center"/>
          </w:tcPr>
          <w:p>
            <w:pPr>
              <w:adjustRightInd w:val="0"/>
              <w:snapToGrid w:val="0"/>
              <w:spacing w:line="400" w:lineRule="atLeast"/>
              <w:ind w:firstLine="0" w:firstLineChars="0"/>
              <w:jc w:val="center"/>
              <w:rPr>
                <w:rFonts w:ascii="宋体" w:hAnsi="宋体"/>
                <w:b/>
                <w:color w:val="auto"/>
                <w:sz w:val="21"/>
                <w:szCs w:val="21"/>
              </w:rPr>
            </w:pPr>
            <w:r>
              <w:rPr>
                <w:rFonts w:hint="eastAsia" w:ascii="宋体" w:hAnsi="宋体"/>
                <w:b/>
                <w:color w:val="auto"/>
                <w:sz w:val="21"/>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887" w:type="pct"/>
            <w:vAlign w:val="center"/>
          </w:tcPr>
          <w:p>
            <w:pPr>
              <w:adjustRightInd w:val="0"/>
              <w:snapToGrid w:val="0"/>
              <w:spacing w:line="360" w:lineRule="atLeast"/>
              <w:ind w:firstLine="0" w:firstLineChars="0"/>
              <w:jc w:val="center"/>
              <w:rPr>
                <w:rFonts w:ascii="宋体" w:hAnsi="宋体"/>
                <w:color w:val="auto"/>
                <w:sz w:val="21"/>
                <w:szCs w:val="21"/>
              </w:rPr>
            </w:pPr>
            <w:r>
              <w:rPr>
                <w:rFonts w:hint="eastAsia" w:ascii="宋体" w:hAnsi="宋体"/>
                <w:color w:val="auto"/>
                <w:sz w:val="21"/>
                <w:szCs w:val="21"/>
              </w:rPr>
              <w:t>SYS-1、SYS-2、SYS-3标段</w:t>
            </w:r>
          </w:p>
        </w:tc>
        <w:tc>
          <w:tcPr>
            <w:tcW w:w="4113" w:type="pct"/>
            <w:vAlign w:val="center"/>
          </w:tcPr>
          <w:p>
            <w:pPr>
              <w:adjustRightInd w:val="0"/>
              <w:snapToGrid w:val="0"/>
              <w:spacing w:line="360" w:lineRule="atLeast"/>
              <w:ind w:firstLine="0" w:firstLineChars="0"/>
              <w:rPr>
                <w:rFonts w:ascii="宋体" w:hAnsi="宋体"/>
                <w:color w:val="auto"/>
                <w:sz w:val="21"/>
                <w:szCs w:val="21"/>
              </w:rPr>
            </w:pPr>
            <w:r>
              <w:rPr>
                <w:rFonts w:hint="eastAsia" w:ascii="宋体" w:hAnsi="宋体"/>
                <w:color w:val="auto"/>
                <w:sz w:val="21"/>
                <w:szCs w:val="21"/>
              </w:rPr>
              <w:t>1．在“公路水运工程试验检测管理信息系统”中最近年度的信用评价等级（公路工程专业）为C级及以上。</w:t>
            </w:r>
          </w:p>
          <w:p>
            <w:pPr>
              <w:adjustRightInd w:val="0"/>
              <w:snapToGrid w:val="0"/>
              <w:spacing w:line="360" w:lineRule="atLeast"/>
              <w:ind w:firstLine="0" w:firstLineChars="0"/>
              <w:rPr>
                <w:rFonts w:ascii="宋体" w:hAnsi="宋体"/>
                <w:color w:val="auto"/>
                <w:sz w:val="21"/>
                <w:szCs w:val="21"/>
              </w:rPr>
            </w:pPr>
            <w:r>
              <w:rPr>
                <w:rFonts w:hint="eastAsia" w:ascii="宋体" w:hAnsi="宋体"/>
                <w:color w:val="auto"/>
                <w:sz w:val="21"/>
                <w:szCs w:val="21"/>
              </w:rPr>
              <w:t>2．投标人没有正受到责令停产、停业的行政处罚或正处于财务被接管、冻结、破产的状态；投标人没有涉及正在诉讼的案件，或涉及正在诉讼的案件（请详述具体情况）但经评标委员会认定不会对承担本项目造成重大影响；</w:t>
            </w:r>
          </w:p>
          <w:p>
            <w:pPr>
              <w:adjustRightInd w:val="0"/>
              <w:snapToGrid w:val="0"/>
              <w:spacing w:line="360" w:lineRule="atLeast"/>
              <w:ind w:firstLine="0" w:firstLineChars="0"/>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 xml:space="preserve"> </w:t>
            </w:r>
            <w:r>
              <w:rPr>
                <w:rFonts w:hint="eastAsia" w:ascii="宋体" w:hAnsi="宋体"/>
                <w:color w:val="auto"/>
                <w:sz w:val="21"/>
                <w:szCs w:val="21"/>
              </w:rPr>
              <w:t>在“信用中国”网站（http://www.creditchina.gov.cn/）中被列入失信被执行人名单的投标人，不得参加投标；在国家企业信用信息公示系统（http://www.gsxt.gov.cn/）中被列入严重违法失信企业名单的投标人，不得参加投标。</w:t>
            </w:r>
          </w:p>
        </w:tc>
      </w:tr>
    </w:tbl>
    <w:p>
      <w:pPr>
        <w:keepNext/>
        <w:keepLines/>
        <w:spacing w:before="240" w:after="240" w:line="240" w:lineRule="atLeast"/>
        <w:ind w:firstLine="0" w:firstLineChars="0"/>
        <w:jc w:val="center"/>
        <w:outlineLvl w:val="0"/>
        <w:rPr>
          <w:rFonts w:ascii="宋体" w:hAnsi="宋体"/>
          <w:b/>
          <w:bCs/>
          <w:color w:val="auto"/>
          <w:kern w:val="44"/>
          <w:sz w:val="28"/>
          <w:szCs w:val="28"/>
          <w:lang w:val="zh-CN"/>
        </w:rPr>
        <w:sectPr>
          <w:footerReference r:id="rId6" w:type="default"/>
          <w:headerReference r:id="rId5" w:type="even"/>
          <w:footerReference r:id="rId7" w:type="even"/>
          <w:footnotePr>
            <w:numFmt w:val="decimalEnclosedCircleChinese"/>
            <w:numRestart w:val="eachPage"/>
          </w:footnotePr>
          <w:pgSz w:w="11907" w:h="16840"/>
          <w:pgMar w:top="1418" w:right="1418" w:bottom="1418" w:left="1531" w:header="851" w:footer="851" w:gutter="0"/>
          <w:cols w:space="425" w:num="1"/>
          <w:docGrid w:linePitch="312" w:charSpace="0"/>
        </w:sectPr>
      </w:pPr>
      <w:bookmarkStart w:id="6" w:name="_Toc234832867"/>
      <w:bookmarkStart w:id="7" w:name="_Toc510015672"/>
    </w:p>
    <w:p>
      <w:pPr>
        <w:keepNext/>
        <w:keepLines/>
        <w:spacing w:before="240" w:after="240" w:line="240" w:lineRule="atLeast"/>
        <w:ind w:firstLine="0" w:firstLineChars="0"/>
        <w:jc w:val="center"/>
        <w:outlineLvl w:val="0"/>
        <w:rPr>
          <w:rFonts w:ascii="宋体" w:hAnsi="宋体"/>
          <w:b/>
          <w:bCs/>
          <w:color w:val="auto"/>
          <w:kern w:val="44"/>
          <w:sz w:val="28"/>
          <w:szCs w:val="28"/>
          <w:lang w:val="zh-CN"/>
        </w:rPr>
      </w:pPr>
      <w:r>
        <w:rPr>
          <w:rFonts w:hint="eastAsia" w:ascii="宋体" w:hAnsi="宋体"/>
          <w:b/>
          <w:bCs/>
          <w:color w:val="auto"/>
          <w:kern w:val="44"/>
          <w:sz w:val="28"/>
          <w:szCs w:val="28"/>
          <w:lang w:val="zh-CN"/>
        </w:rPr>
        <w:t>附录4  资格审查条件（中心试验室负责人最低要求）</w:t>
      </w:r>
      <w:bookmarkEnd w:id="6"/>
      <w:bookmarkEnd w:id="7"/>
    </w:p>
    <w:p>
      <w:pPr>
        <w:spacing w:line="240" w:lineRule="auto"/>
        <w:ind w:firstLine="0" w:firstLineChars="0"/>
        <w:jc w:val="center"/>
        <w:rPr>
          <w:rFonts w:ascii="宋体" w:hAnsi="宋体"/>
          <w:color w:val="auto"/>
          <w:lang w:val="zh-CN"/>
        </w:rPr>
      </w:pPr>
    </w:p>
    <w:tbl>
      <w:tblPr>
        <w:tblStyle w:val="6"/>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57"/>
        <w:gridCol w:w="1058"/>
        <w:gridCol w:w="662"/>
        <w:gridCol w:w="2386"/>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6" w:hRule="atLeast"/>
          <w:jc w:val="center"/>
        </w:trPr>
        <w:tc>
          <w:tcPr>
            <w:tcW w:w="635" w:type="pct"/>
            <w:vAlign w:val="center"/>
          </w:tcPr>
          <w:p>
            <w:pPr>
              <w:adjustRightInd w:val="0"/>
              <w:snapToGrid w:val="0"/>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标段</w:t>
            </w:r>
          </w:p>
        </w:tc>
        <w:tc>
          <w:tcPr>
            <w:tcW w:w="636" w:type="pct"/>
            <w:vAlign w:val="center"/>
          </w:tcPr>
          <w:p>
            <w:pPr>
              <w:adjustRightInd w:val="0"/>
              <w:snapToGrid w:val="0"/>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人  员</w:t>
            </w:r>
          </w:p>
        </w:tc>
        <w:tc>
          <w:tcPr>
            <w:tcW w:w="398" w:type="pct"/>
            <w:vAlign w:val="center"/>
          </w:tcPr>
          <w:p>
            <w:pPr>
              <w:adjustRightInd w:val="0"/>
              <w:snapToGrid w:val="0"/>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数  量</w:t>
            </w:r>
          </w:p>
        </w:tc>
        <w:tc>
          <w:tcPr>
            <w:tcW w:w="1434" w:type="pct"/>
            <w:vAlign w:val="center"/>
          </w:tcPr>
          <w:p>
            <w:pPr>
              <w:adjustRightInd w:val="0"/>
              <w:snapToGrid w:val="0"/>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资 格 要 求</w:t>
            </w:r>
          </w:p>
        </w:tc>
        <w:tc>
          <w:tcPr>
            <w:tcW w:w="1897" w:type="pct"/>
            <w:vAlign w:val="center"/>
          </w:tcPr>
          <w:p>
            <w:pPr>
              <w:adjustRightInd w:val="0"/>
              <w:snapToGrid w:val="0"/>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33" w:hRule="atLeast"/>
          <w:jc w:val="center"/>
        </w:trPr>
        <w:tc>
          <w:tcPr>
            <w:tcW w:w="635" w:type="pct"/>
            <w:vAlign w:val="center"/>
          </w:tcPr>
          <w:p>
            <w:pPr>
              <w:adjustRightInd w:val="0"/>
              <w:snapToGrid w:val="0"/>
              <w:spacing w:line="360" w:lineRule="exact"/>
              <w:ind w:firstLine="0" w:firstLineChars="0"/>
              <w:jc w:val="center"/>
              <w:rPr>
                <w:rFonts w:ascii="宋体" w:hAnsi="宋体"/>
                <w:color w:val="auto"/>
                <w:sz w:val="21"/>
                <w:szCs w:val="21"/>
              </w:rPr>
            </w:pPr>
            <w:r>
              <w:rPr>
                <w:rFonts w:hint="eastAsia" w:ascii="宋体" w:hAnsi="宋体"/>
                <w:color w:val="auto"/>
                <w:sz w:val="21"/>
                <w:szCs w:val="21"/>
              </w:rPr>
              <w:t>SYS-1、SYS-2、SYS-3标段</w:t>
            </w:r>
          </w:p>
        </w:tc>
        <w:tc>
          <w:tcPr>
            <w:tcW w:w="636" w:type="pc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中心试验室负责人</w:t>
            </w:r>
          </w:p>
        </w:tc>
        <w:tc>
          <w:tcPr>
            <w:tcW w:w="398" w:type="pct"/>
            <w:vAlign w:val="center"/>
          </w:tcPr>
          <w:p>
            <w:pPr>
              <w:adjustRightInd w:val="0"/>
              <w:snapToGrid w:val="0"/>
              <w:spacing w:line="360" w:lineRule="exact"/>
              <w:ind w:firstLine="0" w:firstLineChars="0"/>
              <w:jc w:val="center"/>
              <w:rPr>
                <w:rFonts w:ascii="宋体" w:hAnsi="宋体"/>
                <w:color w:val="auto"/>
                <w:sz w:val="21"/>
                <w:szCs w:val="21"/>
              </w:rPr>
            </w:pPr>
            <w:r>
              <w:rPr>
                <w:rFonts w:hint="eastAsia" w:ascii="宋体" w:hAnsi="宋体"/>
                <w:color w:val="auto"/>
                <w:sz w:val="21"/>
                <w:szCs w:val="21"/>
              </w:rPr>
              <w:t>1</w:t>
            </w:r>
          </w:p>
        </w:tc>
        <w:tc>
          <w:tcPr>
            <w:tcW w:w="1434" w:type="pct"/>
            <w:vAlign w:val="center"/>
          </w:tcPr>
          <w:p>
            <w:pPr>
              <w:adjustRightInd w:val="0"/>
              <w:snapToGrid w:val="0"/>
              <w:spacing w:line="360" w:lineRule="exact"/>
              <w:ind w:firstLine="0" w:firstLineChars="0"/>
              <w:jc w:val="both"/>
              <w:rPr>
                <w:rFonts w:ascii="宋体" w:hAnsi="宋体"/>
                <w:color w:val="auto"/>
                <w:sz w:val="21"/>
                <w:szCs w:val="21"/>
              </w:rPr>
            </w:pPr>
            <w:r>
              <w:rPr>
                <w:rFonts w:hint="eastAsia" w:ascii="宋体" w:hAnsi="宋体"/>
                <w:color w:val="auto"/>
                <w:sz w:val="21"/>
                <w:szCs w:val="21"/>
              </w:rPr>
              <w:t>持有已在投标人处进行岗位登记，交通运输部颁发的试验检测工程师证书或公路水运工程试验检测师证书，高级及以上技术职称</w:t>
            </w:r>
          </w:p>
        </w:tc>
        <w:tc>
          <w:tcPr>
            <w:tcW w:w="1897" w:type="pct"/>
            <w:vAlign w:val="center"/>
          </w:tcPr>
          <w:p>
            <w:pPr>
              <w:adjustRightInd w:val="0"/>
              <w:snapToGrid w:val="0"/>
              <w:spacing w:line="360" w:lineRule="exact"/>
              <w:ind w:firstLine="0" w:firstLineChars="0"/>
              <w:jc w:val="both"/>
              <w:rPr>
                <w:rFonts w:ascii="宋体" w:hAnsi="宋体"/>
                <w:color w:val="auto"/>
                <w:sz w:val="21"/>
                <w:szCs w:val="21"/>
              </w:rPr>
            </w:pPr>
            <w:r>
              <w:rPr>
                <w:rFonts w:hint="eastAsia" w:ascii="宋体" w:hAnsi="宋体"/>
                <w:color w:val="auto"/>
                <w:sz w:val="21"/>
                <w:szCs w:val="21"/>
              </w:rPr>
              <w:t>在岗状态按以下标准进行分类：</w:t>
            </w:r>
          </w:p>
          <w:p>
            <w:pPr>
              <w:adjustRightInd w:val="0"/>
              <w:snapToGrid w:val="0"/>
              <w:spacing w:line="360" w:lineRule="exact"/>
              <w:ind w:firstLine="0" w:firstLineChars="0"/>
              <w:jc w:val="both"/>
              <w:rPr>
                <w:rFonts w:ascii="宋体" w:hAnsi="宋体"/>
                <w:color w:val="auto"/>
                <w:sz w:val="21"/>
                <w:szCs w:val="21"/>
              </w:rPr>
            </w:pPr>
            <w:r>
              <w:rPr>
                <w:rFonts w:hint="eastAsia" w:ascii="宋体" w:hAnsi="宋体"/>
                <w:color w:val="auto"/>
                <w:sz w:val="21"/>
                <w:szCs w:val="21"/>
              </w:rPr>
              <w:t>a. 未在任何在建项目上任职；</w:t>
            </w:r>
          </w:p>
          <w:p>
            <w:pPr>
              <w:adjustRightInd w:val="0"/>
              <w:snapToGrid w:val="0"/>
              <w:spacing w:line="360" w:lineRule="exact"/>
              <w:ind w:firstLine="0" w:firstLineChars="0"/>
              <w:jc w:val="both"/>
              <w:rPr>
                <w:rFonts w:ascii="宋体" w:hAnsi="宋体"/>
                <w:color w:val="auto"/>
                <w:sz w:val="21"/>
                <w:szCs w:val="21"/>
              </w:rPr>
            </w:pPr>
            <w:r>
              <w:rPr>
                <w:rFonts w:hint="eastAsia" w:ascii="宋体" w:hAnsi="宋体"/>
                <w:color w:val="auto"/>
                <w:sz w:val="21"/>
                <w:szCs w:val="21"/>
              </w:rPr>
              <w:t>b. 在在建项目上任主要职务，但该项目即将完工，可确保本项目中标后到位；</w:t>
            </w:r>
          </w:p>
          <w:p>
            <w:pPr>
              <w:adjustRightInd w:val="0"/>
              <w:snapToGrid w:val="0"/>
              <w:spacing w:line="360" w:lineRule="exact"/>
              <w:ind w:firstLine="0" w:firstLineChars="0"/>
              <w:jc w:val="both"/>
              <w:rPr>
                <w:rFonts w:ascii="宋体" w:hAnsi="宋体"/>
                <w:color w:val="auto"/>
                <w:sz w:val="21"/>
                <w:szCs w:val="21"/>
              </w:rPr>
            </w:pPr>
            <w:r>
              <w:rPr>
                <w:rFonts w:hint="eastAsia" w:ascii="宋体" w:hAnsi="宋体"/>
                <w:color w:val="auto"/>
                <w:sz w:val="21"/>
                <w:szCs w:val="21"/>
              </w:rPr>
              <w:t>c. 在在建项目上任一般职务，可随时调任本项目；</w:t>
            </w:r>
          </w:p>
          <w:p>
            <w:pPr>
              <w:adjustRightInd w:val="0"/>
              <w:snapToGrid w:val="0"/>
              <w:spacing w:line="360" w:lineRule="exact"/>
              <w:ind w:firstLine="0" w:firstLineChars="0"/>
              <w:jc w:val="both"/>
              <w:rPr>
                <w:rFonts w:ascii="宋体" w:hAnsi="宋体"/>
                <w:color w:val="auto"/>
                <w:sz w:val="21"/>
                <w:szCs w:val="21"/>
              </w:rPr>
            </w:pPr>
            <w:r>
              <w:rPr>
                <w:rFonts w:hint="eastAsia" w:ascii="宋体" w:hAnsi="宋体"/>
                <w:color w:val="auto"/>
                <w:sz w:val="21"/>
                <w:szCs w:val="21"/>
              </w:rPr>
              <w:t>d. 在其它投标项目上作为拟派人员，但仅任一般职务，若其先行中标，则随时调任本项目；</w:t>
            </w:r>
          </w:p>
          <w:p>
            <w:pPr>
              <w:adjustRightInd w:val="0"/>
              <w:snapToGrid w:val="0"/>
              <w:spacing w:line="360" w:lineRule="exact"/>
              <w:ind w:firstLine="0" w:firstLineChars="0"/>
              <w:jc w:val="both"/>
              <w:rPr>
                <w:rFonts w:ascii="宋体" w:hAnsi="宋体"/>
                <w:color w:val="auto"/>
                <w:sz w:val="21"/>
                <w:szCs w:val="21"/>
              </w:rPr>
            </w:pPr>
            <w:r>
              <w:rPr>
                <w:rFonts w:hint="eastAsia" w:ascii="宋体" w:hAnsi="宋体"/>
                <w:color w:val="auto"/>
                <w:sz w:val="21"/>
                <w:szCs w:val="21"/>
              </w:rPr>
              <w:t>e. 在其它投标项目上作为拟派人员，担任主要职务，若其先行中标，则放弃本项目中标资格；</w:t>
            </w:r>
          </w:p>
          <w:p>
            <w:pPr>
              <w:adjustRightInd w:val="0"/>
              <w:snapToGrid w:val="0"/>
              <w:spacing w:line="360" w:lineRule="exact"/>
              <w:ind w:firstLine="0" w:firstLineChars="0"/>
              <w:jc w:val="both"/>
              <w:rPr>
                <w:rFonts w:ascii="宋体" w:hAnsi="宋体"/>
                <w:color w:val="auto"/>
                <w:sz w:val="21"/>
                <w:szCs w:val="21"/>
              </w:rPr>
            </w:pPr>
            <w:r>
              <w:rPr>
                <w:rFonts w:hint="eastAsia" w:ascii="宋体" w:hAnsi="宋体"/>
                <w:color w:val="auto"/>
                <w:sz w:val="21"/>
                <w:szCs w:val="21"/>
              </w:rPr>
              <w:t>f. 其它情况。</w:t>
            </w:r>
          </w:p>
          <w:p>
            <w:pPr>
              <w:adjustRightInd w:val="0"/>
              <w:snapToGrid w:val="0"/>
              <w:spacing w:line="360" w:lineRule="exact"/>
              <w:ind w:firstLine="0" w:firstLineChars="0"/>
              <w:jc w:val="both"/>
              <w:rPr>
                <w:rFonts w:ascii="宋体" w:hAnsi="宋体"/>
                <w:color w:val="auto"/>
                <w:sz w:val="21"/>
                <w:szCs w:val="21"/>
              </w:rPr>
            </w:pPr>
            <w:r>
              <w:rPr>
                <w:rFonts w:hint="eastAsia" w:ascii="宋体" w:hAnsi="宋体"/>
                <w:color w:val="auto"/>
                <w:sz w:val="21"/>
                <w:szCs w:val="21"/>
              </w:rPr>
              <w:t>投标人若中标，拟派的中心试验室负责人不得更换（除不可抗力原因外），否则取消中标资格。</w:t>
            </w:r>
          </w:p>
        </w:tc>
      </w:tr>
    </w:tbl>
    <w:p>
      <w:pPr>
        <w:spacing w:line="240" w:lineRule="auto"/>
        <w:ind w:firstLine="0" w:firstLineChars="0"/>
        <w:jc w:val="both"/>
        <w:rPr>
          <w:rFonts w:ascii="宋体" w:hAnsi="宋体"/>
          <w:color w:val="auto"/>
          <w:sz w:val="21"/>
          <w:lang w:val="zh-CN"/>
        </w:rPr>
      </w:pPr>
    </w:p>
    <w:p>
      <w:pPr>
        <w:spacing w:before="240" w:after="240" w:line="240" w:lineRule="auto"/>
        <w:ind w:firstLine="312" w:firstLineChars="0"/>
        <w:jc w:val="center"/>
        <w:rPr>
          <w:rFonts w:ascii="宋体" w:hAnsi="宋体"/>
          <w:b/>
          <w:color w:val="auto"/>
          <w:sz w:val="28"/>
          <w:szCs w:val="28"/>
        </w:rPr>
      </w:pPr>
    </w:p>
    <w:p>
      <w:pPr>
        <w:spacing w:before="240" w:after="240" w:line="240" w:lineRule="auto"/>
        <w:ind w:firstLine="312" w:firstLineChars="0"/>
        <w:jc w:val="center"/>
        <w:rPr>
          <w:rFonts w:ascii="宋体" w:hAnsi="宋体"/>
          <w:b/>
          <w:color w:val="auto"/>
          <w:sz w:val="28"/>
          <w:szCs w:val="28"/>
        </w:rPr>
      </w:pPr>
      <w:r>
        <w:rPr>
          <w:rFonts w:hint="eastAsia" w:ascii="宋体" w:hAnsi="宋体"/>
          <w:b/>
          <w:color w:val="auto"/>
          <w:sz w:val="28"/>
          <w:szCs w:val="28"/>
        </w:rPr>
        <w:t>附录5 资格审查条件（其他要求）</w:t>
      </w:r>
    </w:p>
    <w:p>
      <w:pPr>
        <w:spacing w:line="240" w:lineRule="auto"/>
        <w:ind w:firstLine="0" w:firstLineChars="0"/>
        <w:jc w:val="center"/>
        <w:rPr>
          <w:rFonts w:ascii="宋体" w:hAnsi="宋体"/>
          <w:color w:val="auto"/>
          <w:lang w:val="zh-CN"/>
        </w:rPr>
      </w:pP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9288" w:type="dxa"/>
            <w:gridSpan w:val="2"/>
            <w:vAlign w:val="center"/>
          </w:tcPr>
          <w:p>
            <w:pPr>
              <w:adjustRightInd w:val="0"/>
              <w:snapToGrid w:val="0"/>
              <w:spacing w:line="400" w:lineRule="atLeast"/>
              <w:ind w:firstLine="0" w:firstLineChars="0"/>
              <w:jc w:val="center"/>
              <w:rPr>
                <w:rFonts w:ascii="宋体" w:hAnsi="宋体"/>
                <w:b/>
                <w:color w:val="auto"/>
                <w:sz w:val="28"/>
                <w:szCs w:val="28"/>
              </w:rPr>
            </w:pPr>
            <w:r>
              <w:rPr>
                <w:rFonts w:hint="eastAsia" w:ascii="宋体" w:hAnsi="宋体"/>
                <w:b/>
                <w:color w:val="auto"/>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122" w:type="dxa"/>
            <w:vAlign w:val="center"/>
          </w:tcPr>
          <w:p>
            <w:pPr>
              <w:adjustRightInd w:val="0"/>
              <w:snapToGrid w:val="0"/>
              <w:spacing w:line="360" w:lineRule="atLeast"/>
              <w:ind w:firstLine="0" w:firstLineChars="0"/>
              <w:jc w:val="center"/>
              <w:rPr>
                <w:rFonts w:ascii="宋体" w:hAnsi="宋体"/>
                <w:color w:val="auto"/>
                <w:sz w:val="21"/>
                <w:szCs w:val="21"/>
              </w:rPr>
            </w:pPr>
            <w:r>
              <w:rPr>
                <w:rFonts w:hint="eastAsia" w:ascii="宋体" w:hAnsi="宋体"/>
                <w:color w:val="auto"/>
                <w:sz w:val="21"/>
                <w:szCs w:val="21"/>
              </w:rPr>
              <w:t>SYS-1、SYS-2、SYS-3标段</w:t>
            </w:r>
          </w:p>
        </w:tc>
        <w:tc>
          <w:tcPr>
            <w:tcW w:w="7166" w:type="dxa"/>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20</w:t>
            </w:r>
            <w:r>
              <w:rPr>
                <w:rFonts w:ascii="宋体" w:hAnsi="宋体"/>
                <w:color w:val="auto"/>
                <w:sz w:val="21"/>
                <w:szCs w:val="21"/>
              </w:rPr>
              <w:t>20</w:t>
            </w:r>
            <w:r>
              <w:rPr>
                <w:rFonts w:hint="eastAsia" w:ascii="宋体" w:hAnsi="宋体"/>
                <w:color w:val="auto"/>
                <w:sz w:val="21"/>
                <w:szCs w:val="21"/>
              </w:rPr>
              <w:t>年流动资产与流动负债的比率不小于1，且近三年年平均营业额不少于人民币</w:t>
            </w:r>
            <w:r>
              <w:rPr>
                <w:rFonts w:ascii="宋体" w:hAnsi="宋体"/>
                <w:color w:val="auto"/>
                <w:sz w:val="21"/>
                <w:szCs w:val="21"/>
              </w:rPr>
              <w:t>1500</w:t>
            </w:r>
            <w:r>
              <w:rPr>
                <w:rFonts w:hint="eastAsia" w:ascii="宋体" w:hAnsi="宋体"/>
                <w:color w:val="auto"/>
                <w:sz w:val="21"/>
                <w:szCs w:val="21"/>
              </w:rPr>
              <w:t>万元。</w:t>
            </w:r>
          </w:p>
        </w:tc>
      </w:tr>
    </w:tbl>
    <w:p>
      <w:r>
        <w:br w:type="page"/>
      </w:r>
    </w:p>
    <w:p>
      <w:pPr>
        <w:pStyle w:val="2"/>
        <w:ind w:firstLine="197" w:firstLineChars="49"/>
        <w:rPr>
          <w:rFonts w:ascii="新罗马" w:eastAsia="新罗马"/>
          <w:sz w:val="40"/>
          <w:szCs w:val="40"/>
        </w:rPr>
      </w:pPr>
      <w:r>
        <w:rPr>
          <w:rFonts w:hint="eastAsia" w:ascii="新罗马" w:eastAsia="新罗马"/>
          <w:sz w:val="40"/>
          <w:szCs w:val="40"/>
        </w:rPr>
        <w:t>2、评标办法</w:t>
      </w:r>
    </w:p>
    <w:p>
      <w:pPr>
        <w:pStyle w:val="9"/>
        <w:rPr>
          <w:rFonts w:ascii="宋体" w:hAnsi="宋体" w:eastAsia="宋体"/>
          <w:color w:val="auto"/>
        </w:rPr>
      </w:pPr>
      <w:bookmarkStart w:id="8" w:name="_Toc510015737"/>
      <w:bookmarkStart w:id="9" w:name="_Toc503235805"/>
      <w:r>
        <w:rPr>
          <w:rFonts w:hint="eastAsia" w:ascii="宋体" w:hAnsi="宋体" w:eastAsia="宋体"/>
          <w:color w:val="auto"/>
        </w:rPr>
        <w:t>第三章  评标办法（综合评估法）</w:t>
      </w:r>
      <w:bookmarkEnd w:id="8"/>
      <w:bookmarkEnd w:id="9"/>
    </w:p>
    <w:p>
      <w:pPr>
        <w:pStyle w:val="10"/>
        <w:rPr>
          <w:rFonts w:ascii="宋体" w:hAnsi="宋体"/>
          <w:color w:val="auto"/>
        </w:rPr>
      </w:pPr>
      <w:bookmarkStart w:id="10" w:name="_Toc503235806"/>
      <w:bookmarkStart w:id="11" w:name="_Toc510015738"/>
      <w:r>
        <w:rPr>
          <w:rFonts w:hint="eastAsia" w:ascii="宋体" w:hAnsi="宋体"/>
          <w:color w:val="auto"/>
        </w:rPr>
        <w:t>评标办法前附表</w:t>
      </w:r>
      <w:bookmarkEnd w:id="10"/>
      <w:bookmarkEnd w:id="11"/>
    </w:p>
    <w:tbl>
      <w:tblPr>
        <w:tblStyle w:val="6"/>
        <w:tblW w:w="889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9"/>
        <w:gridCol w:w="1280"/>
        <w:gridCol w:w="6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2269" w:type="dxa"/>
            <w:gridSpan w:val="2"/>
            <w:tcBorders>
              <w:top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条款号</w:t>
            </w:r>
          </w:p>
        </w:tc>
        <w:tc>
          <w:tcPr>
            <w:tcW w:w="662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b/>
                <w:color w:val="auto"/>
                <w:spacing w:val="4"/>
                <w:sz w:val="21"/>
                <w:szCs w:val="21"/>
              </w:rPr>
            </w:pPr>
            <w:r>
              <w:rPr>
                <w:rFonts w:hint="eastAsia" w:ascii="宋体" w:hAnsi="宋体"/>
                <w:b/>
                <w:color w:val="auto"/>
                <w:spacing w:val="4"/>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989" w:type="dxa"/>
            <w:tcBorders>
              <w:top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1</w:t>
            </w:r>
          </w:p>
        </w:tc>
        <w:tc>
          <w:tcPr>
            <w:tcW w:w="1280" w:type="dxa"/>
            <w:tcBorders>
              <w:top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评标方法</w:t>
            </w:r>
          </w:p>
        </w:tc>
        <w:tc>
          <w:tcPr>
            <w:tcW w:w="6628" w:type="dxa"/>
            <w:tcBorders>
              <w:top w:val="single" w:color="auto" w:sz="4" w:space="0"/>
              <w:left w:val="single" w:color="auto" w:sz="4" w:space="0"/>
              <w:right w:val="single" w:color="auto" w:sz="4" w:space="0"/>
            </w:tcBorders>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综合评分相等时，评标委员会依次按照以下优先顺序推荐中标候选人或确定中标人：</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（1）评标价低的投标人优先；</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（2）商务和技术得分较高的投标人优先；</w:t>
            </w:r>
          </w:p>
          <w:p>
            <w:pPr>
              <w:spacing w:line="360" w:lineRule="exact"/>
              <w:ind w:firstLine="0" w:firstLineChars="0"/>
              <w:jc w:val="both"/>
              <w:rPr>
                <w:rFonts w:ascii="宋体" w:hAnsi="宋体"/>
                <w:b/>
                <w:color w:val="auto"/>
                <w:sz w:val="21"/>
                <w:szCs w:val="21"/>
              </w:rPr>
            </w:pPr>
            <w:r>
              <w:rPr>
                <w:rFonts w:hint="eastAsia" w:ascii="宋体" w:hAnsi="宋体"/>
                <w:color w:val="auto"/>
                <w:sz w:val="21"/>
                <w:szCs w:val="21"/>
              </w:rPr>
              <w:t>（3）较早递交投标文件的投标人优先。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989" w:type="dxa"/>
            <w:tcBorders>
              <w:top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2.1.1</w:t>
            </w:r>
          </w:p>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2.1.3</w:t>
            </w:r>
          </w:p>
        </w:tc>
        <w:tc>
          <w:tcPr>
            <w:tcW w:w="1280" w:type="dxa"/>
            <w:tcBorders>
              <w:top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形式评审与响应性评审标准</w:t>
            </w:r>
          </w:p>
        </w:tc>
        <w:tc>
          <w:tcPr>
            <w:tcW w:w="6628" w:type="dxa"/>
            <w:tcBorders>
              <w:top w:val="single" w:color="auto" w:sz="4" w:space="0"/>
              <w:left w:val="single" w:color="auto" w:sz="4" w:space="0"/>
              <w:right w:val="single" w:color="auto" w:sz="4" w:space="0"/>
            </w:tcBorders>
            <w:vAlign w:val="center"/>
          </w:tcPr>
          <w:p>
            <w:pPr>
              <w:spacing w:line="360" w:lineRule="exact"/>
              <w:ind w:firstLine="0" w:firstLineChars="0"/>
              <w:jc w:val="both"/>
              <w:rPr>
                <w:rFonts w:ascii="宋体" w:hAnsi="宋体"/>
                <w:b/>
                <w:color w:val="auto"/>
                <w:sz w:val="21"/>
                <w:szCs w:val="21"/>
              </w:rPr>
            </w:pPr>
            <w:r>
              <w:rPr>
                <w:rFonts w:hint="eastAsia" w:ascii="宋体" w:hAnsi="宋体"/>
                <w:b/>
                <w:color w:val="auto"/>
                <w:sz w:val="21"/>
                <w:szCs w:val="21"/>
              </w:rPr>
              <w:t>第一个信封（商务及技术文件）评审标准：</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（1）投标文件按照招标文件规定的格式、内容填写，字迹清晰可辨：</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a.投标函按招标文件规定填报了项目名称、标段号、补遗书编号（如有）、服务期限、工程质量要求及安全目标；</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b.投标文件组成齐全完整，内容均按规定填写。</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（2）投标文件上法定代表人或其委托代理人的签字、投标人的单位章盖章齐全，符合招标文件规定。</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（3）投标人按照招标文件的规定提供了投标保证金：</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a.投标保证金金额符合招标文件规定的金额，且投标保证金有效期不少于投标有效期；</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b.若投标保证金采用现金或支票形式提交，投标人应在递交投标文件截止时间之前，将投标保证金由投标人的基本账户转入招标人指定账户；</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c.若投标保证金采用银行保函形式提交，银行保函的格式、开具保函的银行均满足招标文件要求，且在递交投标文件截止时间之前向招标人提交了银行保函原件。</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（4）投标人法定代表人授权委托代理人签署投标文件的，须提交授权委托书，且授权人和被授权人均在授权委托书上签名，未使用印章、签名章或其他电子制版签名代替。</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（5）投标人法定代表人亲自签署投标文件的，提供了法定代表人身份证明，且法定代表人在法定代表人身份证明上签名，未使用印章、签名章或其他电子制版签名代替。</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（6）同一投标人未提交两个以上不同的投标文件。</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（7）投标文件中未出现有关投标报价的内容。</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（8）投标文件载明的招标项目完成期限符合招标文件规定。</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（9）投标文件对招标文件的实质性要求和条件作出响应。</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（10）权利义务符合招标文件规定：</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a.投标人应接受招标文件规定的风险划分原则，未提出新的风险划分办法；</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b.投标人未增加委托人的责任范围，或减少投标人义务；</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c.投标人未提出不同的支付办法；</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d.投标人对合同纠纷、事故处理办法未提出异议；</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e.投标人在投标活动中无欺诈行为；</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f.投标人未对合同条款有重要保留。</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（11）投标文件正、副本份数符合招标文件第二章“投标人须知”第3.7.4项规定。</w:t>
            </w:r>
          </w:p>
          <w:p>
            <w:pPr>
              <w:spacing w:line="360" w:lineRule="exact"/>
              <w:ind w:firstLine="0" w:firstLineChars="0"/>
              <w:jc w:val="both"/>
              <w:rPr>
                <w:rFonts w:ascii="宋体" w:hAnsi="宋体"/>
                <w:b/>
                <w:color w:val="auto"/>
                <w:sz w:val="21"/>
                <w:szCs w:val="21"/>
              </w:rPr>
            </w:pPr>
            <w:r>
              <w:rPr>
                <w:rFonts w:hint="eastAsia" w:ascii="宋体" w:hAnsi="宋体"/>
                <w:b/>
                <w:color w:val="auto"/>
                <w:sz w:val="21"/>
                <w:szCs w:val="21"/>
              </w:rPr>
              <w:t>第二个信封（报价文件）评审标准：</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（1）投标文件按照招标文件规定的格式、内容填写，字迹清晰可辨，内容齐全完整：</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a.投标函按招标文件规定填报了项目名称、标段号、补遗书编号（如有）、投标价（包括大写金额和小写金额）；</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b.已标价报价清单说明文字与招标文件规定一致，未进行实质性修改和删减；</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c.投标文件组成齐全完整，内容均按规定填写。</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（2）投标文件上法定代表人或其委托代理人的签字、投标人的单位章盖章齐全，符合招标文件规定。</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（3）投标报价未超过招标文件设定的最高投标限价。</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（4）投标报价的大写金额能够确定具体数值。</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（5）同一投标人未提交两个以上不同的投标报价。</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（6）投标文件正、副本份数符合招标文件第二章“投标人须知”第3.7.4项规定。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2.1.2</w:t>
            </w:r>
          </w:p>
        </w:tc>
        <w:tc>
          <w:tcPr>
            <w:tcW w:w="1280" w:type="dxa"/>
            <w:tcBorders>
              <w:top w:val="single" w:color="auto" w:sz="4" w:space="0"/>
              <w:right w:val="single" w:color="auto" w:sz="4" w:space="0"/>
            </w:tcBorders>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资格评审标准</w:t>
            </w:r>
          </w:p>
        </w:tc>
        <w:tc>
          <w:tcPr>
            <w:tcW w:w="6628" w:type="dxa"/>
            <w:tcBorders>
              <w:top w:val="single" w:color="auto" w:sz="4" w:space="0"/>
              <w:left w:val="single" w:color="auto" w:sz="4" w:space="0"/>
              <w:right w:val="single" w:color="auto" w:sz="4" w:space="0"/>
            </w:tcBorders>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（1）投标人具备有效的企业法人营业执照或事业单位法人资格证书。</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（2）投标人的资质等级符合招标文件规定。</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（3）投标人的信誉符合招标文件规定。</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（4）投标人的中心试验室负责人资格、在岗情况符合招标文件规定。</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（5）投标人的其他要求符合招标文件规定。</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（6）投标人不存在第二章“投标人须知”第1.4.3项或第1.4.4项规定的任何一种情形。</w:t>
            </w:r>
          </w:p>
        </w:tc>
      </w:tr>
    </w:tbl>
    <w:p>
      <w:pPr>
        <w:spacing w:line="240" w:lineRule="auto"/>
        <w:ind w:firstLine="0" w:firstLineChars="0"/>
        <w:jc w:val="right"/>
        <w:rPr>
          <w:rFonts w:ascii="宋体" w:hAnsi="宋体"/>
          <w:color w:val="auto"/>
          <w:spacing w:val="4"/>
          <w:sz w:val="21"/>
          <w:szCs w:val="21"/>
        </w:rPr>
      </w:pPr>
    </w:p>
    <w:p>
      <w:pPr>
        <w:widowControl/>
        <w:spacing w:line="240" w:lineRule="auto"/>
        <w:ind w:firstLine="0" w:firstLineChars="0"/>
        <w:rPr>
          <w:rFonts w:ascii="宋体" w:hAnsi="宋体"/>
          <w:color w:val="auto"/>
          <w:spacing w:val="4"/>
          <w:sz w:val="21"/>
          <w:szCs w:val="21"/>
        </w:rPr>
      </w:pPr>
      <w:r>
        <w:rPr>
          <w:rFonts w:hint="eastAsia" w:ascii="宋体" w:hAnsi="宋体"/>
          <w:color w:val="auto"/>
          <w:spacing w:val="4"/>
          <w:sz w:val="21"/>
          <w:szCs w:val="21"/>
        </w:rPr>
        <w:br w:type="page"/>
      </w:r>
    </w:p>
    <w:p>
      <w:pPr>
        <w:spacing w:line="240" w:lineRule="auto"/>
        <w:ind w:firstLine="0" w:firstLineChars="0"/>
        <w:jc w:val="right"/>
        <w:rPr>
          <w:rFonts w:ascii="宋体" w:hAnsi="宋体"/>
          <w:color w:val="auto"/>
          <w:sz w:val="21"/>
        </w:rPr>
      </w:pPr>
      <w:r>
        <w:rPr>
          <w:rFonts w:hint="eastAsia" w:ascii="宋体" w:hAnsi="宋体"/>
          <w:color w:val="auto"/>
          <w:spacing w:val="4"/>
          <w:sz w:val="21"/>
          <w:szCs w:val="21"/>
        </w:rPr>
        <w:t>续上表</w:t>
      </w:r>
    </w:p>
    <w:tbl>
      <w:tblPr>
        <w:tblStyle w:val="6"/>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4"/>
        <w:gridCol w:w="1559"/>
        <w:gridCol w:w="6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04" w:type="dxa"/>
            <w:tcBorders>
              <w:top w:val="single" w:color="auto" w:sz="4" w:space="0"/>
              <w:right w:val="single" w:color="auto" w:sz="4" w:space="0"/>
            </w:tcBorders>
            <w:vAlign w:val="center"/>
          </w:tcPr>
          <w:p>
            <w:pPr>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条款号</w:t>
            </w:r>
          </w:p>
        </w:tc>
        <w:tc>
          <w:tcPr>
            <w:tcW w:w="1559" w:type="dxa"/>
            <w:tcBorders>
              <w:top w:val="single" w:color="auto" w:sz="4" w:space="0"/>
              <w:right w:val="single" w:color="auto" w:sz="4" w:space="0"/>
            </w:tcBorders>
            <w:vAlign w:val="center"/>
          </w:tcPr>
          <w:p>
            <w:pPr>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条款内容</w:t>
            </w:r>
          </w:p>
        </w:tc>
        <w:tc>
          <w:tcPr>
            <w:tcW w:w="6628"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04" w:type="dxa"/>
            <w:tcBorders>
              <w:top w:val="single" w:color="auto" w:sz="4" w:space="0"/>
              <w:right w:val="single" w:color="auto" w:sz="4" w:space="0"/>
            </w:tcBorders>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2.2.1</w:t>
            </w:r>
          </w:p>
        </w:tc>
        <w:tc>
          <w:tcPr>
            <w:tcW w:w="155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分值构成</w:t>
            </w:r>
          </w:p>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（总分100分）</w:t>
            </w:r>
          </w:p>
        </w:tc>
        <w:tc>
          <w:tcPr>
            <w:tcW w:w="6628" w:type="dxa"/>
            <w:tcBorders>
              <w:top w:val="single" w:color="auto" w:sz="4" w:space="0"/>
              <w:left w:val="single" w:color="auto" w:sz="4" w:space="0"/>
              <w:right w:val="single" w:color="auto" w:sz="4" w:space="0"/>
            </w:tcBorders>
            <w:vAlign w:val="center"/>
          </w:tcPr>
          <w:p>
            <w:pPr>
              <w:spacing w:line="360" w:lineRule="exact"/>
              <w:ind w:firstLine="0" w:firstLineChars="0"/>
              <w:jc w:val="both"/>
              <w:rPr>
                <w:rFonts w:ascii="宋体" w:hAnsi="宋体"/>
                <w:b/>
                <w:color w:val="auto"/>
                <w:sz w:val="21"/>
                <w:szCs w:val="21"/>
              </w:rPr>
            </w:pPr>
            <w:r>
              <w:rPr>
                <w:rFonts w:hint="eastAsia" w:ascii="宋体" w:hAnsi="宋体"/>
                <w:b/>
                <w:color w:val="auto"/>
                <w:sz w:val="21"/>
                <w:szCs w:val="21"/>
              </w:rPr>
              <w:t>第一个信封（商务及技术文件）评分分值构成：</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技术建议书：</w:t>
            </w:r>
            <w:r>
              <w:rPr>
                <w:rFonts w:hint="eastAsia" w:ascii="宋体" w:hAnsi="宋体"/>
                <w:color w:val="auto"/>
                <w:sz w:val="21"/>
                <w:szCs w:val="21"/>
                <w:u w:val="single"/>
              </w:rPr>
              <w:t>35</w:t>
            </w:r>
            <w:r>
              <w:rPr>
                <w:rFonts w:hint="eastAsia" w:ascii="宋体" w:hAnsi="宋体"/>
                <w:color w:val="auto"/>
                <w:sz w:val="21"/>
                <w:szCs w:val="21"/>
              </w:rPr>
              <w:t>分</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主要人员：</w:t>
            </w:r>
            <w:r>
              <w:rPr>
                <w:rFonts w:hint="eastAsia" w:ascii="宋体" w:hAnsi="宋体"/>
                <w:color w:val="auto"/>
                <w:sz w:val="21"/>
                <w:szCs w:val="21"/>
                <w:u w:val="single"/>
              </w:rPr>
              <w:t>20</w:t>
            </w:r>
            <w:r>
              <w:rPr>
                <w:rFonts w:hint="eastAsia" w:ascii="宋体" w:hAnsi="宋体"/>
                <w:color w:val="auto"/>
                <w:sz w:val="21"/>
                <w:szCs w:val="21"/>
              </w:rPr>
              <w:t>分</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其他因素：</w:t>
            </w:r>
            <w:r>
              <w:rPr>
                <w:rFonts w:hint="eastAsia" w:ascii="宋体" w:hAnsi="宋体"/>
                <w:color w:val="auto"/>
                <w:sz w:val="21"/>
                <w:szCs w:val="21"/>
                <w:u w:val="single"/>
              </w:rPr>
              <w:t>35</w:t>
            </w:r>
            <w:r>
              <w:rPr>
                <w:rFonts w:hint="eastAsia" w:ascii="宋体" w:hAnsi="宋体"/>
                <w:color w:val="auto"/>
                <w:sz w:val="21"/>
                <w:szCs w:val="21"/>
              </w:rPr>
              <w:t>分</w:t>
            </w:r>
          </w:p>
          <w:p>
            <w:pPr>
              <w:spacing w:line="360" w:lineRule="exact"/>
              <w:ind w:firstLine="0" w:firstLineChars="0"/>
              <w:jc w:val="both"/>
              <w:rPr>
                <w:rFonts w:ascii="宋体" w:hAnsi="宋体"/>
                <w:b/>
                <w:color w:val="auto"/>
                <w:sz w:val="21"/>
                <w:szCs w:val="21"/>
              </w:rPr>
            </w:pPr>
            <w:r>
              <w:rPr>
                <w:rFonts w:hint="eastAsia" w:ascii="宋体" w:hAnsi="宋体"/>
                <w:b/>
                <w:color w:val="auto"/>
                <w:sz w:val="21"/>
                <w:szCs w:val="21"/>
              </w:rPr>
              <w:t>第二个信封（报价文件）评分分值构成：</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评标价：</w:t>
            </w:r>
            <w:r>
              <w:rPr>
                <w:rFonts w:hint="eastAsia" w:ascii="宋体" w:hAnsi="宋体"/>
                <w:color w:val="auto"/>
                <w:sz w:val="21"/>
                <w:szCs w:val="21"/>
                <w:u w:val="single"/>
              </w:rPr>
              <w:t>10</w:t>
            </w:r>
            <w:r>
              <w:rPr>
                <w:rFonts w:hint="eastAsia" w:ascii="宋体" w:hAnsi="宋体"/>
                <w:color w:val="auto"/>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704" w:type="dxa"/>
            <w:tcBorders>
              <w:top w:val="single" w:color="auto" w:sz="4" w:space="0"/>
              <w:right w:val="single" w:color="auto" w:sz="4" w:space="0"/>
            </w:tcBorders>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2.2.2</w:t>
            </w:r>
          </w:p>
        </w:tc>
        <w:tc>
          <w:tcPr>
            <w:tcW w:w="155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评标基准价计算方法</w:t>
            </w:r>
          </w:p>
        </w:tc>
        <w:tc>
          <w:tcPr>
            <w:tcW w:w="6628" w:type="dxa"/>
            <w:tcBorders>
              <w:top w:val="single" w:color="auto" w:sz="4" w:space="0"/>
              <w:left w:val="single" w:color="auto" w:sz="4" w:space="0"/>
              <w:right w:val="single" w:color="auto" w:sz="4" w:space="0"/>
            </w:tcBorders>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评标基准价的计算：</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在开标现场，招标人将当场计算并宣布评标基准价。</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（1）评标价的确定：</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评标价＝投标函文字报价</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（2）评标价平均值的计算：</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除按第二章“投标人须知”第5.2.4项规定开标现场被宣布为不进入评标基准价计算的投标报价之外，标段内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（3）评标基准价的确定：</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评标基准价=评标价平均值。</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1" w:hRule="atLeast"/>
        </w:trPr>
        <w:tc>
          <w:tcPr>
            <w:tcW w:w="704" w:type="dxa"/>
            <w:tcBorders>
              <w:top w:val="single" w:color="auto" w:sz="4" w:space="0"/>
              <w:right w:val="single" w:color="auto" w:sz="4" w:space="0"/>
            </w:tcBorders>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2.2.3</w:t>
            </w:r>
          </w:p>
        </w:tc>
        <w:tc>
          <w:tcPr>
            <w:tcW w:w="155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评标价的偏差率计算公式</w:t>
            </w:r>
          </w:p>
        </w:tc>
        <w:tc>
          <w:tcPr>
            <w:tcW w:w="6628" w:type="dxa"/>
            <w:tcBorders>
              <w:top w:val="single" w:color="auto" w:sz="4" w:space="0"/>
              <w:left w:val="single" w:color="auto" w:sz="4" w:space="0"/>
              <w:right w:val="single" w:color="auto" w:sz="4" w:space="0"/>
            </w:tcBorders>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偏差率=100% ×（投标人评标价－评标基准价）/评标基准价</w:t>
            </w:r>
          </w:p>
          <w:p>
            <w:pPr>
              <w:spacing w:line="360" w:lineRule="exact"/>
              <w:ind w:firstLine="0" w:firstLineChars="0"/>
              <w:jc w:val="both"/>
              <w:rPr>
                <w:rFonts w:ascii="宋体" w:hAnsi="宋体"/>
                <w:b/>
                <w:color w:val="auto"/>
                <w:sz w:val="21"/>
                <w:szCs w:val="21"/>
              </w:rPr>
            </w:pPr>
            <w:r>
              <w:rPr>
                <w:rFonts w:hint="eastAsia" w:ascii="宋体" w:hAnsi="宋体"/>
                <w:color w:val="auto"/>
                <w:sz w:val="21"/>
                <w:szCs w:val="21"/>
              </w:rPr>
              <w:t>偏差率保留</w:t>
            </w:r>
            <w:r>
              <w:rPr>
                <w:rFonts w:hint="eastAsia" w:ascii="宋体" w:hAnsi="宋体"/>
                <w:color w:val="auto"/>
                <w:sz w:val="21"/>
                <w:szCs w:val="21"/>
                <w:u w:val="single"/>
              </w:rPr>
              <w:t>2</w:t>
            </w:r>
            <w:r>
              <w:rPr>
                <w:rFonts w:hint="eastAsia" w:ascii="宋体" w:hAnsi="宋体"/>
                <w:color w:val="auto"/>
                <w:sz w:val="21"/>
                <w:szCs w:val="21"/>
              </w:rPr>
              <w:t>位小数</w:t>
            </w:r>
          </w:p>
        </w:tc>
      </w:tr>
    </w:tbl>
    <w:p>
      <w:pPr>
        <w:widowControl/>
        <w:spacing w:line="240" w:lineRule="auto"/>
        <w:ind w:firstLine="0" w:firstLineChars="0"/>
        <w:rPr>
          <w:rFonts w:ascii="宋体" w:hAnsi="宋体"/>
          <w:color w:val="auto"/>
          <w:sz w:val="21"/>
        </w:rPr>
      </w:pPr>
    </w:p>
    <w:p>
      <w:pPr>
        <w:widowControl/>
        <w:spacing w:line="240" w:lineRule="auto"/>
        <w:ind w:firstLine="0" w:firstLineChars="0"/>
        <w:rPr>
          <w:rFonts w:ascii="宋体" w:hAnsi="宋体"/>
          <w:color w:val="auto"/>
          <w:sz w:val="21"/>
        </w:rPr>
      </w:pPr>
      <w:r>
        <w:rPr>
          <w:rFonts w:hint="eastAsia" w:ascii="宋体" w:hAnsi="宋体"/>
          <w:color w:val="auto"/>
          <w:sz w:val="21"/>
        </w:rPr>
        <w:br w:type="page"/>
      </w:r>
    </w:p>
    <w:p>
      <w:pPr>
        <w:ind w:firstLine="0" w:firstLineChars="0"/>
        <w:jc w:val="right"/>
        <w:rPr>
          <w:rFonts w:ascii="宋体" w:hAnsi="宋体"/>
          <w:color w:val="auto"/>
          <w:sz w:val="21"/>
        </w:rPr>
      </w:pPr>
      <w:r>
        <w:rPr>
          <w:rFonts w:hint="eastAsia" w:ascii="宋体" w:hAnsi="宋体"/>
          <w:color w:val="auto"/>
          <w:spacing w:val="4"/>
          <w:sz w:val="21"/>
          <w:szCs w:val="21"/>
        </w:rPr>
        <w:t>续上表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96"/>
        <w:gridCol w:w="733"/>
        <w:gridCol w:w="883"/>
        <w:gridCol w:w="1281"/>
        <w:gridCol w:w="486"/>
        <w:gridCol w:w="4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2" w:hRule="atLeast"/>
          <w:tblHeader/>
        </w:trPr>
        <w:tc>
          <w:tcPr>
            <w:tcW w:w="403" w:type="pct"/>
            <w:vMerge w:val="restart"/>
            <w:tcBorders>
              <w:top w:val="single" w:color="auto" w:sz="4" w:space="0"/>
            </w:tcBorders>
            <w:vAlign w:val="center"/>
          </w:tcPr>
          <w:p>
            <w:pPr>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条款号</w:t>
            </w:r>
          </w:p>
        </w:tc>
        <w:tc>
          <w:tcPr>
            <w:tcW w:w="2128" w:type="pct"/>
            <w:gridSpan w:val="4"/>
            <w:tcBorders>
              <w:top w:val="single" w:color="auto" w:sz="4" w:space="0"/>
            </w:tcBorders>
            <w:vAlign w:val="center"/>
          </w:tcPr>
          <w:p>
            <w:pPr>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评分因素与权重分值</w:t>
            </w:r>
          </w:p>
        </w:tc>
        <w:tc>
          <w:tcPr>
            <w:tcW w:w="2468" w:type="pct"/>
            <w:vMerge w:val="restart"/>
            <w:tcBorders>
              <w:top w:val="single" w:color="auto" w:sz="4" w:space="0"/>
            </w:tcBorders>
            <w:vAlign w:val="center"/>
          </w:tcPr>
          <w:p>
            <w:pPr>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trPr>
        <w:tc>
          <w:tcPr>
            <w:tcW w:w="403" w:type="pct"/>
            <w:vMerge w:val="continue"/>
            <w:vAlign w:val="center"/>
          </w:tcPr>
          <w:p>
            <w:pPr>
              <w:spacing w:line="360" w:lineRule="exact"/>
              <w:ind w:firstLine="0" w:firstLineChars="0"/>
              <w:jc w:val="center"/>
              <w:rPr>
                <w:rFonts w:ascii="宋体" w:hAnsi="宋体"/>
                <w:b/>
                <w:color w:val="auto"/>
                <w:sz w:val="21"/>
                <w:szCs w:val="21"/>
              </w:rPr>
            </w:pPr>
          </w:p>
        </w:tc>
        <w:tc>
          <w:tcPr>
            <w:tcW w:w="465" w:type="pct"/>
            <w:vAlign w:val="center"/>
          </w:tcPr>
          <w:p>
            <w:pPr>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评分</w:t>
            </w:r>
          </w:p>
          <w:p>
            <w:pPr>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因素</w:t>
            </w:r>
          </w:p>
        </w:tc>
        <w:tc>
          <w:tcPr>
            <w:tcW w:w="555" w:type="pct"/>
            <w:vAlign w:val="center"/>
          </w:tcPr>
          <w:p>
            <w:pPr>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评分因素权重分值</w:t>
            </w:r>
          </w:p>
        </w:tc>
        <w:tc>
          <w:tcPr>
            <w:tcW w:w="792" w:type="pct"/>
            <w:vAlign w:val="center"/>
          </w:tcPr>
          <w:p>
            <w:pPr>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各评分因素细分项</w:t>
            </w:r>
          </w:p>
        </w:tc>
        <w:tc>
          <w:tcPr>
            <w:tcW w:w="317" w:type="pct"/>
            <w:vAlign w:val="center"/>
          </w:tcPr>
          <w:p>
            <w:pPr>
              <w:spacing w:line="360" w:lineRule="exact"/>
              <w:ind w:firstLine="0" w:firstLineChars="0"/>
              <w:jc w:val="center"/>
              <w:rPr>
                <w:rFonts w:ascii="宋体" w:hAnsi="宋体"/>
                <w:b/>
                <w:color w:val="auto"/>
                <w:sz w:val="21"/>
                <w:szCs w:val="21"/>
              </w:rPr>
            </w:pPr>
            <w:r>
              <w:rPr>
                <w:rFonts w:hint="eastAsia" w:ascii="宋体" w:hAnsi="宋体"/>
                <w:b/>
                <w:color w:val="auto"/>
                <w:sz w:val="21"/>
                <w:szCs w:val="21"/>
              </w:rPr>
              <w:t>分值</w:t>
            </w:r>
          </w:p>
        </w:tc>
        <w:tc>
          <w:tcPr>
            <w:tcW w:w="2468" w:type="pct"/>
            <w:vMerge w:val="continue"/>
            <w:vAlign w:val="center"/>
          </w:tcPr>
          <w:p>
            <w:pPr>
              <w:spacing w:line="360" w:lineRule="exact"/>
              <w:ind w:firstLine="0" w:firstLineChars="0"/>
              <w:jc w:val="both"/>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3" w:type="pct"/>
            <w:vMerge w:val="restar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2.2.4</w:t>
            </w:r>
          </w:p>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(1)</w:t>
            </w:r>
          </w:p>
        </w:tc>
        <w:tc>
          <w:tcPr>
            <w:tcW w:w="465" w:type="pct"/>
            <w:vMerge w:val="restar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技术</w:t>
            </w:r>
          </w:p>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建议书</w:t>
            </w:r>
          </w:p>
        </w:tc>
        <w:tc>
          <w:tcPr>
            <w:tcW w:w="555" w:type="pct"/>
            <w:vMerge w:val="restar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35分</w:t>
            </w:r>
          </w:p>
        </w:tc>
        <w:tc>
          <w:tcPr>
            <w:tcW w:w="792"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pacing w:val="20"/>
                <w:kern w:val="28"/>
                <w:sz w:val="21"/>
                <w:szCs w:val="21"/>
              </w:rPr>
              <w:t>试验检测工作计划</w:t>
            </w:r>
          </w:p>
        </w:tc>
        <w:tc>
          <w:tcPr>
            <w:tcW w:w="317" w:type="pct"/>
            <w:vAlign w:val="center"/>
          </w:tcPr>
          <w:p>
            <w:pPr>
              <w:autoSpaceDE w:val="0"/>
              <w:autoSpaceDN w:val="0"/>
              <w:adjustRightInd w:val="0"/>
              <w:snapToGrid w:val="0"/>
              <w:spacing w:line="360" w:lineRule="exact"/>
              <w:ind w:firstLine="0" w:firstLineChars="0"/>
              <w:jc w:val="center"/>
              <w:textAlignment w:val="baseline"/>
              <w:rPr>
                <w:rFonts w:ascii="宋体" w:hAnsi="宋体"/>
                <w:color w:val="auto"/>
                <w:spacing w:val="20"/>
                <w:kern w:val="28"/>
                <w:sz w:val="21"/>
                <w:szCs w:val="20"/>
              </w:rPr>
            </w:pPr>
            <w:r>
              <w:rPr>
                <w:rFonts w:hint="eastAsia" w:ascii="宋体" w:hAnsi="宋体"/>
                <w:color w:val="auto"/>
                <w:spacing w:val="20"/>
                <w:kern w:val="28"/>
                <w:sz w:val="21"/>
                <w:szCs w:val="20"/>
              </w:rPr>
              <w:t>10分</w:t>
            </w:r>
          </w:p>
        </w:tc>
        <w:tc>
          <w:tcPr>
            <w:tcW w:w="2468"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根据工作计划的科学、合理性，能否满足项目试验检测工作要求等进行评分，得6～10分。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3" w:type="pct"/>
            <w:vMerge w:val="continue"/>
            <w:vAlign w:val="center"/>
          </w:tcPr>
          <w:p>
            <w:pPr>
              <w:spacing w:line="360" w:lineRule="exact"/>
              <w:ind w:firstLine="0" w:firstLineChars="0"/>
              <w:jc w:val="center"/>
              <w:rPr>
                <w:rFonts w:ascii="宋体" w:hAnsi="宋体"/>
                <w:color w:val="auto"/>
                <w:sz w:val="21"/>
                <w:szCs w:val="21"/>
              </w:rPr>
            </w:pPr>
          </w:p>
        </w:tc>
        <w:tc>
          <w:tcPr>
            <w:tcW w:w="465" w:type="pct"/>
            <w:vMerge w:val="continue"/>
            <w:vAlign w:val="center"/>
          </w:tcPr>
          <w:p>
            <w:pPr>
              <w:spacing w:line="360" w:lineRule="exact"/>
              <w:ind w:firstLine="0" w:firstLineChars="0"/>
              <w:jc w:val="center"/>
              <w:rPr>
                <w:rFonts w:ascii="宋体" w:hAnsi="宋体"/>
                <w:color w:val="auto"/>
                <w:sz w:val="21"/>
                <w:szCs w:val="21"/>
              </w:rPr>
            </w:pPr>
          </w:p>
        </w:tc>
        <w:tc>
          <w:tcPr>
            <w:tcW w:w="555" w:type="pct"/>
            <w:vMerge w:val="continue"/>
            <w:vAlign w:val="center"/>
          </w:tcPr>
          <w:p>
            <w:pPr>
              <w:spacing w:line="360" w:lineRule="exact"/>
              <w:ind w:firstLine="0" w:firstLineChars="0"/>
              <w:jc w:val="center"/>
              <w:rPr>
                <w:rFonts w:ascii="宋体" w:hAnsi="宋体"/>
                <w:color w:val="auto"/>
                <w:sz w:val="21"/>
                <w:szCs w:val="21"/>
                <w:u w:val="single"/>
              </w:rPr>
            </w:pPr>
          </w:p>
        </w:tc>
        <w:tc>
          <w:tcPr>
            <w:tcW w:w="792"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pacing w:val="20"/>
                <w:kern w:val="28"/>
                <w:sz w:val="21"/>
                <w:szCs w:val="21"/>
              </w:rPr>
              <w:t>试验检测的方法、内容</w:t>
            </w:r>
          </w:p>
        </w:tc>
        <w:tc>
          <w:tcPr>
            <w:tcW w:w="317" w:type="pct"/>
            <w:vAlign w:val="center"/>
          </w:tcPr>
          <w:p>
            <w:pPr>
              <w:autoSpaceDE w:val="0"/>
              <w:autoSpaceDN w:val="0"/>
              <w:adjustRightInd w:val="0"/>
              <w:snapToGrid w:val="0"/>
              <w:spacing w:line="360" w:lineRule="exact"/>
              <w:ind w:firstLine="0" w:firstLineChars="0"/>
              <w:jc w:val="center"/>
              <w:textAlignment w:val="baseline"/>
              <w:rPr>
                <w:rFonts w:ascii="宋体" w:hAnsi="宋体"/>
                <w:color w:val="auto"/>
                <w:spacing w:val="20"/>
                <w:kern w:val="28"/>
                <w:sz w:val="21"/>
                <w:szCs w:val="20"/>
              </w:rPr>
            </w:pPr>
            <w:r>
              <w:rPr>
                <w:rFonts w:hint="eastAsia" w:ascii="宋体" w:hAnsi="宋体"/>
                <w:color w:val="auto"/>
                <w:spacing w:val="20"/>
                <w:kern w:val="28"/>
                <w:sz w:val="21"/>
                <w:szCs w:val="20"/>
              </w:rPr>
              <w:t>15分</w:t>
            </w:r>
          </w:p>
        </w:tc>
        <w:tc>
          <w:tcPr>
            <w:tcW w:w="2468"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根据工作计划的科学、合理性，能否满足项目试验检测工作要求等进行评分，得9～15分。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3" w:type="pct"/>
            <w:vMerge w:val="continue"/>
            <w:vAlign w:val="center"/>
          </w:tcPr>
          <w:p>
            <w:pPr>
              <w:spacing w:line="360" w:lineRule="exact"/>
              <w:ind w:firstLine="0" w:firstLineChars="0"/>
              <w:jc w:val="center"/>
              <w:rPr>
                <w:rFonts w:ascii="宋体" w:hAnsi="宋体"/>
                <w:color w:val="auto"/>
                <w:sz w:val="21"/>
                <w:szCs w:val="21"/>
              </w:rPr>
            </w:pPr>
          </w:p>
        </w:tc>
        <w:tc>
          <w:tcPr>
            <w:tcW w:w="465" w:type="pct"/>
            <w:vMerge w:val="continue"/>
            <w:vAlign w:val="center"/>
          </w:tcPr>
          <w:p>
            <w:pPr>
              <w:spacing w:line="360" w:lineRule="exact"/>
              <w:ind w:firstLine="0" w:firstLineChars="0"/>
              <w:jc w:val="center"/>
              <w:rPr>
                <w:rFonts w:ascii="宋体" w:hAnsi="宋体"/>
                <w:color w:val="auto"/>
                <w:sz w:val="21"/>
                <w:szCs w:val="21"/>
              </w:rPr>
            </w:pPr>
          </w:p>
        </w:tc>
        <w:tc>
          <w:tcPr>
            <w:tcW w:w="555" w:type="pct"/>
            <w:vMerge w:val="continue"/>
            <w:vAlign w:val="center"/>
          </w:tcPr>
          <w:p>
            <w:pPr>
              <w:spacing w:line="360" w:lineRule="exact"/>
              <w:ind w:firstLine="0" w:firstLineChars="0"/>
              <w:jc w:val="center"/>
              <w:rPr>
                <w:rFonts w:ascii="宋体" w:hAnsi="宋体"/>
                <w:color w:val="auto"/>
                <w:sz w:val="21"/>
                <w:szCs w:val="21"/>
                <w:u w:val="single"/>
              </w:rPr>
            </w:pPr>
          </w:p>
        </w:tc>
        <w:tc>
          <w:tcPr>
            <w:tcW w:w="792"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pacing w:val="20"/>
                <w:kern w:val="28"/>
                <w:sz w:val="21"/>
                <w:szCs w:val="21"/>
              </w:rPr>
              <w:t>试验检测质量保障措施</w:t>
            </w:r>
          </w:p>
        </w:tc>
        <w:tc>
          <w:tcPr>
            <w:tcW w:w="317" w:type="pct"/>
            <w:vAlign w:val="center"/>
          </w:tcPr>
          <w:p>
            <w:pPr>
              <w:autoSpaceDE w:val="0"/>
              <w:autoSpaceDN w:val="0"/>
              <w:adjustRightInd w:val="0"/>
              <w:snapToGrid w:val="0"/>
              <w:spacing w:line="360" w:lineRule="exact"/>
              <w:ind w:firstLine="0" w:firstLineChars="0"/>
              <w:jc w:val="center"/>
              <w:textAlignment w:val="baseline"/>
              <w:rPr>
                <w:rFonts w:ascii="宋体" w:hAnsi="宋体"/>
                <w:color w:val="auto"/>
                <w:spacing w:val="20"/>
                <w:kern w:val="28"/>
                <w:sz w:val="21"/>
                <w:szCs w:val="20"/>
              </w:rPr>
            </w:pPr>
            <w:r>
              <w:rPr>
                <w:rFonts w:hint="eastAsia" w:ascii="宋体" w:hAnsi="宋体"/>
                <w:color w:val="auto"/>
                <w:spacing w:val="20"/>
                <w:kern w:val="28"/>
                <w:sz w:val="21"/>
                <w:szCs w:val="20"/>
              </w:rPr>
              <w:t>5分</w:t>
            </w:r>
          </w:p>
        </w:tc>
        <w:tc>
          <w:tcPr>
            <w:tcW w:w="2468"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对检测的质量保障措施的合理性、可行性和有效性进行评分，分值3～5分。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3" w:type="pct"/>
            <w:vMerge w:val="continue"/>
            <w:vAlign w:val="center"/>
          </w:tcPr>
          <w:p>
            <w:pPr>
              <w:spacing w:line="360" w:lineRule="exact"/>
              <w:ind w:firstLine="0" w:firstLineChars="0"/>
              <w:jc w:val="center"/>
              <w:rPr>
                <w:rFonts w:ascii="宋体" w:hAnsi="宋体"/>
                <w:color w:val="auto"/>
                <w:sz w:val="21"/>
                <w:szCs w:val="21"/>
              </w:rPr>
            </w:pPr>
          </w:p>
        </w:tc>
        <w:tc>
          <w:tcPr>
            <w:tcW w:w="465" w:type="pct"/>
            <w:vMerge w:val="continue"/>
            <w:vAlign w:val="center"/>
          </w:tcPr>
          <w:p>
            <w:pPr>
              <w:spacing w:line="360" w:lineRule="exact"/>
              <w:ind w:firstLine="0" w:firstLineChars="0"/>
              <w:jc w:val="center"/>
              <w:rPr>
                <w:rFonts w:ascii="宋体" w:hAnsi="宋体"/>
                <w:color w:val="auto"/>
                <w:sz w:val="21"/>
                <w:szCs w:val="21"/>
              </w:rPr>
            </w:pPr>
          </w:p>
        </w:tc>
        <w:tc>
          <w:tcPr>
            <w:tcW w:w="555" w:type="pct"/>
            <w:vMerge w:val="continue"/>
            <w:vAlign w:val="center"/>
          </w:tcPr>
          <w:p>
            <w:pPr>
              <w:spacing w:line="360" w:lineRule="exact"/>
              <w:ind w:firstLine="0" w:firstLineChars="0"/>
              <w:jc w:val="center"/>
              <w:rPr>
                <w:rFonts w:ascii="宋体" w:hAnsi="宋体"/>
                <w:color w:val="auto"/>
                <w:sz w:val="21"/>
                <w:szCs w:val="21"/>
                <w:u w:val="single"/>
              </w:rPr>
            </w:pPr>
          </w:p>
        </w:tc>
        <w:tc>
          <w:tcPr>
            <w:tcW w:w="792"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pacing w:val="20"/>
                <w:kern w:val="28"/>
                <w:sz w:val="21"/>
                <w:szCs w:val="21"/>
              </w:rPr>
              <w:t>对本项目试验检测工作的建议</w:t>
            </w:r>
          </w:p>
        </w:tc>
        <w:tc>
          <w:tcPr>
            <w:tcW w:w="317" w:type="pct"/>
            <w:vAlign w:val="center"/>
          </w:tcPr>
          <w:p>
            <w:pPr>
              <w:autoSpaceDE w:val="0"/>
              <w:autoSpaceDN w:val="0"/>
              <w:adjustRightInd w:val="0"/>
              <w:snapToGrid w:val="0"/>
              <w:spacing w:line="360" w:lineRule="exact"/>
              <w:ind w:firstLine="0" w:firstLineChars="0"/>
              <w:jc w:val="center"/>
              <w:textAlignment w:val="baseline"/>
              <w:rPr>
                <w:rFonts w:ascii="宋体" w:hAnsi="宋体"/>
                <w:color w:val="auto"/>
                <w:spacing w:val="20"/>
                <w:kern w:val="28"/>
                <w:sz w:val="21"/>
                <w:szCs w:val="20"/>
              </w:rPr>
            </w:pPr>
            <w:r>
              <w:rPr>
                <w:rFonts w:hint="eastAsia" w:ascii="宋体" w:hAnsi="宋体"/>
                <w:color w:val="auto"/>
                <w:spacing w:val="20"/>
                <w:kern w:val="28"/>
                <w:sz w:val="21"/>
                <w:szCs w:val="20"/>
              </w:rPr>
              <w:t>5分</w:t>
            </w:r>
          </w:p>
        </w:tc>
        <w:tc>
          <w:tcPr>
            <w:tcW w:w="2468"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对投标人所提建议的合理性、可实施性、项目针对性进行评分，分值3～5分。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3" w:type="pc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2.2.4</w:t>
            </w:r>
          </w:p>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(2)</w:t>
            </w:r>
          </w:p>
        </w:tc>
        <w:tc>
          <w:tcPr>
            <w:tcW w:w="465" w:type="pc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主要人员</w:t>
            </w:r>
          </w:p>
        </w:tc>
        <w:tc>
          <w:tcPr>
            <w:tcW w:w="555" w:type="pct"/>
            <w:vAlign w:val="center"/>
          </w:tcPr>
          <w:p>
            <w:pPr>
              <w:spacing w:line="360" w:lineRule="exact"/>
              <w:ind w:firstLine="0" w:firstLineChars="0"/>
              <w:jc w:val="center"/>
              <w:rPr>
                <w:rFonts w:ascii="宋体" w:hAnsi="宋体"/>
                <w:color w:val="auto"/>
                <w:sz w:val="21"/>
                <w:szCs w:val="21"/>
                <w:u w:val="single"/>
              </w:rPr>
            </w:pPr>
            <w:r>
              <w:rPr>
                <w:rFonts w:hint="eastAsia" w:ascii="宋体" w:hAnsi="宋体"/>
                <w:color w:val="auto"/>
                <w:sz w:val="21"/>
                <w:szCs w:val="21"/>
              </w:rPr>
              <w:t>20分</w:t>
            </w:r>
          </w:p>
        </w:tc>
        <w:tc>
          <w:tcPr>
            <w:tcW w:w="792"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pacing w:val="20"/>
                <w:kern w:val="28"/>
                <w:sz w:val="21"/>
                <w:szCs w:val="20"/>
              </w:rPr>
              <w:t>试验室负责人任职资格</w:t>
            </w:r>
            <w:r>
              <w:rPr>
                <w:rFonts w:hint="eastAsia" w:ascii="宋体" w:hAnsi="宋体"/>
                <w:color w:val="auto"/>
                <w:sz w:val="21"/>
                <w:szCs w:val="21"/>
              </w:rPr>
              <w:t>与业绩</w:t>
            </w:r>
          </w:p>
        </w:tc>
        <w:tc>
          <w:tcPr>
            <w:tcW w:w="317" w:type="pc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20分</w:t>
            </w:r>
          </w:p>
        </w:tc>
        <w:tc>
          <w:tcPr>
            <w:tcW w:w="2468"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（1）满足强制性资格条件的，得12分；</w:t>
            </w:r>
          </w:p>
          <w:p>
            <w:pPr>
              <w:spacing w:line="360" w:lineRule="exact"/>
              <w:ind w:firstLine="0" w:firstLineChars="0"/>
              <w:jc w:val="both"/>
              <w:rPr>
                <w:rFonts w:ascii="宋体" w:hAnsi="宋体"/>
                <w:color w:val="auto"/>
                <w:spacing w:val="20"/>
                <w:kern w:val="28"/>
                <w:sz w:val="20"/>
                <w:szCs w:val="21"/>
              </w:rPr>
            </w:pPr>
            <w:r>
              <w:rPr>
                <w:rFonts w:hint="eastAsia" w:ascii="宋体" w:hAnsi="宋体"/>
                <w:color w:val="auto"/>
                <w:sz w:val="21"/>
                <w:szCs w:val="21"/>
              </w:rPr>
              <w:t>（2）担任过高速公路</w:t>
            </w:r>
            <w:r>
              <w:rPr>
                <w:rFonts w:hint="eastAsia" w:ascii="宋体" w:hAnsi="宋体"/>
                <w:color w:val="auto"/>
                <w:kern w:val="0"/>
                <w:sz w:val="20"/>
                <w:szCs w:val="21"/>
              </w:rPr>
              <w:t>中心试验室负责人的，得</w:t>
            </w:r>
            <w:r>
              <w:rPr>
                <w:rFonts w:hint="eastAsia" w:ascii="宋体" w:hAnsi="宋体"/>
                <w:color w:val="auto"/>
                <w:kern w:val="0"/>
                <w:sz w:val="21"/>
                <w:szCs w:val="21"/>
              </w:rPr>
              <w:t>8</w:t>
            </w:r>
            <w:r>
              <w:rPr>
                <w:rFonts w:hint="eastAsia" w:ascii="宋体" w:hAnsi="宋体"/>
                <w:color w:val="auto"/>
                <w:kern w:val="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30" w:hRule="atLeast"/>
        </w:trPr>
        <w:tc>
          <w:tcPr>
            <w:tcW w:w="403" w:type="pc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2.2.4(3)</w:t>
            </w:r>
          </w:p>
        </w:tc>
        <w:tc>
          <w:tcPr>
            <w:tcW w:w="465" w:type="pc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评标价</w:t>
            </w:r>
          </w:p>
        </w:tc>
        <w:tc>
          <w:tcPr>
            <w:tcW w:w="555" w:type="pct"/>
            <w:vAlign w:val="center"/>
          </w:tcPr>
          <w:p>
            <w:pPr>
              <w:spacing w:line="360" w:lineRule="exact"/>
              <w:ind w:firstLine="0" w:firstLineChars="0"/>
              <w:jc w:val="center"/>
              <w:rPr>
                <w:rFonts w:ascii="宋体" w:hAnsi="宋体"/>
                <w:b/>
                <w:color w:val="auto"/>
                <w:sz w:val="21"/>
                <w:szCs w:val="21"/>
              </w:rPr>
            </w:pPr>
            <w:r>
              <w:rPr>
                <w:rFonts w:hint="eastAsia" w:ascii="宋体" w:hAnsi="宋体"/>
                <w:color w:val="auto"/>
                <w:sz w:val="21"/>
                <w:szCs w:val="21"/>
                <w:u w:val="single"/>
              </w:rPr>
              <w:t>10</w:t>
            </w:r>
            <w:r>
              <w:rPr>
                <w:rFonts w:hint="eastAsia" w:ascii="宋体" w:hAnsi="宋体"/>
                <w:color w:val="auto"/>
                <w:sz w:val="21"/>
                <w:szCs w:val="21"/>
              </w:rPr>
              <w:t>分</w:t>
            </w:r>
          </w:p>
        </w:tc>
        <w:tc>
          <w:tcPr>
            <w:tcW w:w="792" w:type="pc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评标价</w:t>
            </w:r>
          </w:p>
        </w:tc>
        <w:tc>
          <w:tcPr>
            <w:tcW w:w="317" w:type="pct"/>
            <w:vAlign w:val="center"/>
          </w:tcPr>
          <w:p>
            <w:pPr>
              <w:spacing w:line="360" w:lineRule="exact"/>
              <w:ind w:firstLine="0" w:firstLineChars="0"/>
              <w:jc w:val="center"/>
              <w:rPr>
                <w:rFonts w:ascii="宋体" w:hAnsi="宋体"/>
                <w:b/>
                <w:color w:val="auto"/>
                <w:sz w:val="21"/>
                <w:szCs w:val="21"/>
              </w:rPr>
            </w:pPr>
            <w:r>
              <w:rPr>
                <w:rFonts w:hint="eastAsia" w:ascii="宋体" w:hAnsi="宋体"/>
                <w:color w:val="auto"/>
                <w:sz w:val="21"/>
                <w:szCs w:val="21"/>
                <w:u w:val="single"/>
              </w:rPr>
              <w:t>10</w:t>
            </w:r>
            <w:r>
              <w:rPr>
                <w:rFonts w:hint="eastAsia" w:ascii="宋体" w:hAnsi="宋体"/>
                <w:color w:val="auto"/>
                <w:sz w:val="21"/>
                <w:szCs w:val="21"/>
              </w:rPr>
              <w:t>分</w:t>
            </w:r>
          </w:p>
        </w:tc>
        <w:tc>
          <w:tcPr>
            <w:tcW w:w="2468"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评标价得分计算公式：</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(1)如果投标人的评标价&gt;评标基准价，则评标价得分＝F－偏差率×100× E</w:t>
            </w:r>
            <w:r>
              <w:rPr>
                <w:rFonts w:hint="eastAsia" w:ascii="宋体" w:hAnsi="宋体"/>
                <w:color w:val="auto"/>
                <w:sz w:val="21"/>
                <w:szCs w:val="21"/>
                <w:vertAlign w:val="subscript"/>
              </w:rPr>
              <w:t>1</w:t>
            </w:r>
            <w:r>
              <w:rPr>
                <w:rFonts w:hint="eastAsia" w:ascii="宋体" w:hAnsi="宋体"/>
                <w:color w:val="auto"/>
                <w:sz w:val="21"/>
                <w:szCs w:val="21"/>
              </w:rPr>
              <w:t>；</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(2)如果投标人的评标价≤评标基准价且不低于最高投标限价的90%，则评标价得分＝F＋偏差率× 100× E</w:t>
            </w:r>
            <w:r>
              <w:rPr>
                <w:rFonts w:hint="eastAsia" w:ascii="宋体" w:hAnsi="宋体"/>
                <w:color w:val="auto"/>
                <w:sz w:val="21"/>
                <w:szCs w:val="21"/>
                <w:vertAlign w:val="subscript"/>
              </w:rPr>
              <w:t>2</w:t>
            </w:r>
            <w:r>
              <w:rPr>
                <w:rFonts w:hint="eastAsia" w:ascii="宋体" w:hAnsi="宋体"/>
                <w:color w:val="auto"/>
                <w:sz w:val="21"/>
                <w:szCs w:val="21"/>
              </w:rPr>
              <w:t>。</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(3)如果投标人的评标价&lt;最高投标限价90%，则评标价得分=F+偏差率× 100×E</w:t>
            </w:r>
            <w:r>
              <w:rPr>
                <w:rFonts w:hint="eastAsia" w:ascii="宋体" w:hAnsi="宋体"/>
                <w:color w:val="auto"/>
                <w:sz w:val="21"/>
                <w:szCs w:val="21"/>
                <w:vertAlign w:val="subscript"/>
              </w:rPr>
              <w:t>1</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其中：F是评标价所占的权重分值，E</w:t>
            </w:r>
            <w:r>
              <w:rPr>
                <w:rFonts w:hint="eastAsia" w:ascii="宋体" w:hAnsi="宋体"/>
                <w:color w:val="auto"/>
                <w:sz w:val="21"/>
                <w:szCs w:val="21"/>
                <w:vertAlign w:val="subscript"/>
              </w:rPr>
              <w:t>1</w:t>
            </w:r>
            <w:r>
              <w:rPr>
                <w:rFonts w:hint="eastAsia" w:ascii="宋体" w:hAnsi="宋体"/>
                <w:color w:val="auto"/>
                <w:sz w:val="21"/>
                <w:szCs w:val="21"/>
              </w:rPr>
              <w:t>是评标价每高于评标基准价一个百分点或者低于最高投标限价90%的评标价每低于评标基准价一个百分点的扣分值，E</w:t>
            </w:r>
            <w:r>
              <w:rPr>
                <w:rFonts w:hint="eastAsia" w:ascii="宋体" w:hAnsi="宋体"/>
                <w:color w:val="auto"/>
                <w:sz w:val="21"/>
                <w:szCs w:val="21"/>
                <w:vertAlign w:val="subscript"/>
              </w:rPr>
              <w:t>2</w:t>
            </w:r>
            <w:r>
              <w:rPr>
                <w:rFonts w:hint="eastAsia" w:ascii="宋体" w:hAnsi="宋体"/>
                <w:color w:val="auto"/>
                <w:sz w:val="21"/>
                <w:szCs w:val="21"/>
              </w:rPr>
              <w:t>是低于评标基准价但不低于最高投标限价90%的评标价每低于评标基准价一个百分点的扣分值；</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E</w:t>
            </w:r>
            <w:r>
              <w:rPr>
                <w:rFonts w:hint="eastAsia" w:ascii="宋体" w:hAnsi="宋体"/>
                <w:color w:val="auto"/>
                <w:sz w:val="21"/>
                <w:szCs w:val="21"/>
                <w:vertAlign w:val="subscript"/>
              </w:rPr>
              <w:t>1</w:t>
            </w:r>
            <w:r>
              <w:rPr>
                <w:rFonts w:hint="eastAsia" w:ascii="宋体" w:hAnsi="宋体"/>
                <w:color w:val="auto"/>
                <w:sz w:val="21"/>
                <w:szCs w:val="21"/>
              </w:rPr>
              <w:t>=0.2，E</w:t>
            </w:r>
            <w:r>
              <w:rPr>
                <w:rFonts w:hint="eastAsia" w:ascii="宋体" w:hAnsi="宋体"/>
                <w:color w:val="auto"/>
                <w:sz w:val="21"/>
                <w:szCs w:val="21"/>
                <w:vertAlign w:val="subscript"/>
              </w:rPr>
              <w:t>2</w:t>
            </w:r>
            <w:r>
              <w:rPr>
                <w:rFonts w:hint="eastAsia" w:ascii="宋体" w:hAnsi="宋体"/>
                <w:color w:val="auto"/>
                <w:sz w:val="21"/>
                <w:szCs w:val="21"/>
              </w:rPr>
              <w:t>=0.1，F=10；评标价得分最低为0分。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0" w:hRule="atLeast"/>
        </w:trPr>
        <w:tc>
          <w:tcPr>
            <w:tcW w:w="403" w:type="pct"/>
            <w:vMerge w:val="restar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2.2.4</w:t>
            </w:r>
          </w:p>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(4)</w:t>
            </w:r>
          </w:p>
        </w:tc>
        <w:tc>
          <w:tcPr>
            <w:tcW w:w="465" w:type="pct"/>
            <w:vMerge w:val="restar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其他因素</w:t>
            </w:r>
          </w:p>
        </w:tc>
        <w:tc>
          <w:tcPr>
            <w:tcW w:w="555" w:type="pct"/>
            <w:vMerge w:val="restar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5</w:t>
            </w:r>
            <w:r>
              <w:rPr>
                <w:rFonts w:hint="eastAsia" w:ascii="宋体" w:hAnsi="宋体"/>
                <w:color w:val="auto"/>
                <w:sz w:val="21"/>
                <w:szCs w:val="21"/>
              </w:rPr>
              <w:t>分</w:t>
            </w:r>
          </w:p>
        </w:tc>
        <w:tc>
          <w:tcPr>
            <w:tcW w:w="792"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业绩</w:t>
            </w:r>
          </w:p>
        </w:tc>
        <w:tc>
          <w:tcPr>
            <w:tcW w:w="317" w:type="pc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7</w:t>
            </w:r>
            <w:r>
              <w:rPr>
                <w:rFonts w:hint="eastAsia" w:ascii="宋体" w:hAnsi="宋体"/>
                <w:color w:val="auto"/>
                <w:sz w:val="21"/>
                <w:szCs w:val="21"/>
              </w:rPr>
              <w:t>分</w:t>
            </w:r>
          </w:p>
        </w:tc>
        <w:tc>
          <w:tcPr>
            <w:tcW w:w="2468"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近年（2015年10月1日至投标截止日，已完工项目以交工时间为准，在建项目以合同签订时间为准）独立承担的里程不小于35km的高速公路试验检测（须含中心试验室）任务，每1个项目得2.7分，最高得27分。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0" w:hRule="atLeast"/>
        </w:trPr>
        <w:tc>
          <w:tcPr>
            <w:tcW w:w="403" w:type="pct"/>
            <w:vMerge w:val="continue"/>
            <w:vAlign w:val="center"/>
          </w:tcPr>
          <w:p>
            <w:pPr>
              <w:spacing w:line="360" w:lineRule="exact"/>
              <w:ind w:firstLine="0" w:firstLineChars="0"/>
              <w:jc w:val="center"/>
              <w:rPr>
                <w:rFonts w:ascii="宋体" w:hAnsi="宋体"/>
                <w:color w:val="auto"/>
                <w:sz w:val="21"/>
                <w:szCs w:val="21"/>
              </w:rPr>
            </w:pPr>
          </w:p>
        </w:tc>
        <w:tc>
          <w:tcPr>
            <w:tcW w:w="465" w:type="pct"/>
            <w:vMerge w:val="continue"/>
            <w:vAlign w:val="center"/>
          </w:tcPr>
          <w:p>
            <w:pPr>
              <w:spacing w:line="360" w:lineRule="exact"/>
              <w:ind w:firstLine="0" w:firstLineChars="0"/>
              <w:jc w:val="center"/>
              <w:rPr>
                <w:rFonts w:ascii="宋体" w:hAnsi="宋体"/>
                <w:color w:val="auto"/>
                <w:sz w:val="21"/>
                <w:szCs w:val="21"/>
              </w:rPr>
            </w:pPr>
          </w:p>
        </w:tc>
        <w:tc>
          <w:tcPr>
            <w:tcW w:w="555" w:type="pct"/>
            <w:vMerge w:val="continue"/>
            <w:vAlign w:val="center"/>
          </w:tcPr>
          <w:p>
            <w:pPr>
              <w:spacing w:line="360" w:lineRule="exact"/>
              <w:ind w:firstLine="0" w:firstLineChars="0"/>
              <w:jc w:val="center"/>
              <w:rPr>
                <w:rFonts w:ascii="宋体" w:hAnsi="宋体"/>
                <w:color w:val="auto"/>
                <w:sz w:val="21"/>
                <w:szCs w:val="21"/>
              </w:rPr>
            </w:pPr>
          </w:p>
        </w:tc>
        <w:tc>
          <w:tcPr>
            <w:tcW w:w="792"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履约信誉</w:t>
            </w:r>
          </w:p>
        </w:tc>
        <w:tc>
          <w:tcPr>
            <w:tcW w:w="317" w:type="pc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3分</w:t>
            </w:r>
          </w:p>
        </w:tc>
        <w:tc>
          <w:tcPr>
            <w:tcW w:w="2468"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投标人最新信用评价等级为AA级的，加3分；评价等级为A级的，加1.5分；评价等级为B级的，加0分；评价等级为C级的，减1.5分。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0" w:hRule="atLeast"/>
        </w:trPr>
        <w:tc>
          <w:tcPr>
            <w:tcW w:w="403" w:type="pct"/>
            <w:vMerge w:val="continue"/>
            <w:vAlign w:val="center"/>
          </w:tcPr>
          <w:p>
            <w:pPr>
              <w:spacing w:line="360" w:lineRule="exact"/>
              <w:ind w:firstLine="0" w:firstLineChars="0"/>
              <w:jc w:val="center"/>
              <w:rPr>
                <w:rFonts w:ascii="宋体" w:hAnsi="宋体"/>
                <w:color w:val="auto"/>
                <w:sz w:val="21"/>
                <w:szCs w:val="21"/>
              </w:rPr>
            </w:pPr>
          </w:p>
        </w:tc>
        <w:tc>
          <w:tcPr>
            <w:tcW w:w="465" w:type="pct"/>
            <w:vMerge w:val="continue"/>
            <w:vAlign w:val="center"/>
          </w:tcPr>
          <w:p>
            <w:pPr>
              <w:spacing w:line="360" w:lineRule="exact"/>
              <w:ind w:firstLine="0" w:firstLineChars="0"/>
              <w:jc w:val="center"/>
              <w:rPr>
                <w:rFonts w:ascii="宋体" w:hAnsi="宋体"/>
                <w:color w:val="auto"/>
                <w:sz w:val="21"/>
                <w:szCs w:val="21"/>
              </w:rPr>
            </w:pPr>
          </w:p>
        </w:tc>
        <w:tc>
          <w:tcPr>
            <w:tcW w:w="555" w:type="pct"/>
            <w:vMerge w:val="continue"/>
            <w:vAlign w:val="center"/>
          </w:tcPr>
          <w:p>
            <w:pPr>
              <w:spacing w:line="360" w:lineRule="exact"/>
              <w:ind w:firstLine="0" w:firstLineChars="0"/>
              <w:jc w:val="center"/>
              <w:rPr>
                <w:rFonts w:ascii="宋体" w:hAnsi="宋体"/>
                <w:color w:val="auto"/>
                <w:sz w:val="21"/>
                <w:szCs w:val="21"/>
              </w:rPr>
            </w:pPr>
          </w:p>
        </w:tc>
        <w:tc>
          <w:tcPr>
            <w:tcW w:w="792" w:type="pct"/>
            <w:vAlign w:val="center"/>
          </w:tcPr>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企业实力</w:t>
            </w:r>
          </w:p>
        </w:tc>
        <w:tc>
          <w:tcPr>
            <w:tcW w:w="317" w:type="pct"/>
            <w:vAlign w:val="center"/>
          </w:tcPr>
          <w:p>
            <w:pPr>
              <w:spacing w:line="360" w:lineRule="exact"/>
              <w:ind w:firstLine="0" w:firstLineChars="0"/>
              <w:jc w:val="center"/>
              <w:rPr>
                <w:rFonts w:ascii="宋体" w:hAnsi="宋体"/>
                <w:color w:val="auto"/>
                <w:sz w:val="21"/>
                <w:szCs w:val="21"/>
              </w:rPr>
            </w:pPr>
            <w:r>
              <w:rPr>
                <w:rFonts w:hint="eastAsia" w:ascii="宋体" w:hAnsi="宋体"/>
                <w:color w:val="auto"/>
                <w:sz w:val="21"/>
                <w:szCs w:val="21"/>
              </w:rPr>
              <w:t>5分</w:t>
            </w:r>
          </w:p>
        </w:tc>
        <w:tc>
          <w:tcPr>
            <w:tcW w:w="2468" w:type="pct"/>
            <w:vAlign w:val="center"/>
          </w:tcPr>
          <w:p>
            <w:pPr>
              <w:snapToGrid w:val="0"/>
              <w:spacing w:line="300" w:lineRule="auto"/>
              <w:ind w:firstLine="0" w:firstLineChars="0"/>
              <w:jc w:val="both"/>
              <w:rPr>
                <w:rFonts w:ascii="宋体" w:hAnsi="宋体"/>
                <w:color w:val="auto"/>
                <w:sz w:val="21"/>
                <w:szCs w:val="21"/>
              </w:rPr>
            </w:pPr>
            <w:r>
              <w:rPr>
                <w:rFonts w:hint="eastAsia" w:ascii="宋体" w:hAnsi="宋体"/>
                <w:color w:val="auto"/>
                <w:sz w:val="21"/>
                <w:szCs w:val="21"/>
              </w:rPr>
              <w:t>（1）具有省级及以上政府部门颁发的高新技术企业证书，得4分；</w:t>
            </w:r>
          </w:p>
          <w:p>
            <w:pPr>
              <w:spacing w:line="360" w:lineRule="exact"/>
              <w:ind w:firstLine="0" w:firstLineChars="0"/>
              <w:jc w:val="both"/>
              <w:rPr>
                <w:rFonts w:ascii="宋体" w:hAnsi="宋体"/>
                <w:color w:val="auto"/>
                <w:sz w:val="21"/>
                <w:szCs w:val="21"/>
              </w:rPr>
            </w:pPr>
            <w:r>
              <w:rPr>
                <w:rFonts w:hint="eastAsia" w:ascii="宋体" w:hAnsi="宋体"/>
                <w:color w:val="auto"/>
                <w:sz w:val="21"/>
                <w:szCs w:val="21"/>
              </w:rPr>
              <w:t>（2）具有ISO9001质量管理体系认证证书的，得1分；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0" w:hRule="atLeast"/>
        </w:trPr>
        <w:tc>
          <w:tcPr>
            <w:tcW w:w="5000" w:type="pct"/>
            <w:gridSpan w:val="6"/>
            <w:vAlign w:val="center"/>
          </w:tcPr>
          <w:p>
            <w:pPr>
              <w:snapToGrid w:val="0"/>
              <w:spacing w:line="300" w:lineRule="auto"/>
              <w:ind w:firstLine="0" w:firstLineChars="0"/>
              <w:jc w:val="both"/>
              <w:rPr>
                <w:rFonts w:ascii="宋体" w:hAnsi="宋体"/>
                <w:color w:val="auto"/>
                <w:sz w:val="21"/>
                <w:szCs w:val="21"/>
              </w:rPr>
            </w:pPr>
            <w:r>
              <w:rPr>
                <w:rFonts w:hint="eastAsia" w:ascii="宋体" w:hAnsi="宋体"/>
                <w:color w:val="auto"/>
                <w:sz w:val="21"/>
                <w:szCs w:val="21"/>
              </w:rPr>
              <w:t>需要补充的其他内容：</w:t>
            </w:r>
          </w:p>
          <w:p>
            <w:pPr>
              <w:spacing w:line="320" w:lineRule="atLeast"/>
              <w:ind w:firstLine="420"/>
              <w:rPr>
                <w:rFonts w:ascii="宋体" w:hAnsi="宋体"/>
                <w:color w:val="auto"/>
                <w:sz w:val="18"/>
                <w:szCs w:val="18"/>
              </w:rPr>
            </w:pPr>
            <w:r>
              <w:rPr>
                <w:rFonts w:hint="eastAsia" w:ascii="宋体" w:hAnsi="宋体"/>
                <w:color w:val="auto"/>
                <w:sz w:val="21"/>
                <w:szCs w:val="21"/>
              </w:rPr>
              <w:t>各评分因素（评标价、主要人员、业绩、企业实力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tc>
      </w:tr>
    </w:tbl>
    <w:p>
      <w:r>
        <w:br w:type="page"/>
      </w:r>
    </w:p>
    <w:p>
      <w:pPr>
        <w:keepNext/>
        <w:keepLines/>
        <w:ind w:firstLine="0" w:firstLineChars="0"/>
        <w:outlineLvl w:val="0"/>
        <w:rPr>
          <w:rFonts w:ascii="宋体" w:hAnsi="宋体"/>
          <w:b/>
          <w:color w:val="auto"/>
          <w:kern w:val="44"/>
          <w:lang w:val="zh-CN"/>
        </w:rPr>
      </w:pPr>
      <w:r>
        <w:rPr>
          <w:rFonts w:hint="eastAsia" w:ascii="宋体" w:hAnsi="宋体"/>
          <w:b/>
          <w:color w:val="auto"/>
          <w:kern w:val="44"/>
          <w:lang w:val="zh-CN"/>
        </w:rPr>
        <w:t>1. 评标方法</w:t>
      </w:r>
    </w:p>
    <w:p>
      <w:pPr>
        <w:ind w:firstLine="480"/>
        <w:jc w:val="both"/>
        <w:rPr>
          <w:rFonts w:ascii="宋体" w:hAnsi="宋体"/>
          <w:b/>
          <w:color w:val="auto"/>
        </w:rPr>
      </w:pPr>
      <w:r>
        <w:rPr>
          <w:rFonts w:hint="eastAsia" w:ascii="宋体" w:hAnsi="宋体"/>
          <w:color w:val="auto"/>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w:t>
      </w:r>
      <w:r>
        <w:rPr>
          <w:rFonts w:hint="eastAsia" w:ascii="宋体" w:hAnsi="宋体"/>
          <w:bCs/>
          <w:color w:val="auto"/>
        </w:rPr>
        <w:t>评标委员会应按照评标办法前附表规定的优先次序推荐中标候选人或确定中标人。</w:t>
      </w:r>
    </w:p>
    <w:p>
      <w:pPr>
        <w:keepNext/>
        <w:keepLines/>
        <w:ind w:firstLine="0" w:firstLineChars="0"/>
        <w:outlineLvl w:val="0"/>
        <w:rPr>
          <w:rFonts w:ascii="宋体" w:hAnsi="宋体"/>
          <w:b/>
          <w:color w:val="auto"/>
          <w:kern w:val="44"/>
          <w:lang w:val="zh-CN"/>
        </w:rPr>
      </w:pPr>
      <w:bookmarkStart w:id="12" w:name="_Toc503235808"/>
      <w:bookmarkStart w:id="13" w:name="_Toc510015740"/>
      <w:r>
        <w:rPr>
          <w:rFonts w:hint="eastAsia" w:ascii="宋体" w:hAnsi="宋体"/>
          <w:b/>
          <w:color w:val="auto"/>
          <w:kern w:val="44"/>
          <w:lang w:val="zh-CN"/>
        </w:rPr>
        <w:t>2. 评审标准</w:t>
      </w:r>
      <w:bookmarkEnd w:id="12"/>
      <w:bookmarkEnd w:id="13"/>
    </w:p>
    <w:p>
      <w:pPr>
        <w:keepNext/>
        <w:keepLines/>
        <w:ind w:firstLine="0" w:firstLineChars="0"/>
        <w:outlineLvl w:val="0"/>
        <w:rPr>
          <w:rFonts w:ascii="宋体" w:hAnsi="宋体"/>
          <w:b/>
          <w:color w:val="auto"/>
          <w:kern w:val="44"/>
          <w:lang w:val="zh-CN"/>
        </w:rPr>
      </w:pPr>
      <w:bookmarkStart w:id="14" w:name="_Toc503235809"/>
      <w:bookmarkStart w:id="15" w:name="_Toc510015741"/>
      <w:r>
        <w:rPr>
          <w:rFonts w:hint="eastAsia" w:ascii="宋体" w:hAnsi="宋体"/>
          <w:b/>
          <w:color w:val="auto"/>
          <w:kern w:val="44"/>
          <w:lang w:val="zh-CN"/>
        </w:rPr>
        <w:t>2.1 初步评审标准</w:t>
      </w:r>
      <w:bookmarkEnd w:id="14"/>
      <w:bookmarkEnd w:id="15"/>
    </w:p>
    <w:p>
      <w:pPr>
        <w:ind w:firstLine="480"/>
        <w:jc w:val="both"/>
        <w:rPr>
          <w:rFonts w:ascii="宋体" w:hAnsi="宋体"/>
          <w:color w:val="auto"/>
        </w:rPr>
      </w:pPr>
      <w:r>
        <w:rPr>
          <w:rFonts w:hint="eastAsia" w:ascii="宋体" w:hAnsi="宋体"/>
          <w:color w:val="auto"/>
        </w:rPr>
        <w:t>2.1.1 形式评审标准：见评标办法前附表。</w:t>
      </w:r>
    </w:p>
    <w:p>
      <w:pPr>
        <w:ind w:firstLine="480"/>
        <w:jc w:val="both"/>
        <w:rPr>
          <w:rFonts w:ascii="宋体" w:hAnsi="宋体"/>
          <w:color w:val="auto"/>
        </w:rPr>
      </w:pPr>
      <w:r>
        <w:rPr>
          <w:rFonts w:hint="eastAsia" w:ascii="宋体" w:hAnsi="宋体"/>
          <w:color w:val="auto"/>
        </w:rPr>
        <w:t>2.1.2 资格评审标准：见评标办法前附表。（适用于未进行资格预审的）</w:t>
      </w:r>
    </w:p>
    <w:p>
      <w:pPr>
        <w:ind w:firstLine="480"/>
        <w:jc w:val="both"/>
        <w:rPr>
          <w:rFonts w:ascii="宋体" w:hAnsi="宋体"/>
          <w:color w:val="auto"/>
        </w:rPr>
      </w:pPr>
      <w:r>
        <w:rPr>
          <w:rFonts w:hint="eastAsia" w:ascii="宋体" w:hAnsi="宋体"/>
          <w:color w:val="auto"/>
        </w:rPr>
        <w:t>2.1.3 响应性评审标准：见评标办法前附表。</w:t>
      </w:r>
    </w:p>
    <w:p>
      <w:pPr>
        <w:keepNext/>
        <w:keepLines/>
        <w:ind w:firstLine="0" w:firstLineChars="0"/>
        <w:outlineLvl w:val="0"/>
        <w:rPr>
          <w:rFonts w:ascii="宋体" w:hAnsi="宋体"/>
          <w:b/>
          <w:color w:val="auto"/>
          <w:kern w:val="44"/>
          <w:lang w:val="zh-CN"/>
        </w:rPr>
      </w:pPr>
      <w:bookmarkStart w:id="16" w:name="_Toc510015742"/>
      <w:bookmarkStart w:id="17" w:name="_Toc503235810"/>
      <w:r>
        <w:rPr>
          <w:rFonts w:hint="eastAsia" w:ascii="宋体" w:hAnsi="宋体"/>
          <w:b/>
          <w:color w:val="auto"/>
          <w:kern w:val="44"/>
          <w:lang w:val="zh-CN"/>
        </w:rPr>
        <w:t>2.2 分值构成与评分标准</w:t>
      </w:r>
      <w:bookmarkEnd w:id="16"/>
      <w:bookmarkEnd w:id="17"/>
    </w:p>
    <w:p>
      <w:pPr>
        <w:tabs>
          <w:tab w:val="left" w:pos="360"/>
        </w:tabs>
        <w:ind w:firstLine="480"/>
        <w:jc w:val="both"/>
        <w:rPr>
          <w:rFonts w:ascii="宋体" w:hAnsi="宋体"/>
          <w:color w:val="auto"/>
        </w:rPr>
      </w:pPr>
      <w:r>
        <w:rPr>
          <w:rFonts w:hint="eastAsia" w:ascii="宋体" w:hAnsi="宋体"/>
          <w:color w:val="auto"/>
        </w:rPr>
        <w:t>2.2.1 分值构成</w:t>
      </w:r>
    </w:p>
    <w:p>
      <w:pPr>
        <w:ind w:firstLine="480"/>
        <w:jc w:val="both"/>
        <w:rPr>
          <w:rFonts w:ascii="宋体" w:hAnsi="宋体"/>
          <w:color w:val="auto"/>
        </w:rPr>
      </w:pPr>
      <w:r>
        <w:rPr>
          <w:rFonts w:hint="eastAsia" w:ascii="宋体" w:hAnsi="宋体"/>
          <w:color w:val="auto"/>
        </w:rPr>
        <w:t>（1）技术建议书：见评标办法前附表；</w:t>
      </w:r>
    </w:p>
    <w:p>
      <w:pPr>
        <w:ind w:firstLine="480"/>
        <w:jc w:val="both"/>
        <w:rPr>
          <w:rFonts w:ascii="宋体" w:hAnsi="宋体"/>
          <w:color w:val="auto"/>
        </w:rPr>
      </w:pPr>
      <w:r>
        <w:rPr>
          <w:rFonts w:hint="eastAsia" w:ascii="宋体" w:hAnsi="宋体"/>
          <w:color w:val="auto"/>
        </w:rPr>
        <w:t>（2）主要人员：见评标办法前附表；</w:t>
      </w:r>
    </w:p>
    <w:p>
      <w:pPr>
        <w:ind w:firstLine="480"/>
        <w:jc w:val="both"/>
        <w:rPr>
          <w:rFonts w:ascii="宋体" w:hAnsi="宋体"/>
          <w:color w:val="auto"/>
        </w:rPr>
      </w:pPr>
      <w:r>
        <w:rPr>
          <w:rFonts w:hint="eastAsia" w:ascii="宋体" w:hAnsi="宋体"/>
          <w:color w:val="auto"/>
        </w:rPr>
        <w:t>（3）评标价：见评标办法前附表；</w:t>
      </w:r>
    </w:p>
    <w:p>
      <w:pPr>
        <w:ind w:firstLine="480"/>
        <w:jc w:val="both"/>
        <w:rPr>
          <w:rFonts w:ascii="宋体" w:hAnsi="宋体"/>
          <w:color w:val="auto"/>
        </w:rPr>
      </w:pPr>
      <w:r>
        <w:rPr>
          <w:rFonts w:hint="eastAsia" w:ascii="宋体" w:hAnsi="宋体"/>
          <w:color w:val="auto"/>
        </w:rPr>
        <w:t>（4）其他评分因素：见评标办法前附表。</w:t>
      </w:r>
    </w:p>
    <w:p>
      <w:pPr>
        <w:ind w:firstLine="480"/>
        <w:jc w:val="both"/>
        <w:rPr>
          <w:rFonts w:ascii="宋体" w:hAnsi="宋体"/>
          <w:color w:val="auto"/>
        </w:rPr>
      </w:pPr>
      <w:r>
        <w:rPr>
          <w:rFonts w:hint="eastAsia" w:ascii="宋体" w:hAnsi="宋体"/>
          <w:color w:val="auto"/>
        </w:rPr>
        <w:t>2.2.2 评标基准价计算</w:t>
      </w:r>
    </w:p>
    <w:p>
      <w:pPr>
        <w:ind w:firstLine="480"/>
        <w:jc w:val="both"/>
        <w:rPr>
          <w:rFonts w:ascii="宋体" w:hAnsi="宋体"/>
          <w:color w:val="auto"/>
        </w:rPr>
      </w:pPr>
      <w:r>
        <w:rPr>
          <w:rFonts w:hint="eastAsia" w:ascii="宋体" w:hAnsi="宋体"/>
          <w:color w:val="auto"/>
        </w:rPr>
        <w:t>评标基准价计算方法：见评标办法前附表。</w:t>
      </w:r>
    </w:p>
    <w:p>
      <w:pPr>
        <w:ind w:firstLine="480"/>
        <w:jc w:val="both"/>
        <w:rPr>
          <w:rFonts w:ascii="宋体" w:hAnsi="宋体"/>
          <w:color w:val="auto"/>
        </w:rPr>
      </w:pPr>
      <w:r>
        <w:rPr>
          <w:rFonts w:hint="eastAsia" w:ascii="宋体" w:hAnsi="宋体"/>
          <w:color w:val="auto"/>
        </w:rPr>
        <w:t>2.2.3 评标价的偏差率计算</w:t>
      </w:r>
    </w:p>
    <w:p>
      <w:pPr>
        <w:ind w:firstLine="480"/>
        <w:jc w:val="both"/>
        <w:rPr>
          <w:rFonts w:ascii="宋体" w:hAnsi="宋体"/>
          <w:color w:val="auto"/>
        </w:rPr>
      </w:pPr>
      <w:r>
        <w:rPr>
          <w:rFonts w:hint="eastAsia" w:ascii="宋体" w:hAnsi="宋体"/>
          <w:color w:val="auto"/>
        </w:rPr>
        <w:t>评标价的偏差率计算公式：见评标办法前附表。</w:t>
      </w:r>
    </w:p>
    <w:p>
      <w:pPr>
        <w:ind w:firstLine="480"/>
        <w:jc w:val="both"/>
        <w:rPr>
          <w:rFonts w:ascii="宋体" w:hAnsi="宋体"/>
          <w:color w:val="auto"/>
        </w:rPr>
      </w:pPr>
      <w:r>
        <w:rPr>
          <w:rFonts w:hint="eastAsia" w:ascii="宋体" w:hAnsi="宋体"/>
          <w:color w:val="auto"/>
        </w:rPr>
        <w:t>2.2.4 评分标准</w:t>
      </w:r>
    </w:p>
    <w:p>
      <w:pPr>
        <w:ind w:firstLine="480"/>
        <w:jc w:val="both"/>
        <w:rPr>
          <w:rFonts w:ascii="宋体" w:hAnsi="宋体"/>
          <w:color w:val="auto"/>
        </w:rPr>
      </w:pPr>
      <w:r>
        <w:rPr>
          <w:rFonts w:hint="eastAsia" w:ascii="宋体" w:hAnsi="宋体"/>
          <w:color w:val="auto"/>
        </w:rPr>
        <w:t>（1）技术建议书评分标准：见评标办法前附表；</w:t>
      </w:r>
    </w:p>
    <w:p>
      <w:pPr>
        <w:ind w:firstLine="480"/>
        <w:jc w:val="both"/>
        <w:rPr>
          <w:rFonts w:ascii="宋体" w:hAnsi="宋体"/>
          <w:color w:val="auto"/>
        </w:rPr>
      </w:pPr>
      <w:r>
        <w:rPr>
          <w:rFonts w:hint="eastAsia" w:ascii="宋体" w:hAnsi="宋体"/>
          <w:color w:val="auto"/>
        </w:rPr>
        <w:t>（2）主要人员评分标准：见评标办法前附表；</w:t>
      </w:r>
    </w:p>
    <w:p>
      <w:pPr>
        <w:ind w:firstLine="480"/>
        <w:jc w:val="both"/>
        <w:rPr>
          <w:rFonts w:ascii="宋体" w:hAnsi="宋体"/>
          <w:color w:val="auto"/>
        </w:rPr>
      </w:pPr>
      <w:r>
        <w:rPr>
          <w:rFonts w:hint="eastAsia" w:ascii="宋体" w:hAnsi="宋体"/>
          <w:color w:val="auto"/>
        </w:rPr>
        <w:t>（3）评标价评分标准：见评标办法前附表；</w:t>
      </w:r>
    </w:p>
    <w:p>
      <w:pPr>
        <w:ind w:firstLine="480"/>
        <w:jc w:val="both"/>
        <w:rPr>
          <w:rFonts w:ascii="宋体" w:hAnsi="宋体"/>
          <w:color w:val="auto"/>
        </w:rPr>
      </w:pPr>
      <w:r>
        <w:rPr>
          <w:rFonts w:hint="eastAsia" w:ascii="宋体" w:hAnsi="宋体"/>
          <w:color w:val="auto"/>
        </w:rPr>
        <w:t>（4）其他因素评分标准：见评标办法前附表。</w:t>
      </w:r>
    </w:p>
    <w:p>
      <w:pPr>
        <w:keepNext/>
        <w:keepLines/>
        <w:ind w:firstLine="0" w:firstLineChars="0"/>
        <w:outlineLvl w:val="0"/>
        <w:rPr>
          <w:rFonts w:ascii="宋体" w:hAnsi="宋体"/>
          <w:b/>
          <w:color w:val="auto"/>
          <w:kern w:val="44"/>
          <w:lang w:val="zh-CN"/>
        </w:rPr>
      </w:pPr>
      <w:bookmarkStart w:id="18" w:name="_Toc510015743"/>
      <w:bookmarkStart w:id="19" w:name="_Toc503235811"/>
      <w:r>
        <w:rPr>
          <w:rFonts w:hint="eastAsia" w:ascii="宋体" w:hAnsi="宋体"/>
          <w:b/>
          <w:color w:val="auto"/>
          <w:kern w:val="44"/>
          <w:lang w:val="zh-CN"/>
        </w:rPr>
        <w:t>3. 评标程序</w:t>
      </w:r>
      <w:bookmarkEnd w:id="18"/>
      <w:bookmarkEnd w:id="19"/>
    </w:p>
    <w:p>
      <w:pPr>
        <w:keepNext/>
        <w:keepLines/>
        <w:ind w:firstLine="0" w:firstLineChars="0"/>
        <w:outlineLvl w:val="0"/>
        <w:rPr>
          <w:rFonts w:ascii="宋体" w:hAnsi="宋体"/>
          <w:b/>
          <w:color w:val="auto"/>
          <w:kern w:val="44"/>
          <w:lang w:val="zh-CN"/>
        </w:rPr>
      </w:pPr>
      <w:bookmarkStart w:id="20" w:name="_Toc510015744"/>
      <w:bookmarkStart w:id="21" w:name="_Toc503235812"/>
      <w:r>
        <w:rPr>
          <w:rFonts w:hint="eastAsia" w:ascii="宋体" w:hAnsi="宋体"/>
          <w:b/>
          <w:color w:val="auto"/>
          <w:kern w:val="44"/>
          <w:lang w:val="zh-CN"/>
        </w:rPr>
        <w:t>3.1 第一个信封初步评审</w:t>
      </w:r>
      <w:bookmarkEnd w:id="20"/>
      <w:bookmarkEnd w:id="21"/>
    </w:p>
    <w:p>
      <w:pPr>
        <w:ind w:firstLine="480"/>
        <w:jc w:val="both"/>
        <w:rPr>
          <w:rFonts w:ascii="宋体" w:hAnsi="宋体"/>
          <w:color w:val="auto"/>
        </w:rPr>
      </w:pPr>
      <w:r>
        <w:rPr>
          <w:rFonts w:hint="eastAsia" w:ascii="宋体" w:hAnsi="宋体"/>
          <w:color w:val="auto"/>
        </w:rPr>
        <w:t>3.1.1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w:t>
      </w:r>
    </w:p>
    <w:p>
      <w:pPr>
        <w:keepNext/>
        <w:keepLines/>
        <w:ind w:firstLine="0" w:firstLineChars="0"/>
        <w:outlineLvl w:val="0"/>
        <w:rPr>
          <w:rFonts w:ascii="宋体" w:hAnsi="宋体"/>
          <w:b/>
          <w:color w:val="auto"/>
          <w:kern w:val="44"/>
          <w:lang w:val="zh-CN"/>
        </w:rPr>
      </w:pPr>
      <w:bookmarkStart w:id="22" w:name="_Toc510015745"/>
      <w:bookmarkStart w:id="23" w:name="_Toc503235813"/>
      <w:r>
        <w:rPr>
          <w:rFonts w:hint="eastAsia" w:ascii="宋体" w:hAnsi="宋体"/>
          <w:b/>
          <w:color w:val="auto"/>
          <w:kern w:val="44"/>
          <w:lang w:val="zh-CN"/>
        </w:rPr>
        <w:t>3.2 第一个信封详细评审</w:t>
      </w:r>
      <w:bookmarkEnd w:id="22"/>
      <w:bookmarkEnd w:id="23"/>
    </w:p>
    <w:p>
      <w:pPr>
        <w:ind w:firstLine="480"/>
        <w:jc w:val="both"/>
        <w:rPr>
          <w:rFonts w:ascii="宋体" w:hAnsi="宋体"/>
          <w:color w:val="auto"/>
        </w:rPr>
      </w:pPr>
      <w:r>
        <w:rPr>
          <w:rFonts w:hint="eastAsia" w:ascii="宋体" w:hAnsi="宋体"/>
          <w:color w:val="auto"/>
        </w:rPr>
        <w:t>3.2.1 评标委员会按本章第2.2款规定的量化因素和分值进行打分，并计算出各投标人的商务和技术得分。</w:t>
      </w:r>
    </w:p>
    <w:p>
      <w:pPr>
        <w:ind w:firstLine="480"/>
        <w:jc w:val="both"/>
        <w:rPr>
          <w:rFonts w:ascii="宋体" w:hAnsi="宋体"/>
          <w:color w:val="auto"/>
        </w:rPr>
      </w:pPr>
      <w:r>
        <w:rPr>
          <w:rFonts w:hint="eastAsia" w:ascii="宋体" w:hAnsi="宋体"/>
          <w:color w:val="auto"/>
        </w:rPr>
        <w:t>（1）按本章第2.2.4项（1）目规定的评审因素和分值对技术建议书部分计算出得分A；</w:t>
      </w:r>
    </w:p>
    <w:p>
      <w:pPr>
        <w:ind w:firstLine="480"/>
        <w:jc w:val="both"/>
        <w:rPr>
          <w:rFonts w:ascii="宋体" w:hAnsi="宋体"/>
          <w:color w:val="auto"/>
        </w:rPr>
      </w:pPr>
      <w:r>
        <w:rPr>
          <w:rFonts w:hint="eastAsia" w:ascii="宋体" w:hAnsi="宋体"/>
          <w:color w:val="auto"/>
        </w:rPr>
        <w:t>（2）按本章第2.2.4项（2）目规定的评审因素和分值对主要人员部分计算出得分B；</w:t>
      </w:r>
    </w:p>
    <w:p>
      <w:pPr>
        <w:ind w:firstLine="480"/>
        <w:jc w:val="both"/>
        <w:rPr>
          <w:rFonts w:ascii="宋体" w:hAnsi="宋体"/>
          <w:color w:val="auto"/>
        </w:rPr>
      </w:pPr>
      <w:r>
        <w:rPr>
          <w:rFonts w:hint="eastAsia" w:ascii="宋体" w:hAnsi="宋体"/>
          <w:color w:val="auto"/>
        </w:rPr>
        <w:t>（3）按本章第2.2.4项（4）目规定的评审因素和分值对其他部分计算出得分D。</w:t>
      </w:r>
    </w:p>
    <w:p>
      <w:pPr>
        <w:ind w:firstLine="480"/>
        <w:jc w:val="both"/>
        <w:rPr>
          <w:rFonts w:ascii="宋体" w:hAnsi="宋体"/>
          <w:color w:val="auto"/>
        </w:rPr>
      </w:pPr>
      <w:r>
        <w:rPr>
          <w:rFonts w:hint="eastAsia" w:ascii="宋体" w:hAnsi="宋体"/>
          <w:color w:val="auto"/>
        </w:rPr>
        <w:t>3.2.2 投标人的商务和技术得分分值计算保留小数点后两位，小数点后第三位“四舍五入”。</w:t>
      </w:r>
    </w:p>
    <w:p>
      <w:pPr>
        <w:ind w:firstLine="480"/>
        <w:jc w:val="both"/>
        <w:rPr>
          <w:rFonts w:ascii="宋体" w:hAnsi="宋体"/>
          <w:color w:val="auto"/>
        </w:rPr>
      </w:pPr>
      <w:r>
        <w:rPr>
          <w:rFonts w:hint="eastAsia" w:ascii="宋体" w:hAnsi="宋体"/>
          <w:color w:val="auto"/>
        </w:rPr>
        <w:t xml:space="preserve">3.2.3 投标人的商务和技术得分=A+B+D。 </w:t>
      </w:r>
    </w:p>
    <w:p>
      <w:pPr>
        <w:keepNext/>
        <w:keepLines/>
        <w:ind w:firstLine="0" w:firstLineChars="0"/>
        <w:outlineLvl w:val="0"/>
        <w:rPr>
          <w:rFonts w:ascii="宋体" w:hAnsi="宋体"/>
          <w:b/>
          <w:color w:val="auto"/>
          <w:kern w:val="44"/>
          <w:lang w:val="zh-CN"/>
        </w:rPr>
      </w:pPr>
      <w:bookmarkStart w:id="24" w:name="_Toc510015746"/>
      <w:bookmarkStart w:id="25" w:name="_Toc503235814"/>
      <w:r>
        <w:rPr>
          <w:rFonts w:hint="eastAsia" w:ascii="宋体" w:hAnsi="宋体"/>
          <w:b/>
          <w:color w:val="auto"/>
          <w:kern w:val="44"/>
          <w:lang w:val="zh-CN"/>
        </w:rPr>
        <w:t>3.3 第二个信封开标</w:t>
      </w:r>
      <w:bookmarkEnd w:id="24"/>
      <w:bookmarkEnd w:id="25"/>
    </w:p>
    <w:p>
      <w:pPr>
        <w:ind w:firstLine="480"/>
        <w:jc w:val="both"/>
        <w:rPr>
          <w:rFonts w:ascii="宋体" w:hAnsi="宋体"/>
          <w:color w:val="auto"/>
        </w:rPr>
      </w:pPr>
      <w:r>
        <w:rPr>
          <w:rFonts w:hint="eastAsia" w:ascii="宋体" w:hAnsi="宋体"/>
          <w:color w:val="auto"/>
        </w:rPr>
        <w:t>第一个信封（商务及技术文件）评审结束后，招标人将按照第二章“投标人须知”第5.1款规定的时间和地点对通过投标文件第一个信封（商务及技术文件）评审的投标文件第二个信封（报价文件）进行开标。</w:t>
      </w:r>
    </w:p>
    <w:p>
      <w:pPr>
        <w:keepNext/>
        <w:keepLines/>
        <w:ind w:firstLine="0" w:firstLineChars="0"/>
        <w:outlineLvl w:val="0"/>
        <w:rPr>
          <w:rFonts w:ascii="宋体" w:hAnsi="宋体"/>
          <w:b/>
          <w:color w:val="auto"/>
          <w:kern w:val="44"/>
          <w:lang w:val="zh-CN"/>
        </w:rPr>
      </w:pPr>
      <w:bookmarkStart w:id="26" w:name="_Toc503235815"/>
      <w:bookmarkStart w:id="27" w:name="_Toc510015747"/>
      <w:r>
        <w:rPr>
          <w:rFonts w:hint="eastAsia" w:ascii="宋体" w:hAnsi="宋体"/>
          <w:b/>
          <w:color w:val="auto"/>
          <w:kern w:val="44"/>
          <w:lang w:val="zh-CN"/>
        </w:rPr>
        <w:t>3.4 第二个信封初步评审</w:t>
      </w:r>
      <w:bookmarkEnd w:id="26"/>
      <w:bookmarkEnd w:id="27"/>
    </w:p>
    <w:p>
      <w:pPr>
        <w:ind w:firstLine="480"/>
        <w:jc w:val="both"/>
        <w:rPr>
          <w:rFonts w:ascii="宋体" w:hAnsi="宋体"/>
          <w:color w:val="auto"/>
        </w:rPr>
      </w:pPr>
      <w:r>
        <w:rPr>
          <w:rFonts w:hint="eastAsia" w:ascii="宋体" w:hAnsi="宋体"/>
          <w:color w:val="auto"/>
        </w:rPr>
        <w:t>3.4.1 评标委员会依据本章第2.1.1项、第2.1.3项规定的评审标准对投标文件第二个信封（报价文件）进行初步评审。有一项不符合评审标准的，评标委员会应否决其投标。</w:t>
      </w:r>
    </w:p>
    <w:p>
      <w:pPr>
        <w:ind w:firstLine="480"/>
        <w:jc w:val="both"/>
        <w:rPr>
          <w:rFonts w:ascii="宋体" w:hAnsi="宋体"/>
          <w:color w:val="auto"/>
        </w:rPr>
      </w:pPr>
      <w:r>
        <w:rPr>
          <w:rFonts w:hint="eastAsia" w:ascii="宋体" w:hAnsi="宋体"/>
          <w:color w:val="auto"/>
        </w:rPr>
        <w:t>3.4.2 投标报价有算术错误的，评标委员会按以下原则对投标报价进行修正，修正的价格经投标人书面确认后具有约束力。投标人不接受修正价格的，评标委员会应否决其投标。</w:t>
      </w:r>
    </w:p>
    <w:p>
      <w:pPr>
        <w:ind w:firstLine="480"/>
        <w:jc w:val="both"/>
        <w:rPr>
          <w:rFonts w:ascii="宋体" w:hAnsi="宋体"/>
          <w:color w:val="auto"/>
        </w:rPr>
      </w:pPr>
      <w:r>
        <w:rPr>
          <w:rFonts w:hint="eastAsia" w:ascii="宋体" w:hAnsi="宋体"/>
          <w:color w:val="auto"/>
        </w:rPr>
        <w:t>（1）投标文件中的大写金额与小写金额不一致的，以大写金额为准；</w:t>
      </w:r>
    </w:p>
    <w:p>
      <w:pPr>
        <w:ind w:firstLine="480"/>
        <w:jc w:val="both"/>
        <w:rPr>
          <w:rFonts w:ascii="宋体" w:hAnsi="宋体"/>
          <w:color w:val="auto"/>
        </w:rPr>
      </w:pPr>
      <w:r>
        <w:rPr>
          <w:rFonts w:hint="eastAsia" w:ascii="宋体" w:hAnsi="宋体"/>
          <w:color w:val="auto"/>
        </w:rPr>
        <w:t>（2）总价金额与依据单价计算出的结果不一致的，以单价金额为准修正总价，但单价金额小数点有明显错误的除外；</w:t>
      </w:r>
    </w:p>
    <w:p>
      <w:pPr>
        <w:ind w:firstLine="480"/>
        <w:jc w:val="both"/>
        <w:rPr>
          <w:rFonts w:ascii="宋体" w:hAnsi="宋体"/>
          <w:color w:val="auto"/>
        </w:rPr>
      </w:pPr>
      <w:r>
        <w:rPr>
          <w:rFonts w:hint="eastAsia" w:ascii="宋体" w:hAnsi="宋体"/>
          <w:color w:val="auto"/>
        </w:rPr>
        <w:t>（3）当单价与数量相乘不等于合价时，以单价计算为准，如果单价有明显的小数点位置差错，应以标出的合价为准，同时对单价予以修正；</w:t>
      </w:r>
    </w:p>
    <w:p>
      <w:pPr>
        <w:ind w:firstLine="480"/>
        <w:jc w:val="both"/>
        <w:rPr>
          <w:rFonts w:ascii="宋体" w:hAnsi="宋体"/>
          <w:color w:val="auto"/>
        </w:rPr>
      </w:pPr>
      <w:r>
        <w:rPr>
          <w:rFonts w:hint="eastAsia" w:ascii="宋体" w:hAnsi="宋体"/>
          <w:color w:val="auto"/>
        </w:rPr>
        <w:t>（4）当各子目的合价累计不等于总价时，应以各子目合价累计数为准，修正总价。</w:t>
      </w:r>
    </w:p>
    <w:p>
      <w:pPr>
        <w:ind w:firstLine="480"/>
        <w:jc w:val="both"/>
        <w:rPr>
          <w:rFonts w:ascii="宋体" w:hAnsi="宋体"/>
          <w:color w:val="auto"/>
        </w:rPr>
      </w:pPr>
      <w:r>
        <w:rPr>
          <w:rFonts w:hint="eastAsia" w:ascii="宋体" w:hAnsi="宋体"/>
          <w:color w:val="auto"/>
        </w:rPr>
        <w:t>3.4.3 修正后的最终投标报价若超过最高投标限价（如有），评标委员会应否决其投标。</w:t>
      </w:r>
    </w:p>
    <w:p>
      <w:pPr>
        <w:ind w:firstLine="480"/>
        <w:jc w:val="both"/>
        <w:rPr>
          <w:rFonts w:ascii="宋体" w:hAnsi="宋体"/>
          <w:color w:val="auto"/>
        </w:rPr>
      </w:pPr>
      <w:r>
        <w:rPr>
          <w:rFonts w:hint="eastAsia" w:ascii="宋体" w:hAnsi="宋体"/>
          <w:color w:val="auto"/>
        </w:rPr>
        <w:t>3.4.4 修正后的最终投标报价仅作为签订合同的一个依据，不参与评标价得分的计算。</w:t>
      </w:r>
    </w:p>
    <w:p>
      <w:pPr>
        <w:keepNext/>
        <w:keepLines/>
        <w:ind w:firstLine="0" w:firstLineChars="0"/>
        <w:outlineLvl w:val="0"/>
        <w:rPr>
          <w:rFonts w:ascii="宋体" w:hAnsi="宋体"/>
          <w:b/>
          <w:color w:val="auto"/>
          <w:kern w:val="44"/>
          <w:lang w:val="zh-CN"/>
        </w:rPr>
      </w:pPr>
      <w:bookmarkStart w:id="28" w:name="_Toc510015748"/>
      <w:bookmarkStart w:id="29" w:name="_Toc503235816"/>
      <w:r>
        <w:rPr>
          <w:rFonts w:hint="eastAsia" w:ascii="宋体" w:hAnsi="宋体"/>
          <w:b/>
          <w:color w:val="auto"/>
          <w:kern w:val="44"/>
          <w:lang w:val="zh-CN"/>
        </w:rPr>
        <w:t>3.5 第二个信封详细评审</w:t>
      </w:r>
      <w:bookmarkEnd w:id="28"/>
      <w:bookmarkEnd w:id="29"/>
    </w:p>
    <w:p>
      <w:pPr>
        <w:ind w:firstLine="480"/>
        <w:jc w:val="both"/>
        <w:rPr>
          <w:rFonts w:ascii="宋体" w:hAnsi="宋体"/>
          <w:color w:val="auto"/>
        </w:rPr>
      </w:pPr>
      <w:r>
        <w:rPr>
          <w:rFonts w:hint="eastAsia" w:ascii="宋体" w:hAnsi="宋体"/>
          <w:color w:val="auto"/>
        </w:rPr>
        <w:t>3.5.1 评标委员会按本章第2.2.4项（3）目规定的评审因素和分值对评标价计算出得分C。评标价得分分值计算保留小数点后两位，小数点后第三位“四舍五入”。</w:t>
      </w:r>
    </w:p>
    <w:p>
      <w:pPr>
        <w:ind w:firstLine="480"/>
        <w:jc w:val="both"/>
        <w:rPr>
          <w:rFonts w:ascii="宋体" w:hAnsi="宋体"/>
          <w:color w:val="auto"/>
        </w:rPr>
      </w:pPr>
      <w:r>
        <w:rPr>
          <w:rFonts w:hint="eastAsia" w:ascii="宋体" w:hAnsi="宋体"/>
          <w:color w:val="auto"/>
        </w:rPr>
        <w:t>3.5.2 投标人综合得分=投标人的商务和技术得分+C。</w:t>
      </w:r>
    </w:p>
    <w:p>
      <w:pPr>
        <w:ind w:firstLine="480"/>
        <w:jc w:val="both"/>
        <w:rPr>
          <w:rFonts w:ascii="宋体" w:hAnsi="宋体"/>
          <w:color w:val="auto"/>
        </w:rPr>
      </w:pPr>
      <w:r>
        <w:rPr>
          <w:rFonts w:hint="eastAsia" w:ascii="宋体" w:hAnsi="宋体"/>
          <w:color w:val="auto"/>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keepNext/>
        <w:keepLines/>
        <w:ind w:firstLine="0" w:firstLineChars="0"/>
        <w:outlineLvl w:val="0"/>
        <w:rPr>
          <w:rFonts w:ascii="宋体" w:hAnsi="宋体"/>
          <w:b/>
          <w:color w:val="auto"/>
          <w:kern w:val="44"/>
          <w:lang w:val="zh-CN"/>
        </w:rPr>
      </w:pPr>
      <w:bookmarkStart w:id="30" w:name="_Toc510015749"/>
      <w:bookmarkStart w:id="31" w:name="_Toc503235817"/>
      <w:r>
        <w:rPr>
          <w:rFonts w:hint="eastAsia" w:ascii="宋体" w:hAnsi="宋体"/>
          <w:b/>
          <w:color w:val="auto"/>
          <w:kern w:val="44"/>
          <w:lang w:val="zh-CN"/>
        </w:rPr>
        <w:t>3.6 投标文件相关信息的核查</w:t>
      </w:r>
      <w:bookmarkEnd w:id="30"/>
      <w:bookmarkEnd w:id="31"/>
    </w:p>
    <w:p>
      <w:pPr>
        <w:ind w:firstLine="480"/>
        <w:jc w:val="both"/>
        <w:rPr>
          <w:rFonts w:ascii="宋体" w:hAnsi="宋体"/>
          <w:color w:val="auto"/>
        </w:rPr>
      </w:pPr>
      <w:r>
        <w:rPr>
          <w:rFonts w:hint="eastAsia" w:ascii="宋体" w:hAnsi="宋体"/>
          <w:color w:val="auto"/>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ind w:firstLine="480"/>
        <w:jc w:val="both"/>
        <w:rPr>
          <w:rFonts w:ascii="宋体" w:hAnsi="宋体"/>
          <w:color w:val="auto"/>
        </w:rPr>
      </w:pPr>
      <w:r>
        <w:rPr>
          <w:rFonts w:hint="eastAsia" w:ascii="宋体" w:hAnsi="宋体"/>
          <w:color w:val="auto"/>
        </w:rPr>
        <w:t>3.6.2 评标委员会应对在评标过程中发现的投标人与投标人之间、投标人与招标人之间存在的串通投标的情形进行评审和认定。投标人存在串通投标、弄虚作假、行贿等违法行为的，评标委员会应否决其投标。</w:t>
      </w:r>
    </w:p>
    <w:p>
      <w:pPr>
        <w:ind w:firstLine="480"/>
        <w:jc w:val="both"/>
        <w:rPr>
          <w:rFonts w:ascii="宋体" w:hAnsi="宋体"/>
          <w:color w:val="auto"/>
        </w:rPr>
      </w:pPr>
      <w:r>
        <w:rPr>
          <w:rFonts w:hint="eastAsia" w:ascii="宋体" w:hAnsi="宋体"/>
          <w:color w:val="auto"/>
        </w:rPr>
        <w:t>（1）有下列情形之一的，属于投标人相互串通投标：</w:t>
      </w:r>
    </w:p>
    <w:p>
      <w:pPr>
        <w:ind w:firstLine="480"/>
        <w:jc w:val="both"/>
        <w:rPr>
          <w:rFonts w:ascii="宋体" w:hAnsi="宋体"/>
          <w:color w:val="auto"/>
        </w:rPr>
      </w:pPr>
      <w:r>
        <w:rPr>
          <w:rFonts w:hint="eastAsia" w:ascii="宋体" w:hAnsi="宋体"/>
          <w:color w:val="auto"/>
        </w:rPr>
        <w:t>a.投标人之间协商投标报价等投标文件的实质性内容；</w:t>
      </w:r>
    </w:p>
    <w:p>
      <w:pPr>
        <w:ind w:firstLine="480"/>
        <w:jc w:val="both"/>
        <w:rPr>
          <w:rFonts w:ascii="宋体" w:hAnsi="宋体"/>
          <w:color w:val="auto"/>
        </w:rPr>
      </w:pPr>
      <w:r>
        <w:rPr>
          <w:rFonts w:hint="eastAsia" w:ascii="宋体" w:hAnsi="宋体"/>
          <w:color w:val="auto"/>
        </w:rPr>
        <w:t>b.投标人之间约定中标人；</w:t>
      </w:r>
    </w:p>
    <w:p>
      <w:pPr>
        <w:ind w:firstLine="480"/>
        <w:jc w:val="both"/>
        <w:rPr>
          <w:rFonts w:ascii="宋体" w:hAnsi="宋体"/>
          <w:color w:val="auto"/>
        </w:rPr>
      </w:pPr>
      <w:r>
        <w:rPr>
          <w:rFonts w:hint="eastAsia" w:ascii="宋体" w:hAnsi="宋体"/>
          <w:color w:val="auto"/>
        </w:rPr>
        <w:t>c.投标人之间约定部分投标人放弃投标或中标；</w:t>
      </w:r>
    </w:p>
    <w:p>
      <w:pPr>
        <w:ind w:firstLine="480"/>
        <w:jc w:val="both"/>
        <w:rPr>
          <w:rFonts w:ascii="宋体" w:hAnsi="宋体"/>
          <w:color w:val="auto"/>
        </w:rPr>
      </w:pPr>
      <w:r>
        <w:rPr>
          <w:rFonts w:hint="eastAsia" w:ascii="宋体" w:hAnsi="宋体"/>
          <w:color w:val="auto"/>
        </w:rPr>
        <w:t>d.属于同一集团、协会、商会等组织成员的投标人按照该组织要求协同投标；</w:t>
      </w:r>
    </w:p>
    <w:p>
      <w:pPr>
        <w:ind w:firstLine="480"/>
        <w:jc w:val="both"/>
        <w:rPr>
          <w:rFonts w:ascii="宋体" w:hAnsi="宋体"/>
          <w:color w:val="auto"/>
        </w:rPr>
      </w:pPr>
      <w:r>
        <w:rPr>
          <w:rFonts w:hint="eastAsia" w:ascii="宋体" w:hAnsi="宋体"/>
          <w:color w:val="auto"/>
        </w:rPr>
        <w:t>e.投标人之间为谋取中标或排斥特定投标人而采取的其他联合行动。</w:t>
      </w:r>
    </w:p>
    <w:p>
      <w:pPr>
        <w:ind w:firstLine="480"/>
        <w:jc w:val="both"/>
        <w:rPr>
          <w:rFonts w:ascii="宋体" w:hAnsi="宋体"/>
          <w:color w:val="auto"/>
        </w:rPr>
      </w:pPr>
      <w:r>
        <w:rPr>
          <w:rFonts w:hint="eastAsia" w:ascii="宋体" w:hAnsi="宋体"/>
          <w:color w:val="auto"/>
        </w:rPr>
        <w:t>（2）有下列情形之一的，视为投标人相互串通投标：</w:t>
      </w:r>
    </w:p>
    <w:p>
      <w:pPr>
        <w:ind w:firstLine="480"/>
        <w:jc w:val="both"/>
        <w:rPr>
          <w:rFonts w:ascii="宋体" w:hAnsi="宋体"/>
          <w:color w:val="auto"/>
        </w:rPr>
      </w:pPr>
      <w:r>
        <w:rPr>
          <w:rFonts w:hint="eastAsia" w:ascii="宋体" w:hAnsi="宋体"/>
          <w:color w:val="auto"/>
        </w:rPr>
        <w:t>a.不同投标人的投标文件由同一单位或个人编制；</w:t>
      </w:r>
    </w:p>
    <w:p>
      <w:pPr>
        <w:ind w:firstLine="480"/>
        <w:jc w:val="both"/>
        <w:rPr>
          <w:rFonts w:ascii="宋体" w:hAnsi="宋体"/>
          <w:color w:val="auto"/>
        </w:rPr>
      </w:pPr>
      <w:r>
        <w:rPr>
          <w:rFonts w:hint="eastAsia" w:ascii="宋体" w:hAnsi="宋体"/>
          <w:color w:val="auto"/>
        </w:rPr>
        <w:t>b.不同投标人委托同一单位或个人办理投标事宜；</w:t>
      </w:r>
    </w:p>
    <w:p>
      <w:pPr>
        <w:ind w:firstLine="480"/>
        <w:jc w:val="both"/>
        <w:rPr>
          <w:rFonts w:ascii="宋体" w:hAnsi="宋体"/>
          <w:color w:val="auto"/>
        </w:rPr>
      </w:pPr>
      <w:r>
        <w:rPr>
          <w:rFonts w:hint="eastAsia" w:ascii="宋体" w:hAnsi="宋体"/>
          <w:color w:val="auto"/>
        </w:rPr>
        <w:t>c.不同投标人的投标文件载明的项目管理成员为同一人；</w:t>
      </w:r>
    </w:p>
    <w:p>
      <w:pPr>
        <w:ind w:firstLine="480"/>
        <w:jc w:val="both"/>
        <w:rPr>
          <w:rFonts w:ascii="宋体" w:hAnsi="宋体"/>
          <w:color w:val="auto"/>
        </w:rPr>
      </w:pPr>
      <w:r>
        <w:rPr>
          <w:rFonts w:hint="eastAsia" w:ascii="宋体" w:hAnsi="宋体"/>
          <w:color w:val="auto"/>
        </w:rPr>
        <w:t>d.不同投标人的投标文件异常一致或投标报价呈规律性差异；</w:t>
      </w:r>
    </w:p>
    <w:p>
      <w:pPr>
        <w:ind w:firstLine="480"/>
        <w:jc w:val="both"/>
        <w:rPr>
          <w:rFonts w:ascii="宋体" w:hAnsi="宋体"/>
          <w:color w:val="auto"/>
        </w:rPr>
      </w:pPr>
      <w:r>
        <w:rPr>
          <w:rFonts w:hint="eastAsia" w:ascii="宋体" w:hAnsi="宋体"/>
          <w:color w:val="auto"/>
        </w:rPr>
        <w:t>e.不同投标人的投标文件相互混装；</w:t>
      </w:r>
    </w:p>
    <w:p>
      <w:pPr>
        <w:ind w:firstLine="480"/>
        <w:jc w:val="both"/>
        <w:rPr>
          <w:rFonts w:ascii="宋体" w:hAnsi="宋体"/>
          <w:color w:val="auto"/>
        </w:rPr>
      </w:pPr>
      <w:r>
        <w:rPr>
          <w:rFonts w:hint="eastAsia" w:ascii="宋体" w:hAnsi="宋体"/>
          <w:color w:val="auto"/>
        </w:rPr>
        <w:t>f.不同投标人的投标保证金从同一单位或个人的账户转出。</w:t>
      </w:r>
    </w:p>
    <w:p>
      <w:pPr>
        <w:ind w:firstLine="480"/>
        <w:jc w:val="both"/>
        <w:rPr>
          <w:rFonts w:ascii="宋体" w:hAnsi="宋体"/>
          <w:color w:val="auto"/>
        </w:rPr>
      </w:pPr>
      <w:r>
        <w:rPr>
          <w:rFonts w:hint="eastAsia" w:ascii="宋体" w:hAnsi="宋体"/>
          <w:color w:val="auto"/>
        </w:rPr>
        <w:t>（3）有下列情形之一的，属于招标人与投标人串通投标：</w:t>
      </w:r>
    </w:p>
    <w:p>
      <w:pPr>
        <w:ind w:firstLine="480"/>
        <w:jc w:val="both"/>
        <w:rPr>
          <w:rFonts w:ascii="宋体" w:hAnsi="宋体"/>
          <w:color w:val="auto"/>
        </w:rPr>
      </w:pPr>
      <w:r>
        <w:rPr>
          <w:rFonts w:hint="eastAsia" w:ascii="宋体" w:hAnsi="宋体"/>
          <w:color w:val="auto"/>
        </w:rPr>
        <w:t>a.招标人在开标前开启投标文件并将有关信息泄露给其他投标人;</w:t>
      </w:r>
    </w:p>
    <w:p>
      <w:pPr>
        <w:ind w:firstLine="480"/>
        <w:jc w:val="both"/>
        <w:rPr>
          <w:rFonts w:ascii="宋体" w:hAnsi="宋体"/>
          <w:color w:val="auto"/>
        </w:rPr>
      </w:pPr>
      <w:r>
        <w:rPr>
          <w:rFonts w:hint="eastAsia" w:ascii="宋体" w:hAnsi="宋体"/>
          <w:color w:val="auto"/>
        </w:rPr>
        <w:t>b.招标人直接或间接向投标人泄露标底、评标委员会成员等信息；</w:t>
      </w:r>
    </w:p>
    <w:p>
      <w:pPr>
        <w:ind w:firstLine="480"/>
        <w:jc w:val="both"/>
        <w:rPr>
          <w:rFonts w:ascii="宋体" w:hAnsi="宋体"/>
          <w:color w:val="auto"/>
        </w:rPr>
      </w:pPr>
      <w:r>
        <w:rPr>
          <w:rFonts w:hint="eastAsia" w:ascii="宋体" w:hAnsi="宋体"/>
          <w:color w:val="auto"/>
        </w:rPr>
        <w:t>c.招标人明示或暗示投标人压低或抬高投标报价；</w:t>
      </w:r>
    </w:p>
    <w:p>
      <w:pPr>
        <w:ind w:firstLine="480"/>
        <w:jc w:val="both"/>
        <w:rPr>
          <w:rFonts w:ascii="宋体" w:hAnsi="宋体"/>
          <w:color w:val="auto"/>
        </w:rPr>
      </w:pPr>
      <w:r>
        <w:rPr>
          <w:rFonts w:hint="eastAsia" w:ascii="宋体" w:hAnsi="宋体"/>
          <w:color w:val="auto"/>
        </w:rPr>
        <w:t>d.招标人授意投标人撤换、修改投标文件；</w:t>
      </w:r>
    </w:p>
    <w:p>
      <w:pPr>
        <w:ind w:firstLine="480"/>
        <w:jc w:val="both"/>
        <w:rPr>
          <w:rFonts w:ascii="宋体" w:hAnsi="宋体"/>
          <w:color w:val="auto"/>
        </w:rPr>
      </w:pPr>
      <w:r>
        <w:rPr>
          <w:rFonts w:hint="eastAsia" w:ascii="宋体" w:hAnsi="宋体"/>
          <w:color w:val="auto"/>
        </w:rPr>
        <w:t>e.招标人明示或暗示投标人为特定投标人中标提供方便；</w:t>
      </w:r>
    </w:p>
    <w:p>
      <w:pPr>
        <w:ind w:firstLine="480"/>
        <w:jc w:val="both"/>
        <w:rPr>
          <w:rFonts w:ascii="宋体" w:hAnsi="宋体"/>
          <w:color w:val="auto"/>
        </w:rPr>
      </w:pPr>
      <w:r>
        <w:rPr>
          <w:rFonts w:hint="eastAsia" w:ascii="宋体" w:hAnsi="宋体"/>
          <w:color w:val="auto"/>
        </w:rPr>
        <w:t>f.招标人与投标人为谋求特定投标人中标而采取的其他串通行为。</w:t>
      </w:r>
    </w:p>
    <w:p>
      <w:pPr>
        <w:ind w:firstLine="480"/>
        <w:jc w:val="both"/>
        <w:rPr>
          <w:rFonts w:ascii="宋体" w:hAnsi="宋体"/>
          <w:color w:val="auto"/>
        </w:rPr>
      </w:pPr>
      <w:r>
        <w:rPr>
          <w:rFonts w:hint="eastAsia" w:ascii="宋体" w:hAnsi="宋体"/>
          <w:color w:val="auto"/>
        </w:rPr>
        <w:t>（4）投标人有下列情形之一的，属于弄虚作假的行为：</w:t>
      </w:r>
    </w:p>
    <w:p>
      <w:pPr>
        <w:ind w:firstLine="480"/>
        <w:jc w:val="both"/>
        <w:rPr>
          <w:rFonts w:ascii="宋体" w:hAnsi="宋体"/>
          <w:color w:val="auto"/>
        </w:rPr>
      </w:pPr>
      <w:r>
        <w:rPr>
          <w:rFonts w:hint="eastAsia" w:ascii="宋体" w:hAnsi="宋体"/>
          <w:color w:val="auto"/>
        </w:rPr>
        <w:t>a.使用通过受让或租借等方式获取的资格、资质证书投标；</w:t>
      </w:r>
    </w:p>
    <w:p>
      <w:pPr>
        <w:ind w:firstLine="480"/>
        <w:jc w:val="both"/>
        <w:rPr>
          <w:rFonts w:ascii="宋体" w:hAnsi="宋体"/>
          <w:color w:val="auto"/>
        </w:rPr>
      </w:pPr>
      <w:r>
        <w:rPr>
          <w:rFonts w:hint="eastAsia" w:ascii="宋体" w:hAnsi="宋体"/>
          <w:color w:val="auto"/>
        </w:rPr>
        <w:t>b.使用伪造、变造的许可证件；</w:t>
      </w:r>
    </w:p>
    <w:p>
      <w:pPr>
        <w:ind w:firstLine="480"/>
        <w:jc w:val="both"/>
        <w:rPr>
          <w:rFonts w:ascii="宋体" w:hAnsi="宋体"/>
          <w:color w:val="auto"/>
        </w:rPr>
      </w:pPr>
      <w:r>
        <w:rPr>
          <w:rFonts w:hint="eastAsia" w:ascii="宋体" w:hAnsi="宋体"/>
          <w:color w:val="auto"/>
        </w:rPr>
        <w:t>c.提供虚假的业绩；</w:t>
      </w:r>
    </w:p>
    <w:p>
      <w:pPr>
        <w:ind w:firstLine="480"/>
        <w:jc w:val="both"/>
        <w:rPr>
          <w:rFonts w:ascii="宋体" w:hAnsi="宋体"/>
          <w:color w:val="auto"/>
        </w:rPr>
      </w:pPr>
      <w:r>
        <w:rPr>
          <w:rFonts w:hint="eastAsia" w:ascii="宋体" w:hAnsi="宋体"/>
          <w:color w:val="auto"/>
        </w:rPr>
        <w:t>d.提供虚假的项目负责人或主要技术人员简历、劳动关系证明；</w:t>
      </w:r>
    </w:p>
    <w:p>
      <w:pPr>
        <w:ind w:firstLine="480"/>
        <w:jc w:val="both"/>
        <w:rPr>
          <w:rFonts w:ascii="宋体" w:hAnsi="宋体"/>
          <w:color w:val="auto"/>
        </w:rPr>
      </w:pPr>
      <w:r>
        <w:rPr>
          <w:rFonts w:hint="eastAsia" w:ascii="宋体" w:hAnsi="宋体"/>
          <w:color w:val="auto"/>
        </w:rPr>
        <w:t>e.提供虚假的信用状况；</w:t>
      </w:r>
    </w:p>
    <w:p>
      <w:pPr>
        <w:ind w:firstLine="480"/>
        <w:jc w:val="both"/>
        <w:rPr>
          <w:rFonts w:ascii="宋体" w:hAnsi="宋体"/>
          <w:color w:val="auto"/>
        </w:rPr>
      </w:pPr>
      <w:r>
        <w:rPr>
          <w:rFonts w:hint="eastAsia" w:ascii="宋体" w:hAnsi="宋体"/>
          <w:color w:val="auto"/>
        </w:rPr>
        <w:t>f.其他弄虚作假的行为。</w:t>
      </w:r>
    </w:p>
    <w:p>
      <w:pPr>
        <w:keepNext/>
        <w:keepLines/>
        <w:ind w:firstLine="0" w:firstLineChars="0"/>
        <w:outlineLvl w:val="0"/>
        <w:rPr>
          <w:rFonts w:ascii="宋体" w:hAnsi="宋体"/>
          <w:b/>
          <w:color w:val="auto"/>
          <w:kern w:val="44"/>
          <w:lang w:val="zh-CN"/>
        </w:rPr>
      </w:pPr>
      <w:bookmarkStart w:id="32" w:name="_Toc510015750"/>
      <w:bookmarkStart w:id="33" w:name="_Toc503235818"/>
      <w:r>
        <w:rPr>
          <w:rFonts w:hint="eastAsia" w:ascii="宋体" w:hAnsi="宋体"/>
          <w:b/>
          <w:color w:val="auto"/>
          <w:kern w:val="44"/>
          <w:lang w:val="zh-CN"/>
        </w:rPr>
        <w:t>3.7 投标文件的澄清和说明</w:t>
      </w:r>
      <w:bookmarkEnd w:id="32"/>
      <w:bookmarkEnd w:id="33"/>
    </w:p>
    <w:p>
      <w:pPr>
        <w:ind w:firstLine="480"/>
        <w:jc w:val="both"/>
        <w:rPr>
          <w:rFonts w:ascii="宋体" w:hAnsi="宋体"/>
          <w:color w:val="auto"/>
        </w:rPr>
      </w:pPr>
      <w:r>
        <w:rPr>
          <w:rFonts w:hint="eastAsia" w:ascii="宋体" w:hAnsi="宋体"/>
          <w:color w:val="auto"/>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ind w:firstLine="480"/>
        <w:jc w:val="both"/>
        <w:rPr>
          <w:rFonts w:ascii="宋体" w:hAnsi="宋体"/>
          <w:color w:val="auto"/>
        </w:rPr>
      </w:pPr>
      <w:r>
        <w:rPr>
          <w:rFonts w:hint="eastAsia" w:ascii="宋体" w:hAnsi="宋体"/>
          <w:color w:val="auto"/>
        </w:rPr>
        <w:t>3.7.2 澄清和说明不得超出投标文件的范围或改变投标文件的实质性内容（算术性错误的修正除外）。投标人的书面澄清、说明属于投标文件的组成部分。</w:t>
      </w:r>
    </w:p>
    <w:p>
      <w:pPr>
        <w:ind w:firstLine="480"/>
        <w:jc w:val="both"/>
        <w:rPr>
          <w:rFonts w:ascii="宋体" w:hAnsi="宋体"/>
          <w:color w:val="auto"/>
        </w:rPr>
      </w:pPr>
      <w:r>
        <w:rPr>
          <w:rFonts w:hint="eastAsia" w:ascii="宋体" w:hAnsi="宋体"/>
          <w:color w:val="auto"/>
        </w:rPr>
        <w:t>3.7.3 评标委员会不得暗示或诱导投标人作出澄清、说明，对投标人提交的澄清、说明有疑问的，可以要求投标人进一步澄清或说明，直至满足评标委员会的要求。</w:t>
      </w:r>
    </w:p>
    <w:p>
      <w:pPr>
        <w:ind w:firstLine="480"/>
        <w:jc w:val="both"/>
        <w:rPr>
          <w:rFonts w:ascii="宋体" w:hAnsi="宋体"/>
          <w:color w:val="auto"/>
        </w:rPr>
      </w:pPr>
      <w:r>
        <w:rPr>
          <w:rFonts w:hint="eastAsia" w:ascii="宋体" w:hAnsi="宋体"/>
          <w:color w:val="auto"/>
        </w:rPr>
        <w:t>3.7.4 凡超出招标文件规定的或给委托人带来未曾要求的利益的变化、偏差或其他因素在评标时不予考虑。</w:t>
      </w:r>
    </w:p>
    <w:p>
      <w:pPr>
        <w:keepNext/>
        <w:keepLines/>
        <w:ind w:firstLine="0" w:firstLineChars="0"/>
        <w:outlineLvl w:val="0"/>
        <w:rPr>
          <w:rFonts w:ascii="宋体" w:hAnsi="宋体"/>
          <w:b/>
          <w:color w:val="auto"/>
          <w:kern w:val="44"/>
          <w:lang w:val="zh-CN"/>
        </w:rPr>
      </w:pPr>
      <w:bookmarkStart w:id="34" w:name="_Toc501257170"/>
      <w:bookmarkStart w:id="35" w:name="_Toc510015751"/>
      <w:bookmarkStart w:id="36" w:name="_Toc503235819"/>
      <w:r>
        <w:rPr>
          <w:rFonts w:hint="eastAsia" w:ascii="宋体" w:hAnsi="宋体"/>
          <w:b/>
          <w:color w:val="auto"/>
          <w:kern w:val="44"/>
          <w:lang w:val="zh-CN"/>
        </w:rPr>
        <w:t>3.8 不得否决投标的情形</w:t>
      </w:r>
      <w:bookmarkEnd w:id="34"/>
      <w:bookmarkEnd w:id="35"/>
      <w:bookmarkEnd w:id="36"/>
    </w:p>
    <w:p>
      <w:pPr>
        <w:ind w:firstLine="480"/>
        <w:jc w:val="both"/>
        <w:rPr>
          <w:rFonts w:ascii="宋体" w:hAnsi="宋体"/>
          <w:color w:val="auto"/>
        </w:rPr>
      </w:pPr>
      <w:r>
        <w:rPr>
          <w:rFonts w:hint="eastAsia" w:ascii="宋体" w:hAnsi="宋体"/>
          <w:color w:val="auto"/>
        </w:rPr>
        <w:t>投标文件存在第二章“投标人须知”第1.12.3项所列情形的，均视为细微偏差，评标委员会不得否决投标人的投标，应按照第二章“投标人须知”第1.12.4项规定的原则处理。</w:t>
      </w:r>
    </w:p>
    <w:p>
      <w:pPr>
        <w:keepNext/>
        <w:keepLines/>
        <w:ind w:firstLine="0" w:firstLineChars="0"/>
        <w:outlineLvl w:val="0"/>
        <w:rPr>
          <w:rFonts w:ascii="宋体" w:hAnsi="宋体"/>
          <w:b/>
          <w:color w:val="auto"/>
          <w:kern w:val="44"/>
          <w:lang w:val="zh-CN"/>
        </w:rPr>
      </w:pPr>
      <w:bookmarkStart w:id="37" w:name="_Toc503235820"/>
      <w:bookmarkStart w:id="38" w:name="_Toc510015752"/>
      <w:r>
        <w:rPr>
          <w:rFonts w:hint="eastAsia" w:ascii="宋体" w:hAnsi="宋体"/>
          <w:b/>
          <w:color w:val="auto"/>
          <w:kern w:val="44"/>
          <w:lang w:val="zh-CN"/>
        </w:rPr>
        <w:t>3.9 评标结果</w:t>
      </w:r>
      <w:bookmarkEnd w:id="37"/>
      <w:bookmarkEnd w:id="38"/>
    </w:p>
    <w:p>
      <w:pPr>
        <w:ind w:firstLine="480"/>
        <w:jc w:val="both"/>
        <w:rPr>
          <w:rFonts w:ascii="宋体" w:hAnsi="宋体"/>
          <w:color w:val="auto"/>
        </w:rPr>
      </w:pPr>
      <w:r>
        <w:rPr>
          <w:rFonts w:hint="eastAsia" w:ascii="宋体" w:hAnsi="宋体"/>
          <w:color w:val="auto"/>
        </w:rPr>
        <w:t>3.9.1 除第二章“投标人须知”前附表授权直接确定中标人外，评标委员会按照得分由高到低的顺序推荐中标候选人，并标明排序。</w:t>
      </w:r>
    </w:p>
    <w:p>
      <w:pPr>
        <w:ind w:firstLine="480"/>
        <w:jc w:val="both"/>
        <w:rPr>
          <w:rFonts w:ascii="宋体" w:hAnsi="宋体"/>
          <w:color w:val="auto"/>
        </w:rPr>
      </w:pPr>
      <w:r>
        <w:rPr>
          <w:rFonts w:hint="eastAsia" w:ascii="宋体" w:hAnsi="宋体"/>
          <w:color w:val="auto"/>
        </w:rPr>
        <w:t>3.9.2 评标委员会完成评标后，应向招标人提交书面评标报告。</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罗马">
    <w:altName w:val="宋体"/>
    <w:panose1 w:val="00000000000000000000"/>
    <w:charset w:val="86"/>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43</w:t>
    </w:r>
    <w:r>
      <w:fldChar w:fldCharType="end"/>
    </w:r>
  </w:p>
  <w:p>
    <w:pPr>
      <w:pStyle w:val="3"/>
      <w:spacing w:line="240" w:lineRule="exact"/>
      <w:ind w:right="360" w:firstLine="360"/>
      <w:jc w:val="center"/>
      <w:rPr>
        <w:rFonts w:eastAsia="黑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firstLine="442"/>
      <w:rPr>
        <w:sz w:val="17"/>
        <w:szCs w:val="17"/>
      </w:rPr>
    </w:pPr>
    <w:r>
      <w:rPr>
        <w:rStyle w:val="8"/>
        <w:rFonts w:hint="eastAsia" w:eastAsia="黑体"/>
        <w:kern w:val="10"/>
        <w:sz w:val="22"/>
        <w:szCs w:val="22"/>
      </w:rPr>
      <w:t>公路工程标准勘察设计招标文件（2018年版）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07889"/>
    <w:rsid w:val="73607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
    <w:pPr>
      <w:keepNext/>
      <w:keepLines/>
      <w:snapToGrid w:val="0"/>
      <w:spacing w:before="340" w:after="330" w:line="578" w:lineRule="atLeast"/>
      <w:ind w:firstLine="200" w:firstLineChars="200"/>
      <w:outlineLvl w:val="0"/>
    </w:pPr>
    <w:rPr>
      <w:rFonts w:ascii="Calibri" w:hAnsi="Calibri" w:eastAsia="宋体" w:cs="Times New Roman"/>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spacing w:line="240" w:lineRule="auto"/>
      <w:ind w:firstLine="0" w:firstLineChars="0"/>
    </w:pPr>
    <w:rPr>
      <w:sz w:val="18"/>
      <w:szCs w:val="18"/>
    </w:rPr>
  </w:style>
  <w:style w:type="paragraph" w:styleId="4">
    <w:name w:val="header"/>
    <w:basedOn w:val="1"/>
    <w:qFormat/>
    <w:uiPriority w:val="99"/>
    <w:pPr>
      <w:tabs>
        <w:tab w:val="center" w:pos="4153"/>
        <w:tab w:val="right" w:pos="8306"/>
      </w:tabs>
      <w:snapToGrid w:val="0"/>
      <w:spacing w:line="240" w:lineRule="auto"/>
      <w:ind w:firstLine="0" w:firstLineChars="0"/>
      <w:jc w:val="center"/>
    </w:pPr>
    <w:rPr>
      <w:sz w:val="18"/>
      <w:szCs w:val="18"/>
      <w:lang w:val="zh-CN"/>
    </w:rPr>
  </w:style>
  <w:style w:type="paragraph" w:styleId="5">
    <w:name w:val="Title"/>
    <w:basedOn w:val="1"/>
    <w:next w:val="1"/>
    <w:qFormat/>
    <w:uiPriority w:val="0"/>
    <w:pPr>
      <w:spacing w:before="240" w:after="60"/>
      <w:jc w:val="center"/>
      <w:outlineLvl w:val="0"/>
    </w:pPr>
    <w:rPr>
      <w:rFonts w:ascii="等线 Light" w:hAnsi="等线 Light"/>
      <w:b/>
      <w:bCs/>
      <w:sz w:val="32"/>
      <w:szCs w:val="32"/>
    </w:rPr>
  </w:style>
  <w:style w:type="character" w:customStyle="1" w:styleId="8">
    <w:name w:val="font161"/>
    <w:qFormat/>
    <w:uiPriority w:val="0"/>
    <w:rPr>
      <w:b/>
      <w:bCs/>
      <w:sz w:val="32"/>
      <w:szCs w:val="32"/>
    </w:rPr>
  </w:style>
  <w:style w:type="paragraph" w:customStyle="1" w:styleId="9">
    <w:name w:val="章一级"/>
    <w:basedOn w:val="5"/>
    <w:next w:val="1"/>
    <w:qFormat/>
    <w:uiPriority w:val="0"/>
    <w:pPr>
      <w:spacing w:after="120" w:line="240" w:lineRule="auto"/>
      <w:ind w:firstLine="0" w:firstLineChars="0"/>
    </w:pPr>
    <w:rPr>
      <w:rFonts w:ascii="Times New Roman" w:hAnsi="Times New Roman" w:eastAsia="黑体"/>
      <w:bCs w:val="0"/>
      <w:szCs w:val="20"/>
      <w:u w:color="000000"/>
      <w:lang w:val="zh-CN"/>
    </w:rPr>
  </w:style>
  <w:style w:type="paragraph" w:customStyle="1" w:styleId="10">
    <w:name w:val="正文靠左"/>
    <w:basedOn w:val="1"/>
    <w:next w:val="1"/>
    <w:qFormat/>
    <w:uiPriority w:val="0"/>
    <w:pPr>
      <w:ind w:firstLine="0" w:firstLineChars="0"/>
    </w:pPr>
    <w:rPr>
      <w:rFonts w:cs="宋体"/>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2021-11-30T04:16:00Z</dcterms:created>
  <dc:creator>zm</dc:creator>
  <cp:lastModifiedBy>zm</cp:lastModifiedBy>
  <dcterms:modified xsi:type="dcterms:W3CDTF">2021-11-30T04:18:40Z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4C4CFC76A0C04CB5BD3C950152F1AF88</vt:lpwstr>
  </property>
</Properties>
</file>