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sz w:val="30"/>
          <w:szCs w:val="30"/>
        </w:rPr>
      </w:pPr>
      <w:bookmarkStart w:id="0" w:name="_GoBack"/>
      <w:bookmarkEnd w:id="0"/>
      <w:r>
        <w:rPr>
          <w:rFonts w:hint="eastAsia"/>
          <w:sz w:val="30"/>
          <w:szCs w:val="30"/>
        </w:rPr>
        <w:t>评标办法</w:t>
      </w:r>
    </w:p>
    <w:p>
      <w:pPr>
        <w:pStyle w:val="4"/>
        <w:jc w:val="center"/>
        <w:rPr>
          <w:rFonts w:ascii="Arial" w:hAnsi="Arial" w:cs="Arial"/>
          <w:sz w:val="28"/>
          <w:szCs w:val="28"/>
        </w:rPr>
      </w:pPr>
      <w:r>
        <w:rPr>
          <w:rFonts w:hint="eastAsia" w:ascii="宋体" w:hAnsi="宋体" w:cs="Arial"/>
          <w:sz w:val="30"/>
          <w:szCs w:val="30"/>
        </w:rPr>
        <w:t>（双信封</w:t>
      </w:r>
      <w:r>
        <w:rPr>
          <w:rFonts w:hint="eastAsia" w:ascii="宋体" w:hAnsi="宋体" w:cs="宋体"/>
          <w:sz w:val="30"/>
          <w:szCs w:val="30"/>
        </w:rPr>
        <w:t>技术评分最低标价法</w:t>
      </w:r>
      <w:r>
        <w:rPr>
          <w:rFonts w:hint="eastAsia" w:ascii="宋体" w:hAnsi="宋体" w:cs="Arial"/>
          <w:sz w:val="30"/>
          <w:szCs w:val="30"/>
        </w:rPr>
        <w:t>）</w:t>
      </w:r>
    </w:p>
    <w:p>
      <w:pPr>
        <w:pStyle w:val="6"/>
        <w:spacing w:before="0" w:after="0" w:line="420" w:lineRule="atLeast"/>
        <w:rPr>
          <w:rFonts w:ascii="Arial" w:hAnsi="Arial" w:eastAsia="黑体" w:cs="Arial"/>
          <w:b w:val="0"/>
          <w:sz w:val="21"/>
          <w:szCs w:val="21"/>
        </w:rPr>
      </w:pPr>
      <w:r>
        <w:rPr>
          <w:rFonts w:hint="eastAsia" w:asciiTheme="minorEastAsia" w:hAnsiTheme="minorEastAsia" w:eastAsiaTheme="minorEastAsia"/>
          <w:sz w:val="21"/>
          <w:szCs w:val="21"/>
        </w:rPr>
        <w:t>说明：“评标办法前附表”是对“ 评标办法正文”的补充、细化，“评标办法前附表”与“ 评标办法正文”不一致的以“ 评标办法前附表”为准。</w:t>
      </w:r>
    </w:p>
    <w:p>
      <w:pPr>
        <w:pStyle w:val="6"/>
        <w:spacing w:before="0" w:after="0" w:line="420" w:lineRule="atLeast"/>
        <w:rPr>
          <w:rFonts w:ascii="Arial" w:hAnsi="Arial" w:eastAsia="黑体" w:cs="Arial"/>
          <w:b w:val="0"/>
        </w:rPr>
      </w:pPr>
      <w:r>
        <w:rPr>
          <w:rFonts w:hint="eastAsia" w:ascii="Arial" w:hAnsi="Arial" w:eastAsia="黑体" w:cs="Arial"/>
          <w:b w:val="0"/>
        </w:rPr>
        <w:t>评标办法前附表</w:t>
      </w:r>
    </w:p>
    <w:tbl>
      <w:tblPr>
        <w:tblStyle w:val="10"/>
        <w:tblW w:w="92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9"/>
        <w:gridCol w:w="1631"/>
        <w:gridCol w:w="65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2660" w:type="dxa"/>
            <w:gridSpan w:val="2"/>
            <w:tcBorders>
              <w:top w:val="single" w:color="auto" w:sz="4" w:space="0"/>
              <w:bottom w:val="single" w:color="auto" w:sz="4" w:space="0"/>
              <w:right w:val="single" w:color="auto" w:sz="4" w:space="0"/>
            </w:tcBorders>
            <w:vAlign w:val="center"/>
          </w:tcPr>
          <w:p>
            <w:pPr>
              <w:snapToGrid w:val="0"/>
              <w:jc w:val="center"/>
              <w:rPr>
                <w:rFonts w:ascii="Arial" w:hAnsi="Arial" w:cs="Arial"/>
                <w:b/>
                <w:szCs w:val="21"/>
              </w:rPr>
            </w:pPr>
            <w:r>
              <w:rPr>
                <w:rFonts w:hint="eastAsia" w:ascii="Arial" w:hAnsi="宋体" w:cs="Arial"/>
                <w:b/>
                <w:szCs w:val="21"/>
              </w:rPr>
              <w:t>条款号</w:t>
            </w:r>
          </w:p>
        </w:tc>
        <w:tc>
          <w:tcPr>
            <w:tcW w:w="6586" w:type="dxa"/>
            <w:tcBorders>
              <w:top w:val="single" w:color="auto" w:sz="4" w:space="0"/>
              <w:left w:val="single" w:color="auto" w:sz="4" w:space="0"/>
              <w:bottom w:val="single" w:color="auto" w:sz="4" w:space="0"/>
            </w:tcBorders>
            <w:vAlign w:val="center"/>
          </w:tcPr>
          <w:p>
            <w:pPr>
              <w:snapToGrid w:val="0"/>
              <w:jc w:val="center"/>
              <w:rPr>
                <w:rFonts w:ascii="Arial" w:hAnsi="Arial" w:cs="Arial"/>
                <w:b/>
                <w:szCs w:val="21"/>
              </w:rPr>
            </w:pPr>
            <w:r>
              <w:rPr>
                <w:rFonts w:hint="eastAsia" w:ascii="Arial" w:hAnsi="宋体" w:cs="Arial"/>
                <w:b/>
                <w:szCs w:val="21"/>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1029" w:type="dxa"/>
            <w:tcBorders>
              <w:top w:val="single" w:color="auto" w:sz="4" w:space="0"/>
              <w:bottom w:val="single" w:color="auto" w:sz="4" w:space="0"/>
              <w:right w:val="single" w:color="auto" w:sz="4" w:space="0"/>
            </w:tcBorders>
            <w:vAlign w:val="center"/>
          </w:tcPr>
          <w:p>
            <w:pPr>
              <w:snapToGrid w:val="0"/>
              <w:spacing w:line="300" w:lineRule="auto"/>
              <w:jc w:val="center"/>
              <w:rPr>
                <w:rFonts w:cs="Arial" w:asciiTheme="minorEastAsia" w:hAnsiTheme="minorEastAsia" w:eastAsiaTheme="minorEastAsia"/>
                <w:szCs w:val="21"/>
              </w:rPr>
            </w:pPr>
            <w:r>
              <w:rPr>
                <w:rFonts w:cs="Arial" w:asciiTheme="minorEastAsia" w:hAnsiTheme="minorEastAsia" w:eastAsiaTheme="minorEastAsia"/>
                <w:szCs w:val="21"/>
              </w:rPr>
              <w:t>1</w:t>
            </w:r>
          </w:p>
        </w:tc>
        <w:tc>
          <w:tcPr>
            <w:tcW w:w="1631" w:type="dxa"/>
            <w:tcBorders>
              <w:top w:val="single" w:color="auto" w:sz="4" w:space="0"/>
              <w:left w:val="nil"/>
              <w:bottom w:val="single" w:color="auto" w:sz="4" w:space="0"/>
              <w:right w:val="single" w:color="auto" w:sz="4" w:space="0"/>
            </w:tcBorders>
            <w:vAlign w:val="center"/>
          </w:tcPr>
          <w:p>
            <w:pPr>
              <w:snapToGrid w:val="0"/>
              <w:spacing w:line="300" w:lineRule="auto"/>
              <w:jc w:val="center"/>
              <w:rPr>
                <w:rFonts w:cs="Arial" w:asciiTheme="minorEastAsia" w:hAnsiTheme="minorEastAsia" w:eastAsiaTheme="minorEastAsia"/>
                <w:szCs w:val="21"/>
              </w:rPr>
            </w:pPr>
            <w:r>
              <w:rPr>
                <w:rFonts w:cs="Arial" w:asciiTheme="minorEastAsia" w:hAnsiTheme="minorEastAsia" w:eastAsiaTheme="minorEastAsia"/>
                <w:szCs w:val="21"/>
              </w:rPr>
              <w:t>评标办法</w:t>
            </w:r>
          </w:p>
        </w:tc>
        <w:tc>
          <w:tcPr>
            <w:tcW w:w="6586" w:type="dxa"/>
            <w:tcBorders>
              <w:top w:val="single" w:color="auto" w:sz="4" w:space="0"/>
              <w:left w:val="single" w:color="auto" w:sz="4" w:space="0"/>
              <w:bottom w:val="single" w:color="auto" w:sz="4" w:space="0"/>
            </w:tcBorders>
            <w:vAlign w:val="center"/>
          </w:tcPr>
          <w:p>
            <w:pPr>
              <w:tabs>
                <w:tab w:val="left" w:pos="315"/>
                <w:tab w:val="left" w:pos="690"/>
              </w:tabs>
              <w:autoSpaceDE w:val="0"/>
              <w:autoSpaceDN w:val="0"/>
              <w:adjustRightInd w:val="0"/>
              <w:spacing w:line="300" w:lineRule="auto"/>
              <w:rPr>
                <w:rFonts w:cs="Arial" w:asciiTheme="minorEastAsia" w:hAnsiTheme="minorEastAsia" w:eastAsiaTheme="minorEastAsia"/>
              </w:rPr>
            </w:pPr>
            <w:r>
              <w:rPr>
                <w:rFonts w:hint="eastAsia" w:cs="Arial" w:asciiTheme="minorEastAsia" w:hAnsiTheme="minorEastAsia" w:eastAsiaTheme="minorEastAsia"/>
              </w:rPr>
              <w:t>评标价相等时，评标委员会依次按照以下优先顺序推荐中标候选</w:t>
            </w:r>
          </w:p>
          <w:p>
            <w:pPr>
              <w:tabs>
                <w:tab w:val="left" w:pos="315"/>
                <w:tab w:val="left" w:pos="690"/>
              </w:tabs>
              <w:autoSpaceDE w:val="0"/>
              <w:autoSpaceDN w:val="0"/>
              <w:adjustRightInd w:val="0"/>
              <w:spacing w:line="300" w:lineRule="auto"/>
              <w:rPr>
                <w:rFonts w:cs="Arial" w:asciiTheme="minorEastAsia" w:hAnsiTheme="minorEastAsia" w:eastAsiaTheme="minorEastAsia"/>
              </w:rPr>
            </w:pPr>
            <w:r>
              <w:rPr>
                <w:rFonts w:hint="eastAsia" w:cs="Arial" w:asciiTheme="minorEastAsia" w:hAnsiTheme="minorEastAsia" w:eastAsiaTheme="minorEastAsia"/>
              </w:rPr>
              <w:t>人或确定中标人：</w:t>
            </w:r>
          </w:p>
          <w:p>
            <w:pPr>
              <w:tabs>
                <w:tab w:val="left" w:pos="315"/>
                <w:tab w:val="left" w:pos="690"/>
              </w:tabs>
              <w:autoSpaceDE w:val="0"/>
              <w:autoSpaceDN w:val="0"/>
              <w:adjustRightInd w:val="0"/>
              <w:spacing w:line="300" w:lineRule="auto"/>
              <w:rPr>
                <w:rFonts w:cs="Arial" w:asciiTheme="minorEastAsia" w:hAnsiTheme="minorEastAsia" w:eastAsiaTheme="minorEastAsia"/>
              </w:rPr>
            </w:pPr>
            <w:r>
              <w:rPr>
                <w:rFonts w:hint="eastAsia" w:cs="Arial" w:asciiTheme="minorEastAsia" w:hAnsiTheme="minorEastAsia" w:eastAsiaTheme="minorEastAsia"/>
              </w:rPr>
              <w:t>（</w:t>
            </w:r>
            <w:r>
              <w:rPr>
                <w:rFonts w:cs="Arial" w:asciiTheme="minorEastAsia" w:hAnsiTheme="minorEastAsia" w:eastAsiaTheme="minorEastAsia"/>
              </w:rPr>
              <w:t>1</w:t>
            </w:r>
            <w:r>
              <w:rPr>
                <w:rFonts w:hint="eastAsia" w:cs="Arial" w:asciiTheme="minorEastAsia" w:hAnsiTheme="minorEastAsia" w:eastAsiaTheme="minorEastAsia"/>
              </w:rPr>
              <w:t>）投标报价低的投标人优先；</w:t>
            </w:r>
          </w:p>
          <w:p>
            <w:pPr>
              <w:tabs>
                <w:tab w:val="left" w:pos="315"/>
                <w:tab w:val="left" w:pos="690"/>
              </w:tabs>
              <w:autoSpaceDE w:val="0"/>
              <w:autoSpaceDN w:val="0"/>
              <w:adjustRightInd w:val="0"/>
              <w:spacing w:line="300" w:lineRule="auto"/>
              <w:rPr>
                <w:rFonts w:cs="Arial" w:asciiTheme="minorEastAsia" w:hAnsiTheme="minorEastAsia" w:eastAsiaTheme="minorEastAsia"/>
              </w:rPr>
            </w:pPr>
            <w:r>
              <w:rPr>
                <w:rFonts w:hint="eastAsia" w:cs="Arial" w:asciiTheme="minorEastAsia" w:hAnsiTheme="minorEastAsia" w:eastAsiaTheme="minorEastAsia"/>
              </w:rPr>
              <w:t>（</w:t>
            </w:r>
            <w:r>
              <w:rPr>
                <w:rFonts w:cs="Arial" w:asciiTheme="minorEastAsia" w:hAnsiTheme="minorEastAsia" w:eastAsiaTheme="minorEastAsia"/>
              </w:rPr>
              <w:t>2</w:t>
            </w:r>
            <w:r>
              <w:rPr>
                <w:rFonts w:hint="eastAsia" w:cs="Arial" w:asciiTheme="minorEastAsia" w:hAnsiTheme="minorEastAsia" w:eastAsiaTheme="minorEastAsia"/>
              </w:rPr>
              <w:t>）以评标时采用的信用等级较高的的投标人优先；</w:t>
            </w:r>
          </w:p>
          <w:p>
            <w:pPr>
              <w:tabs>
                <w:tab w:val="left" w:pos="315"/>
                <w:tab w:val="left" w:pos="690"/>
              </w:tabs>
              <w:autoSpaceDE w:val="0"/>
              <w:autoSpaceDN w:val="0"/>
              <w:adjustRightInd w:val="0"/>
              <w:spacing w:line="300" w:lineRule="auto"/>
              <w:rPr>
                <w:rFonts w:cs="Arial" w:asciiTheme="minorEastAsia" w:hAnsiTheme="minorEastAsia" w:eastAsiaTheme="minorEastAsia"/>
              </w:rPr>
            </w:pPr>
            <w:r>
              <w:rPr>
                <w:rFonts w:hint="eastAsia" w:cs="Arial" w:asciiTheme="minorEastAsia" w:hAnsiTheme="minorEastAsia" w:eastAsiaTheme="minorEastAsia"/>
              </w:rPr>
              <w:t>（</w:t>
            </w:r>
            <w:r>
              <w:rPr>
                <w:rFonts w:cs="Arial" w:asciiTheme="minorEastAsia" w:hAnsiTheme="minorEastAsia" w:eastAsiaTheme="minorEastAsia"/>
              </w:rPr>
              <w:t>3</w:t>
            </w:r>
            <w:r>
              <w:rPr>
                <w:rFonts w:hint="eastAsia" w:cs="Arial" w:asciiTheme="minorEastAsia" w:hAnsiTheme="minorEastAsia" w:eastAsiaTheme="minorEastAsia"/>
              </w:rPr>
              <w:t>）商务和技术得分较高的投标人优先；</w:t>
            </w:r>
          </w:p>
          <w:p>
            <w:pPr>
              <w:spacing w:line="300" w:lineRule="auto"/>
              <w:ind w:right="113"/>
              <w:rPr>
                <w:rFonts w:cs="Arial" w:asciiTheme="minorEastAsia" w:hAnsiTheme="minorEastAsia" w:eastAsiaTheme="minorEastAsia"/>
                <w:szCs w:val="21"/>
              </w:rPr>
            </w:pPr>
            <w:r>
              <w:rPr>
                <w:rFonts w:hint="eastAsia" w:cs="Arial" w:asciiTheme="minorEastAsia" w:hAnsiTheme="minorEastAsia" w:eastAsiaTheme="minorEastAsia"/>
              </w:rPr>
              <w:t>（</w:t>
            </w:r>
            <w:r>
              <w:rPr>
                <w:rFonts w:cs="Arial" w:asciiTheme="minorEastAsia" w:hAnsiTheme="minorEastAsia" w:eastAsiaTheme="minorEastAsia"/>
              </w:rPr>
              <w:t>4</w:t>
            </w:r>
            <w:r>
              <w:rPr>
                <w:rFonts w:hint="eastAsia" w:cs="Arial" w:asciiTheme="minorEastAsia" w:hAnsiTheme="minorEastAsia" w:eastAsiaTheme="minorEastAsia"/>
              </w:rPr>
              <w:t>）标书款交纳时间较早的优先。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1029" w:type="dxa"/>
            <w:tcBorders>
              <w:top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2.1.1</w:t>
            </w:r>
          </w:p>
          <w:p>
            <w:pPr>
              <w:jc w:val="center"/>
              <w:rPr>
                <w:rFonts w:ascii="Arial" w:hAnsi="Arial" w:cs="Arial"/>
                <w:szCs w:val="21"/>
              </w:rPr>
            </w:pPr>
            <w:r>
              <w:rPr>
                <w:rFonts w:ascii="Arial" w:hAnsi="Arial" w:cs="Arial"/>
                <w:szCs w:val="21"/>
              </w:rPr>
              <w:t>2.1.3</w:t>
            </w:r>
          </w:p>
        </w:tc>
        <w:tc>
          <w:tcPr>
            <w:tcW w:w="1631" w:type="dxa"/>
            <w:tcBorders>
              <w:top w:val="single" w:color="auto" w:sz="4" w:space="0"/>
              <w:left w:val="nil"/>
              <w:bottom w:val="single" w:color="auto" w:sz="4" w:space="0"/>
              <w:right w:val="single" w:color="auto" w:sz="4" w:space="0"/>
            </w:tcBorders>
            <w:vAlign w:val="center"/>
          </w:tcPr>
          <w:p>
            <w:pPr>
              <w:spacing w:line="400" w:lineRule="atLeast"/>
              <w:jc w:val="center"/>
              <w:rPr>
                <w:rFonts w:ascii="Arial" w:hAnsi="Arial" w:cs="Arial"/>
                <w:szCs w:val="21"/>
              </w:rPr>
            </w:pPr>
            <w:r>
              <w:rPr>
                <w:rFonts w:hint="eastAsia" w:ascii="Arial" w:hAnsi="宋体" w:cs="Arial"/>
                <w:szCs w:val="21"/>
              </w:rPr>
              <w:t>形式评审与响应性评审标准（第一个信封）</w:t>
            </w:r>
          </w:p>
        </w:tc>
        <w:tc>
          <w:tcPr>
            <w:tcW w:w="6586" w:type="dxa"/>
            <w:tcBorders>
              <w:top w:val="single" w:color="auto" w:sz="4" w:space="0"/>
              <w:left w:val="single" w:color="auto" w:sz="4" w:space="0"/>
              <w:bottom w:val="single" w:color="auto" w:sz="4" w:space="0"/>
            </w:tcBorders>
            <w:vAlign w:val="center"/>
          </w:tcPr>
          <w:p>
            <w:pPr>
              <w:tabs>
                <w:tab w:val="left" w:pos="315"/>
                <w:tab w:val="left" w:pos="690"/>
              </w:tabs>
              <w:spacing w:line="312" w:lineRule="auto"/>
              <w:rPr>
                <w:rFonts w:cs="Arial" w:asciiTheme="minorEastAsia" w:hAnsiTheme="minorEastAsia" w:eastAsiaTheme="minorEastAsia"/>
                <w:b/>
              </w:rPr>
            </w:pPr>
            <w:r>
              <w:rPr>
                <w:rFonts w:cs="Arial" w:asciiTheme="minorEastAsia" w:hAnsiTheme="minorEastAsia" w:eastAsiaTheme="minorEastAsia"/>
                <w:b/>
              </w:rPr>
              <w:t>第一个信封（商务及技术文件）评审标准：</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（1）</w:t>
            </w:r>
            <w:r>
              <w:rPr>
                <w:rFonts w:hint="eastAsia" w:cs="Arial" w:asciiTheme="minorEastAsia" w:hAnsiTheme="minorEastAsia" w:eastAsiaTheme="minorEastAsia"/>
                <w:b/>
              </w:rPr>
              <w:tab/>
            </w:r>
            <w:r>
              <w:rPr>
                <w:rFonts w:hint="eastAsia" w:cs="Arial" w:asciiTheme="minorEastAsia" w:hAnsiTheme="minorEastAsia" w:eastAsiaTheme="minorEastAsia"/>
                <w:b/>
              </w:rPr>
              <w:t>第一个信封（商务及技术文件）的正、副本份数满足招标文件的规定；</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（2）</w:t>
            </w:r>
            <w:r>
              <w:rPr>
                <w:rFonts w:hint="eastAsia" w:cs="Arial" w:asciiTheme="minorEastAsia" w:hAnsiTheme="minorEastAsia" w:eastAsiaTheme="minorEastAsia"/>
                <w:b/>
              </w:rPr>
              <w:tab/>
            </w:r>
            <w:r>
              <w:rPr>
                <w:rFonts w:hint="eastAsia" w:cs="Arial" w:asciiTheme="minorEastAsia" w:hAnsiTheme="minorEastAsia" w:eastAsiaTheme="minorEastAsia"/>
                <w:b/>
              </w:rPr>
              <w:t>投标人名称与资质证书、营业执照、安全生产许可证和基本账户开户许可证上载明的相一致，提供的彩色影印件清晰可辨；</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（3）</w:t>
            </w:r>
            <w:r>
              <w:rPr>
                <w:rFonts w:hint="eastAsia" w:cs="Arial" w:asciiTheme="minorEastAsia" w:hAnsiTheme="minorEastAsia" w:eastAsiaTheme="minorEastAsia"/>
                <w:b/>
              </w:rPr>
              <w:tab/>
            </w:r>
            <w:r>
              <w:rPr>
                <w:rFonts w:hint="eastAsia" w:cs="Arial" w:asciiTheme="minorEastAsia" w:hAnsiTheme="minorEastAsia" w:eastAsiaTheme="minorEastAsia"/>
                <w:b/>
              </w:rPr>
              <w:t>第一个信封（商务及技术文件）按照招标文件规定的格式、内容填写，字迹清晰可辨：</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 xml:space="preserve">a、投标函按招标文件规定填报了工期、质量目标等内容； </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b、投标函附录的所有数据均符合招标文件规定；</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 xml:space="preserve">c、第一个信封（商务及技术文件）内容齐全完整，均按规定填写； </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d、按照招标文件规定的格式、内容编制了施工组织设计及项目管理机构相关图表；</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e、按规定提供了拟投入项目经理和项目总工的证件彩色影印件，证件清晰可辨、有效；</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f、开启的商务及技术文件内外层封套标段号、商务及技术文件封面的标段号及投标函载明的标段号一致。</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（4）</w:t>
            </w:r>
            <w:r>
              <w:rPr>
                <w:rFonts w:hint="eastAsia" w:cs="Arial" w:asciiTheme="minorEastAsia" w:hAnsiTheme="minorEastAsia" w:eastAsiaTheme="minorEastAsia"/>
                <w:b/>
              </w:rPr>
              <w:tab/>
            </w:r>
            <w:r>
              <w:rPr>
                <w:rFonts w:hint="eastAsia" w:cs="Arial" w:asciiTheme="minorEastAsia" w:hAnsiTheme="minorEastAsia" w:eastAsiaTheme="minorEastAsia"/>
                <w:b/>
              </w:rPr>
              <w:t>第一个信封（商务及技术文件）正本上法定代表人或其委托代理人的签字、投标人的单位章盖章齐全，符合招标文件规定；</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投标文件第一个信封（商务及技术文件）按“投标文件格式”中的规定形式及要求进行签署（招标文件中投标文件格式指定要求签署位置处须进行签署，不得使用签名章或其它电子制版签名代替）。</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投标文件第一个信封（商务及技术文件）按“投标文件格式”中的规定形式及要求加盖投标人单位章（招标文件中投标文件格式指定要求盖章位置处须进行盖章，不得使用单位其他专用章代替）。</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若由委托代理人签署，投标函及承诺函的委托代理人签署日期应在授权委托书委托期限内。</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（5）</w:t>
            </w:r>
            <w:r>
              <w:rPr>
                <w:rFonts w:hint="eastAsia" w:cs="Arial" w:asciiTheme="minorEastAsia" w:hAnsiTheme="minorEastAsia" w:eastAsiaTheme="minorEastAsia"/>
                <w:b/>
              </w:rPr>
              <w:tab/>
            </w:r>
            <w:r>
              <w:rPr>
                <w:rFonts w:hint="eastAsia" w:cs="Arial" w:asciiTheme="minorEastAsia" w:hAnsiTheme="minorEastAsia" w:eastAsiaTheme="minorEastAsia"/>
                <w:b/>
              </w:rPr>
              <w:t>投标人按照招标文件规定的金额、形式、时效和内容提供了投标保证金：</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a、投标保证金金额符合招标文件规定的金额；</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b、若采用银行电汇或转账支票形式，投标人在投标人须知前附表规定的时间之前，将投标保证金由投标人的基本账户一次性汇入贵州省公共资源交易中心指定账户，并按要求在投标文件中附投标人的基本账户开户许可证、汇款单据或银行进账单彩色扫描件；</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c．若投标保证金采用电子保函（含银行保函、保证保险、担保保函等）形式提交，电子保函开具的方式、保函有效期、提供的证明文件等均满足招标文件要求。</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（6）</w:t>
            </w:r>
            <w:r>
              <w:rPr>
                <w:rFonts w:hint="eastAsia" w:cs="Arial" w:asciiTheme="minorEastAsia" w:hAnsiTheme="minorEastAsia" w:eastAsiaTheme="minorEastAsia"/>
                <w:b/>
              </w:rPr>
              <w:tab/>
            </w:r>
            <w:r>
              <w:rPr>
                <w:rFonts w:hint="eastAsia" w:cs="Arial" w:asciiTheme="minorEastAsia" w:hAnsiTheme="minorEastAsia" w:eastAsiaTheme="minorEastAsia"/>
                <w:b/>
              </w:rPr>
              <w:t>第一个信封（商务及技术文件）如由投标人法定代表人的委托代理人签署的，需提交附有法定代表人身份证明的授权委托书，并符合招标文件要求；</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（7）</w:t>
            </w:r>
            <w:r>
              <w:rPr>
                <w:rFonts w:hint="eastAsia" w:cs="Arial" w:asciiTheme="minorEastAsia" w:hAnsiTheme="minorEastAsia" w:eastAsiaTheme="minorEastAsia"/>
                <w:b/>
              </w:rPr>
              <w:tab/>
            </w:r>
            <w:r>
              <w:rPr>
                <w:rFonts w:hint="eastAsia" w:cs="Arial" w:asciiTheme="minorEastAsia" w:hAnsiTheme="minorEastAsia" w:eastAsiaTheme="minorEastAsia"/>
                <w:b/>
              </w:rPr>
              <w:t>第一个信封（商务及技术文件）如由法定代表人本人签署的，提供了法定代表人身份证明，并符合招标文件要求；</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（8）</w:t>
            </w:r>
            <w:r>
              <w:rPr>
                <w:rFonts w:hint="eastAsia" w:cs="Arial" w:asciiTheme="minorEastAsia" w:hAnsiTheme="minorEastAsia" w:eastAsiaTheme="minorEastAsia"/>
                <w:b/>
              </w:rPr>
              <w:tab/>
            </w:r>
            <w:r>
              <w:rPr>
                <w:rFonts w:hint="eastAsia" w:cs="Arial" w:asciiTheme="minorEastAsia" w:hAnsiTheme="minorEastAsia" w:eastAsiaTheme="minorEastAsia"/>
                <w:b/>
              </w:rPr>
              <w:t>第一个信封（商务及技术文件）载明的招标项目完成期限不得超过招标文件规定的时限；</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（9）</w:t>
            </w:r>
            <w:r>
              <w:rPr>
                <w:rFonts w:hint="eastAsia" w:cs="Arial" w:asciiTheme="minorEastAsia" w:hAnsiTheme="minorEastAsia" w:eastAsiaTheme="minorEastAsia"/>
                <w:b/>
              </w:rPr>
              <w:tab/>
            </w:r>
            <w:r>
              <w:rPr>
                <w:rFonts w:hint="eastAsia" w:cs="Arial" w:asciiTheme="minorEastAsia" w:hAnsiTheme="minorEastAsia" w:eastAsiaTheme="minorEastAsia"/>
                <w:b/>
              </w:rPr>
              <w:t>第一个信封（商务及技术文件）的装订满足招标文件规定；</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（10）</w:t>
            </w:r>
            <w:r>
              <w:rPr>
                <w:rFonts w:hint="eastAsia" w:cs="Arial" w:asciiTheme="minorEastAsia" w:hAnsiTheme="minorEastAsia" w:eastAsiaTheme="minorEastAsia"/>
                <w:b/>
              </w:rPr>
              <w:tab/>
            </w:r>
            <w:r>
              <w:rPr>
                <w:rFonts w:hint="eastAsia" w:cs="Arial" w:asciiTheme="minorEastAsia" w:hAnsiTheme="minorEastAsia" w:eastAsiaTheme="minorEastAsia"/>
                <w:b/>
              </w:rPr>
              <w:t>第一信封（商务及技术文件）中未出现有关投标报价的内容；</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（11）</w:t>
            </w:r>
            <w:r>
              <w:rPr>
                <w:rFonts w:hint="eastAsia" w:cs="Arial" w:asciiTheme="minorEastAsia" w:hAnsiTheme="minorEastAsia" w:eastAsiaTheme="minorEastAsia"/>
                <w:b/>
              </w:rPr>
              <w:tab/>
            </w:r>
            <w:r>
              <w:rPr>
                <w:rFonts w:hint="eastAsia" w:cs="Arial" w:asciiTheme="minorEastAsia" w:hAnsiTheme="minorEastAsia" w:eastAsiaTheme="minorEastAsia"/>
                <w:b/>
              </w:rPr>
              <w:t>权利义务符合招标文件规定：</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a、投标人应接受招标文件规定的风险划分，未提出新的风险划分办法；</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b、投标人未增加发包人的责任范围，或减少投标人义务；</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c、投标人未提出不同的工程验收、计量、支付办法；</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d、投标人对合同纠纷、事故处理办法未提出异议；</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e、投标人在投标活动中无欺诈行为；</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f、投标人未对合同条款有重要保留。</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（12）</w:t>
            </w:r>
            <w:r>
              <w:rPr>
                <w:rFonts w:hint="eastAsia" w:cs="Arial" w:asciiTheme="minorEastAsia" w:hAnsiTheme="minorEastAsia" w:eastAsiaTheme="minorEastAsia"/>
                <w:b/>
              </w:rPr>
              <w:tab/>
            </w:r>
            <w:r>
              <w:rPr>
                <w:rFonts w:hint="eastAsia" w:cs="Arial" w:asciiTheme="minorEastAsia" w:hAnsiTheme="minorEastAsia" w:eastAsiaTheme="minorEastAsia"/>
                <w:b/>
              </w:rPr>
              <w:t>投标人技术能力和以往履约信誉符合招标文件的规定，未存在以下问题：</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a、承诺的质量检验标准低于招标文件或国家强制性标准要求；</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（13）</w:t>
            </w:r>
            <w:r>
              <w:rPr>
                <w:rFonts w:hint="eastAsia" w:cs="Arial" w:asciiTheme="minorEastAsia" w:hAnsiTheme="minorEastAsia" w:eastAsiaTheme="minorEastAsia"/>
                <w:b/>
              </w:rPr>
              <w:tab/>
            </w:r>
            <w:r>
              <w:rPr>
                <w:rFonts w:hint="eastAsia" w:cs="Arial" w:asciiTheme="minorEastAsia" w:hAnsiTheme="minorEastAsia" w:eastAsiaTheme="minorEastAsia"/>
                <w:b/>
              </w:rPr>
              <w:t>不存在单位负责人为同一人或者存在控股、管理关系的不同单位，参加同一标段投标或者未划分标段的同一招标项目投标；</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（14）</w:t>
            </w:r>
            <w:r>
              <w:rPr>
                <w:rFonts w:hint="eastAsia" w:cs="Arial" w:asciiTheme="minorEastAsia" w:hAnsiTheme="minorEastAsia" w:eastAsiaTheme="minorEastAsia"/>
                <w:b/>
              </w:rPr>
              <w:tab/>
            </w:r>
            <w:r>
              <w:rPr>
                <w:rFonts w:hint="eastAsia" w:cs="Arial" w:asciiTheme="minorEastAsia" w:hAnsiTheme="minorEastAsia" w:eastAsiaTheme="minorEastAsia"/>
                <w:b/>
              </w:rPr>
              <w:t>不存在《中华人民共和国招标投标法实施条例》（国务院令第613号）第四十二条所列的以他人名义投标或弄虚作假情形；</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（15）</w:t>
            </w:r>
            <w:r>
              <w:rPr>
                <w:rFonts w:hint="eastAsia" w:cs="Arial" w:asciiTheme="minorEastAsia" w:hAnsiTheme="minorEastAsia" w:eastAsiaTheme="minorEastAsia"/>
                <w:b/>
              </w:rPr>
              <w:tab/>
            </w:r>
            <w:r>
              <w:rPr>
                <w:rFonts w:hint="eastAsia" w:cs="Arial" w:asciiTheme="minorEastAsia" w:hAnsiTheme="minorEastAsia" w:eastAsiaTheme="minorEastAsia"/>
                <w:b/>
              </w:rPr>
              <w:t>不存在《中华人民共和国招标投标法实施条例》（国务院令第613号）第三十九条、第四十条、第四十一条所列的投标人相互串通投标或者招标人与投标人串通投标情形；</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（16）</w:t>
            </w:r>
            <w:r>
              <w:rPr>
                <w:rFonts w:hint="eastAsia" w:cs="Arial" w:asciiTheme="minorEastAsia" w:hAnsiTheme="minorEastAsia" w:eastAsiaTheme="minorEastAsia"/>
                <w:b/>
              </w:rPr>
              <w:tab/>
            </w:r>
            <w:r>
              <w:rPr>
                <w:rFonts w:hint="eastAsia" w:cs="Arial" w:asciiTheme="minorEastAsia" w:hAnsiTheme="minorEastAsia" w:eastAsiaTheme="minorEastAsia"/>
                <w:b/>
              </w:rPr>
              <w:t>第一个信封（商务及技术文件）中未附有招标人不能接受的其他条件。</w:t>
            </w:r>
          </w:p>
          <w:p>
            <w:pPr>
              <w:tabs>
                <w:tab w:val="left" w:pos="315"/>
                <w:tab w:val="left" w:pos="690"/>
              </w:tabs>
              <w:spacing w:line="312" w:lineRule="auto"/>
              <w:rPr>
                <w:rFonts w:cs="Arial" w:asciiTheme="minorEastAsia" w:hAnsiTheme="minorEastAsia" w:eastAsiaTheme="minorEastAsia"/>
                <w:b/>
              </w:rPr>
            </w:pPr>
            <w:r>
              <w:rPr>
                <w:rFonts w:cs="Arial" w:asciiTheme="minorEastAsia" w:hAnsiTheme="minorEastAsia" w:eastAsiaTheme="minorEastAsia"/>
                <w:b/>
              </w:rPr>
              <w:t>第二个信封（</w:t>
            </w:r>
            <w:r>
              <w:rPr>
                <w:rFonts w:hint="eastAsia" w:cs="Arial" w:asciiTheme="minorEastAsia" w:hAnsiTheme="minorEastAsia" w:eastAsiaTheme="minorEastAsia"/>
                <w:b/>
              </w:rPr>
              <w:t>报价</w:t>
            </w:r>
            <w:r>
              <w:rPr>
                <w:rFonts w:cs="Arial" w:asciiTheme="minorEastAsia" w:hAnsiTheme="minorEastAsia" w:eastAsiaTheme="minorEastAsia"/>
                <w:b/>
              </w:rPr>
              <w:t>文件）评审标准：</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（1）</w:t>
            </w:r>
            <w:r>
              <w:rPr>
                <w:rFonts w:hint="eastAsia" w:cs="Arial" w:asciiTheme="minorEastAsia" w:hAnsiTheme="minorEastAsia" w:eastAsiaTheme="minorEastAsia"/>
                <w:b/>
              </w:rPr>
              <w:tab/>
            </w:r>
            <w:r>
              <w:rPr>
                <w:rFonts w:hint="eastAsia" w:cs="Arial" w:asciiTheme="minorEastAsia" w:hAnsiTheme="minorEastAsia" w:eastAsiaTheme="minorEastAsia"/>
                <w:b/>
              </w:rPr>
              <w:t>第二个信封（投标报价文件）正、副本份数满足招标文件的规定；</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（2）</w:t>
            </w:r>
            <w:r>
              <w:rPr>
                <w:rFonts w:hint="eastAsia" w:cs="Arial" w:asciiTheme="minorEastAsia" w:hAnsiTheme="minorEastAsia" w:eastAsiaTheme="minorEastAsia"/>
                <w:b/>
              </w:rPr>
              <w:tab/>
            </w:r>
            <w:r>
              <w:rPr>
                <w:rFonts w:hint="eastAsia" w:cs="Arial" w:asciiTheme="minorEastAsia" w:hAnsiTheme="minorEastAsia" w:eastAsiaTheme="minorEastAsia"/>
                <w:b/>
              </w:rPr>
              <w:t>投标人未提交调价函，且未提交选择性报价；</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（3）</w:t>
            </w:r>
            <w:r>
              <w:rPr>
                <w:rFonts w:hint="eastAsia" w:cs="Arial" w:asciiTheme="minorEastAsia" w:hAnsiTheme="minorEastAsia" w:eastAsiaTheme="minorEastAsia"/>
                <w:b/>
              </w:rPr>
              <w:tab/>
            </w:r>
            <w:r>
              <w:rPr>
                <w:rFonts w:hint="eastAsia" w:cs="Arial" w:asciiTheme="minorEastAsia" w:hAnsiTheme="minorEastAsia" w:eastAsiaTheme="minorEastAsia"/>
                <w:b/>
              </w:rPr>
              <w:t>对于招标人设立了细目单价上限的工程量清单细目（如有），投标文件已标价工程量清单中的细目单价不高于细目单价上限；</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（4）</w:t>
            </w:r>
            <w:r>
              <w:rPr>
                <w:rFonts w:hint="eastAsia" w:cs="Arial" w:asciiTheme="minorEastAsia" w:hAnsiTheme="minorEastAsia" w:eastAsiaTheme="minorEastAsia"/>
                <w:b/>
              </w:rPr>
              <w:tab/>
            </w:r>
            <w:r>
              <w:rPr>
                <w:rFonts w:hint="eastAsia" w:cs="Arial" w:asciiTheme="minorEastAsia" w:hAnsiTheme="minorEastAsia" w:eastAsiaTheme="minorEastAsia"/>
                <w:b/>
              </w:rPr>
              <w:t>第二个信封（投标报价文件）未存在如下任一情形：</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a、未在投标报价函上填写投标总价大写金额；</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 xml:space="preserve">b、投标报价超出最高投标限价； </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c、投标报价函中的投标报价大写有错误且无法唱出；</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d、提交了调价函或提交了选择性报价；</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e、开启的封套标段编号、投标文件封面的标段编号及投标报价函载明的标段编号不一致。</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（5）</w:t>
            </w:r>
            <w:r>
              <w:rPr>
                <w:rFonts w:hint="eastAsia" w:cs="Arial" w:asciiTheme="minorEastAsia" w:hAnsiTheme="minorEastAsia" w:eastAsiaTheme="minorEastAsia"/>
                <w:b/>
              </w:rPr>
              <w:tab/>
            </w:r>
            <w:r>
              <w:rPr>
                <w:rFonts w:hint="eastAsia" w:cs="Arial" w:asciiTheme="minorEastAsia" w:hAnsiTheme="minorEastAsia" w:eastAsiaTheme="minorEastAsia"/>
                <w:b/>
              </w:rPr>
              <w:t>第二个信封（投标报价文件）按照招标文件规定的格式、内容填写，字迹清晰可辨：</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a、投标报价函按招标文件规定填报了投标报价；且有法定代表人或其授权的代理人亲笔签字，盖有投标人单位章，投标人的名称（全称）应与加盖的单位章完全一致；</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b、投标报价函附表齐全完整，内容均按规定填写；</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c、第二个信封（投标报价文件）装订满足第二章“投标人须知”第3.7.5项规定。</w:t>
            </w:r>
          </w:p>
          <w:p>
            <w:pPr>
              <w:tabs>
                <w:tab w:val="left" w:pos="315"/>
                <w:tab w:val="left" w:pos="690"/>
              </w:tabs>
              <w:spacing w:line="312" w:lineRule="auto"/>
              <w:rPr>
                <w:rFonts w:cs="Arial" w:asciiTheme="minorEastAsia" w:hAnsiTheme="minorEastAsia" w:eastAsiaTheme="minorEastAsia"/>
                <w:b/>
              </w:rPr>
            </w:pPr>
            <w:r>
              <w:rPr>
                <w:rFonts w:hint="eastAsia" w:cs="Arial" w:asciiTheme="minorEastAsia" w:hAnsiTheme="minorEastAsia" w:eastAsiaTheme="minorEastAsia"/>
                <w:b/>
              </w:rPr>
              <w:t>（6）</w:t>
            </w:r>
            <w:r>
              <w:rPr>
                <w:rFonts w:hint="eastAsia" w:cs="Arial" w:asciiTheme="minorEastAsia" w:hAnsiTheme="minorEastAsia" w:eastAsiaTheme="minorEastAsia"/>
                <w:b/>
              </w:rPr>
              <w:tab/>
            </w:r>
            <w:r>
              <w:rPr>
                <w:rFonts w:hint="eastAsia" w:cs="Arial" w:asciiTheme="minorEastAsia" w:hAnsiTheme="minorEastAsia" w:eastAsiaTheme="minorEastAsia"/>
                <w:b/>
              </w:rPr>
              <w:t>第二个信封（投标报价文件）正本上法定代表人或其委托代理人的签署齐全，投标人单位章盖章齐全，符合招标文件第二章“投标人须知”第3.7.3项规定（若为委托代理人签署，投标报价函签署日期应在授权委托书委托期限内）；</w:t>
            </w:r>
          </w:p>
          <w:p>
            <w:pPr>
              <w:tabs>
                <w:tab w:val="left" w:pos="315"/>
                <w:tab w:val="left" w:pos="690"/>
              </w:tabs>
              <w:spacing w:line="312" w:lineRule="auto"/>
              <w:ind w:left="-30"/>
              <w:rPr>
                <w:rFonts w:ascii="Arial" w:hAnsi="Arial" w:cs="Arial"/>
                <w:b/>
              </w:rPr>
            </w:pPr>
            <w:r>
              <w:rPr>
                <w:rFonts w:hint="eastAsia" w:cs="Arial" w:asciiTheme="minorEastAsia" w:hAnsiTheme="minorEastAsia" w:eastAsiaTheme="minorEastAsia"/>
                <w:b/>
              </w:rPr>
              <w:t>（7）</w:t>
            </w:r>
            <w:r>
              <w:rPr>
                <w:rFonts w:hint="eastAsia" w:cs="Arial" w:asciiTheme="minorEastAsia" w:hAnsiTheme="minorEastAsia" w:eastAsiaTheme="minorEastAsia"/>
                <w:b/>
              </w:rPr>
              <w:tab/>
            </w:r>
            <w:r>
              <w:rPr>
                <w:rFonts w:hint="eastAsia" w:cs="Arial" w:asciiTheme="minorEastAsia" w:hAnsiTheme="minorEastAsia" w:eastAsiaTheme="minorEastAsia"/>
                <w:b/>
              </w:rPr>
              <w:t>投标文件未附有招标人不能接受的其他条件。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029" w:type="dxa"/>
            <w:tcBorders>
              <w:top w:val="single" w:color="auto" w:sz="4" w:space="0"/>
              <w:bottom w:val="single" w:color="auto" w:sz="4" w:space="0"/>
              <w:right w:val="single" w:color="auto" w:sz="4" w:space="0"/>
            </w:tcBorders>
            <w:vAlign w:val="center"/>
          </w:tcPr>
          <w:p>
            <w:pPr>
              <w:snapToGrid w:val="0"/>
              <w:jc w:val="center"/>
              <w:rPr>
                <w:rFonts w:ascii="Arial" w:hAnsi="Arial" w:cs="Arial"/>
                <w:szCs w:val="21"/>
              </w:rPr>
            </w:pPr>
            <w:r>
              <w:rPr>
                <w:rFonts w:ascii="Arial" w:hAnsi="Arial" w:cs="Arial"/>
                <w:szCs w:val="21"/>
              </w:rPr>
              <w:t>2.1.2</w:t>
            </w:r>
          </w:p>
        </w:tc>
        <w:tc>
          <w:tcPr>
            <w:tcW w:w="1631" w:type="dxa"/>
            <w:tcBorders>
              <w:top w:val="single" w:color="auto" w:sz="4" w:space="0"/>
              <w:left w:val="nil"/>
              <w:bottom w:val="single" w:color="auto" w:sz="4" w:space="0"/>
              <w:right w:val="single" w:color="auto" w:sz="4" w:space="0"/>
            </w:tcBorders>
            <w:vAlign w:val="center"/>
          </w:tcPr>
          <w:p>
            <w:pPr>
              <w:snapToGrid w:val="0"/>
              <w:spacing w:line="300" w:lineRule="auto"/>
              <w:rPr>
                <w:rFonts w:ascii="Arial" w:hAnsi="Arial" w:cs="Arial"/>
                <w:szCs w:val="21"/>
              </w:rPr>
            </w:pPr>
            <w:r>
              <w:rPr>
                <w:rFonts w:hint="eastAsia" w:ascii="Arial" w:hAnsi="宋体" w:cs="Arial"/>
                <w:szCs w:val="21"/>
              </w:rPr>
              <w:t>资格评审标准（第一个信封）</w:t>
            </w:r>
          </w:p>
        </w:tc>
        <w:tc>
          <w:tcPr>
            <w:tcW w:w="6586" w:type="dxa"/>
            <w:tcBorders>
              <w:top w:val="single" w:color="auto" w:sz="4" w:space="0"/>
              <w:left w:val="single" w:color="auto" w:sz="4" w:space="0"/>
              <w:bottom w:val="single" w:color="auto" w:sz="4" w:space="0"/>
            </w:tcBorders>
            <w:vAlign w:val="center"/>
          </w:tcPr>
          <w:p>
            <w:pPr>
              <w:snapToGrid w:val="0"/>
              <w:spacing w:line="324" w:lineRule="auto"/>
              <w:rPr>
                <w:rFonts w:ascii="宋体" w:hAnsi="宋体" w:cs="Arial"/>
                <w:b/>
                <w:szCs w:val="21"/>
              </w:rPr>
            </w:pPr>
            <w:r>
              <w:rPr>
                <w:rFonts w:cs="Arial" w:asciiTheme="minorEastAsia" w:hAnsiTheme="minorEastAsia" w:eastAsiaTheme="minorEastAsia"/>
                <w:b/>
                <w:szCs w:val="21"/>
              </w:rPr>
              <w:t>（1）投标人具备有效的营业执照、</w:t>
            </w:r>
            <w:r>
              <w:rPr>
                <w:rFonts w:hint="eastAsia" w:cs="Arial" w:asciiTheme="minorEastAsia" w:hAnsiTheme="minorEastAsia" w:eastAsiaTheme="minorEastAsia"/>
                <w:b/>
                <w:szCs w:val="21"/>
              </w:rPr>
              <w:t>组织机构代码证（或营业执照、组织机构代码证和税务登记证三证合一）、</w:t>
            </w:r>
            <w:r>
              <w:rPr>
                <w:rFonts w:cs="Arial" w:asciiTheme="minorEastAsia" w:hAnsiTheme="minorEastAsia" w:eastAsiaTheme="minorEastAsia"/>
                <w:b/>
                <w:szCs w:val="21"/>
              </w:rPr>
              <w:t>资质证书</w:t>
            </w:r>
            <w:r>
              <w:rPr>
                <w:rFonts w:hint="eastAsia" w:cs="Arial" w:asciiTheme="minorEastAsia" w:hAnsiTheme="minorEastAsia" w:eastAsiaTheme="minorEastAsia"/>
                <w:b/>
                <w:szCs w:val="21"/>
              </w:rPr>
              <w:t>和</w:t>
            </w:r>
            <w:r>
              <w:rPr>
                <w:rFonts w:cs="Arial" w:asciiTheme="minorEastAsia" w:hAnsiTheme="minorEastAsia" w:eastAsiaTheme="minorEastAsia"/>
                <w:b/>
                <w:szCs w:val="21"/>
              </w:rPr>
              <w:t>安全生产许可证</w:t>
            </w:r>
            <w:r>
              <w:rPr>
                <w:rFonts w:hint="eastAsia" w:ascii="宋体" w:hAnsi="宋体" w:cs="Arial"/>
                <w:b/>
                <w:szCs w:val="21"/>
              </w:rPr>
              <w:t>和基本帐户开户许可证（符合《关于试点取消企业银行账户开户许可证核发的通知》（银发〔</w:t>
            </w:r>
            <w:r>
              <w:rPr>
                <w:rFonts w:ascii="宋体" w:hAnsi="宋体" w:cs="Arial"/>
                <w:b/>
                <w:szCs w:val="21"/>
              </w:rPr>
              <w:t xml:space="preserve">2018〕125 </w:t>
            </w:r>
            <w:r>
              <w:rPr>
                <w:rFonts w:hint="eastAsia" w:ascii="宋体" w:hAnsi="宋体" w:cs="Arial"/>
                <w:b/>
                <w:szCs w:val="21"/>
              </w:rPr>
              <w:t>号）文件规定的试点地区的投标人，无须附基本账户《开户许可证》，但应附载有投标人名称、基本账户开户银行和银行账号信息的相关证明材料）</w:t>
            </w:r>
            <w:r>
              <w:rPr>
                <w:rFonts w:hint="eastAsia" w:cs="Arial" w:asciiTheme="minorEastAsia" w:hAnsiTheme="minorEastAsia" w:eastAsiaTheme="minorEastAsia"/>
                <w:b/>
                <w:szCs w:val="21"/>
              </w:rPr>
              <w:t>。</w:t>
            </w:r>
          </w:p>
          <w:p>
            <w:pPr>
              <w:tabs>
                <w:tab w:val="left" w:pos="5950"/>
              </w:tabs>
              <w:snapToGrid w:val="0"/>
              <w:spacing w:line="324" w:lineRule="auto"/>
              <w:rPr>
                <w:rFonts w:cs="Arial" w:asciiTheme="minorEastAsia" w:hAnsiTheme="minorEastAsia" w:eastAsiaTheme="minorEastAsia"/>
                <w:b/>
                <w:szCs w:val="21"/>
              </w:rPr>
            </w:pPr>
            <w:r>
              <w:rPr>
                <w:rFonts w:hint="eastAsia" w:cs="Arial" w:asciiTheme="minorEastAsia" w:hAnsiTheme="minorEastAsia" w:eastAsiaTheme="minorEastAsia"/>
                <w:b/>
                <w:szCs w:val="21"/>
              </w:rPr>
              <w:t>（2）投标人的资质等级及企业名称应已列入交通运输部网站全国公路建设市场信用信息管理系统“公路工程施工资质企业名录”符合招标文件规定；</w:t>
            </w:r>
          </w:p>
          <w:p>
            <w:pPr>
              <w:tabs>
                <w:tab w:val="left" w:pos="5950"/>
              </w:tabs>
              <w:snapToGrid w:val="0"/>
              <w:spacing w:line="324" w:lineRule="auto"/>
              <w:rPr>
                <w:rFonts w:cs="Arial" w:asciiTheme="minorEastAsia" w:hAnsiTheme="minorEastAsia" w:eastAsiaTheme="minorEastAsia"/>
                <w:b/>
                <w:szCs w:val="21"/>
              </w:rPr>
            </w:pPr>
            <w:r>
              <w:rPr>
                <w:rFonts w:hint="eastAsia" w:cs="Arial" w:asciiTheme="minorEastAsia" w:hAnsiTheme="minorEastAsia" w:eastAsiaTheme="minorEastAsia"/>
                <w:b/>
                <w:szCs w:val="21"/>
              </w:rPr>
              <w:t>（3）投标人的财务状况符合招标文件规定；</w:t>
            </w:r>
          </w:p>
          <w:p>
            <w:pPr>
              <w:tabs>
                <w:tab w:val="left" w:pos="5950"/>
              </w:tabs>
              <w:snapToGrid w:val="0"/>
              <w:spacing w:line="324" w:lineRule="auto"/>
              <w:rPr>
                <w:rFonts w:cs="Arial" w:asciiTheme="minorEastAsia" w:hAnsiTheme="minorEastAsia" w:eastAsiaTheme="minorEastAsia"/>
                <w:b/>
                <w:szCs w:val="21"/>
              </w:rPr>
            </w:pPr>
            <w:r>
              <w:rPr>
                <w:rFonts w:hint="eastAsia" w:cs="Arial" w:asciiTheme="minorEastAsia" w:hAnsiTheme="minorEastAsia" w:eastAsiaTheme="minorEastAsia"/>
                <w:b/>
                <w:szCs w:val="21"/>
              </w:rPr>
              <w:t>（4）投标人的信誉符合招标文件规定；</w:t>
            </w:r>
          </w:p>
          <w:p>
            <w:pPr>
              <w:tabs>
                <w:tab w:val="left" w:pos="5950"/>
              </w:tabs>
              <w:snapToGrid w:val="0"/>
              <w:spacing w:line="324" w:lineRule="auto"/>
              <w:rPr>
                <w:rFonts w:cs="Arial" w:asciiTheme="minorEastAsia" w:hAnsiTheme="minorEastAsia" w:eastAsiaTheme="minorEastAsia"/>
                <w:b/>
                <w:szCs w:val="21"/>
              </w:rPr>
            </w:pPr>
            <w:r>
              <w:rPr>
                <w:rFonts w:hint="eastAsia" w:cs="Arial" w:asciiTheme="minorEastAsia" w:hAnsiTheme="minorEastAsia" w:eastAsiaTheme="minorEastAsia"/>
                <w:b/>
                <w:szCs w:val="21"/>
              </w:rPr>
              <w:t>（5） 投标人的项目经理和项目总工资格符合招标文件投标人须知第1.4.1项及投标人须知前附表附录4注释中的相关规定；</w:t>
            </w:r>
          </w:p>
          <w:p>
            <w:pPr>
              <w:tabs>
                <w:tab w:val="left" w:pos="5950"/>
              </w:tabs>
              <w:snapToGrid w:val="0"/>
              <w:spacing w:line="324" w:lineRule="auto"/>
              <w:rPr>
                <w:rFonts w:cs="Arial" w:asciiTheme="minorEastAsia" w:hAnsiTheme="minorEastAsia" w:eastAsiaTheme="minorEastAsia"/>
                <w:b/>
                <w:szCs w:val="21"/>
              </w:rPr>
            </w:pPr>
            <w:r>
              <w:rPr>
                <w:rFonts w:hint="eastAsia" w:cs="Arial" w:asciiTheme="minorEastAsia" w:hAnsiTheme="minorEastAsia" w:eastAsiaTheme="minorEastAsia"/>
                <w:b/>
                <w:szCs w:val="21"/>
              </w:rPr>
              <w:t>（6）投标人不存在第二章“投标人须知”第1.4.3项规定的任何一种情形；</w:t>
            </w:r>
          </w:p>
          <w:p>
            <w:pPr>
              <w:snapToGrid w:val="0"/>
              <w:spacing w:line="324" w:lineRule="auto"/>
              <w:rPr>
                <w:rFonts w:ascii="Arial" w:hAnsi="Arial" w:cs="Arial"/>
                <w:b/>
                <w:szCs w:val="21"/>
              </w:rPr>
            </w:pPr>
            <w:r>
              <w:rPr>
                <w:rFonts w:hint="eastAsia" w:cs="Arial" w:asciiTheme="minorEastAsia" w:hAnsiTheme="minorEastAsia" w:eastAsiaTheme="minorEastAsia"/>
                <w:b/>
                <w:szCs w:val="21"/>
              </w:rPr>
              <w:t>（7）存在关联关系的投标人，将按第二章“投标人须知”第1.4.4项的有关规定办理。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87" w:hRule="atLeast"/>
        </w:trPr>
        <w:tc>
          <w:tcPr>
            <w:tcW w:w="1029" w:type="dxa"/>
            <w:tcBorders>
              <w:top w:val="single" w:color="auto" w:sz="4" w:space="0"/>
              <w:bottom w:val="single" w:color="auto" w:sz="4" w:space="0"/>
              <w:right w:val="single" w:color="auto" w:sz="4" w:space="0"/>
            </w:tcBorders>
            <w:vAlign w:val="center"/>
          </w:tcPr>
          <w:p>
            <w:pPr>
              <w:spacing w:line="360" w:lineRule="exact"/>
              <w:jc w:val="center"/>
              <w:rPr>
                <w:rFonts w:cs="Arial" w:asciiTheme="minorEastAsia" w:hAnsiTheme="minorEastAsia" w:eastAsiaTheme="minorEastAsia"/>
                <w:szCs w:val="21"/>
              </w:rPr>
            </w:pPr>
            <w:r>
              <w:rPr>
                <w:rFonts w:cs="Arial" w:asciiTheme="minorEastAsia" w:hAnsiTheme="minorEastAsia" w:eastAsiaTheme="minorEastAsia"/>
                <w:szCs w:val="21"/>
              </w:rPr>
              <w:t>2.2.1</w:t>
            </w:r>
          </w:p>
        </w:tc>
        <w:tc>
          <w:tcPr>
            <w:tcW w:w="1631" w:type="dxa"/>
            <w:tcBorders>
              <w:top w:val="single" w:color="auto" w:sz="4" w:space="0"/>
              <w:left w:val="nil"/>
              <w:bottom w:val="single" w:color="auto" w:sz="4" w:space="0"/>
              <w:right w:val="single" w:color="auto" w:sz="4" w:space="0"/>
            </w:tcBorders>
            <w:vAlign w:val="center"/>
          </w:tcPr>
          <w:p>
            <w:pPr>
              <w:spacing w:line="360" w:lineRule="exact"/>
              <w:jc w:val="center"/>
              <w:rPr>
                <w:rFonts w:cs="Arial" w:asciiTheme="minorEastAsia" w:hAnsiTheme="minorEastAsia" w:eastAsiaTheme="minorEastAsia"/>
                <w:szCs w:val="21"/>
              </w:rPr>
            </w:pPr>
            <w:r>
              <w:rPr>
                <w:rFonts w:hint="eastAsia" w:cs="Arial" w:asciiTheme="minorEastAsia" w:hAnsiTheme="minorEastAsia" w:eastAsiaTheme="minorEastAsia"/>
                <w:b/>
                <w:szCs w:val="21"/>
              </w:rPr>
              <w:t>第一个信封评分</w:t>
            </w:r>
            <w:r>
              <w:rPr>
                <w:rFonts w:cs="Arial" w:asciiTheme="minorEastAsia" w:hAnsiTheme="minorEastAsia" w:eastAsiaTheme="minorEastAsia"/>
                <w:szCs w:val="21"/>
              </w:rPr>
              <w:t>分值构成</w:t>
            </w:r>
          </w:p>
          <w:p>
            <w:pPr>
              <w:spacing w:line="360" w:lineRule="exact"/>
              <w:jc w:val="center"/>
              <w:rPr>
                <w:rFonts w:cs="Arial" w:asciiTheme="minorEastAsia" w:hAnsiTheme="minorEastAsia" w:eastAsiaTheme="minorEastAsia"/>
                <w:szCs w:val="21"/>
              </w:rPr>
            </w:pPr>
            <w:r>
              <w:rPr>
                <w:rFonts w:cs="Arial" w:asciiTheme="minorEastAsia" w:hAnsiTheme="minorEastAsia" w:eastAsiaTheme="minorEastAsia"/>
                <w:szCs w:val="21"/>
              </w:rPr>
              <w:t>（总分100分）</w:t>
            </w:r>
          </w:p>
        </w:tc>
        <w:tc>
          <w:tcPr>
            <w:tcW w:w="6586" w:type="dxa"/>
            <w:tcBorders>
              <w:top w:val="single" w:color="auto" w:sz="4" w:space="0"/>
              <w:left w:val="single" w:color="auto" w:sz="4" w:space="0"/>
              <w:bottom w:val="single" w:color="auto" w:sz="4" w:space="0"/>
            </w:tcBorders>
            <w:vAlign w:val="center"/>
          </w:tcPr>
          <w:p>
            <w:pPr>
              <w:spacing w:line="360" w:lineRule="exact"/>
            </w:pPr>
            <w:r>
              <w:rPr>
                <w:rFonts w:hint="eastAsia"/>
              </w:rPr>
              <w:t>施工组织设计：40分</w:t>
            </w:r>
          </w:p>
          <w:p>
            <w:pPr>
              <w:spacing w:line="360" w:lineRule="exact"/>
            </w:pPr>
            <w:r>
              <w:rPr>
                <w:rFonts w:hint="eastAsia"/>
              </w:rPr>
              <w:t>主要人员：25分</w:t>
            </w:r>
          </w:p>
          <w:p>
            <w:pPr>
              <w:spacing w:line="360" w:lineRule="exact"/>
            </w:pPr>
            <w:r>
              <w:rPr>
                <w:rFonts w:hint="eastAsia"/>
              </w:rPr>
              <w:t>技术能力：15分</w:t>
            </w:r>
          </w:p>
          <w:p>
            <w:pPr>
              <w:spacing w:line="360" w:lineRule="exact"/>
            </w:pPr>
            <w:r>
              <w:rPr>
                <w:rFonts w:hint="eastAsia"/>
              </w:rPr>
              <w:t>履约信誉：18分</w:t>
            </w:r>
          </w:p>
          <w:p>
            <w:pPr>
              <w:spacing w:line="360" w:lineRule="exact"/>
              <w:rPr>
                <w:rFonts w:eastAsiaTheme="minorEastAsia"/>
              </w:rPr>
            </w:pPr>
            <w:r>
              <w:rPr>
                <w:rFonts w:hint="eastAsia"/>
              </w:rPr>
              <w:t>财务能力：2分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9" w:type="dxa"/>
            <w:tcBorders>
              <w:top w:val="single" w:color="auto" w:sz="4" w:space="0"/>
              <w:bottom w:val="single" w:color="auto" w:sz="4" w:space="0"/>
              <w:right w:val="single" w:color="auto" w:sz="4" w:space="0"/>
            </w:tcBorders>
            <w:vAlign w:val="center"/>
          </w:tcPr>
          <w:p>
            <w:pPr>
              <w:spacing w:line="360" w:lineRule="exact"/>
              <w:jc w:val="center"/>
              <w:rPr>
                <w:rFonts w:cs="Arial" w:asciiTheme="minorEastAsia" w:hAnsiTheme="minorEastAsia" w:eastAsiaTheme="minorEastAsia"/>
                <w:szCs w:val="21"/>
              </w:rPr>
            </w:pPr>
            <w:r>
              <w:rPr>
                <w:rFonts w:hint="eastAsia" w:cs="Arial" w:asciiTheme="minorEastAsia" w:hAnsiTheme="minorEastAsia" w:eastAsiaTheme="minorEastAsia"/>
                <w:szCs w:val="21"/>
              </w:rPr>
              <w:t>2.2.3</w:t>
            </w:r>
          </w:p>
        </w:tc>
        <w:tc>
          <w:tcPr>
            <w:tcW w:w="1631" w:type="dxa"/>
            <w:tcBorders>
              <w:top w:val="single" w:color="auto" w:sz="4" w:space="0"/>
              <w:left w:val="nil"/>
              <w:bottom w:val="single" w:color="auto" w:sz="4" w:space="0"/>
              <w:right w:val="single" w:color="auto" w:sz="4" w:space="0"/>
            </w:tcBorders>
            <w:vAlign w:val="center"/>
          </w:tcPr>
          <w:p>
            <w:pPr>
              <w:spacing w:line="360" w:lineRule="exact"/>
              <w:jc w:val="center"/>
              <w:rPr>
                <w:rFonts w:cs="Arial" w:asciiTheme="minorEastAsia" w:hAnsiTheme="minorEastAsia" w:eastAsiaTheme="minorEastAsia"/>
                <w:szCs w:val="21"/>
              </w:rPr>
            </w:pPr>
            <w:r>
              <w:rPr>
                <w:rFonts w:hint="eastAsia" w:cs="Arial" w:asciiTheme="minorEastAsia" w:hAnsiTheme="minorEastAsia" w:eastAsiaTheme="minorEastAsia"/>
                <w:b/>
                <w:szCs w:val="21"/>
              </w:rPr>
              <w:t>第二个信封详细评审标准</w:t>
            </w:r>
          </w:p>
        </w:tc>
        <w:tc>
          <w:tcPr>
            <w:tcW w:w="6586" w:type="dxa"/>
            <w:tcBorders>
              <w:top w:val="single" w:color="auto" w:sz="4" w:space="0"/>
              <w:left w:val="single" w:color="auto" w:sz="4" w:space="0"/>
              <w:bottom w:val="single" w:color="auto" w:sz="4" w:space="0"/>
            </w:tcBorders>
            <w:vAlign w:val="center"/>
          </w:tcPr>
          <w:p>
            <w:pPr>
              <w:spacing w:line="360" w:lineRule="exact"/>
              <w:rPr>
                <w:rFonts w:ascii="宋体" w:hAnsi="宋体" w:cs="宋体"/>
                <w:b/>
                <w:szCs w:val="21"/>
              </w:rPr>
            </w:pPr>
            <w:r>
              <w:rPr>
                <w:rFonts w:hint="eastAsia" w:ascii="宋体" w:hAnsi="宋体" w:cs="宋体"/>
                <w:b/>
                <w:szCs w:val="21"/>
              </w:rPr>
              <w:t>评标价计算公式：</w:t>
            </w:r>
          </w:p>
          <w:p>
            <w:pPr>
              <w:spacing w:line="360" w:lineRule="exact"/>
              <w:rPr>
                <w:rFonts w:cs="Arial" w:asciiTheme="minorEastAsia" w:hAnsiTheme="minorEastAsia" w:eastAsiaTheme="minorEastAsia"/>
                <w:szCs w:val="21"/>
              </w:rPr>
            </w:pPr>
            <w:r>
              <w:rPr>
                <w:rFonts w:hint="eastAsia" w:ascii="宋体" w:hAnsi="宋体" w:cs="宋体"/>
                <w:szCs w:val="21"/>
              </w:rPr>
              <w:t>评标价＝投标函的文字报价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029" w:type="dxa"/>
            <w:tcBorders>
              <w:top w:val="single" w:color="auto" w:sz="4" w:space="0"/>
              <w:bottom w:val="single" w:color="auto" w:sz="4" w:space="0"/>
              <w:right w:val="single" w:color="auto" w:sz="4" w:space="0"/>
            </w:tcBorders>
            <w:vAlign w:val="center"/>
          </w:tcPr>
          <w:p>
            <w:pPr>
              <w:spacing w:line="360" w:lineRule="exact"/>
              <w:jc w:val="center"/>
              <w:rPr>
                <w:rFonts w:cs="Arial" w:asciiTheme="minorEastAsia" w:hAnsiTheme="minorEastAsia" w:eastAsiaTheme="minorEastAsia"/>
                <w:szCs w:val="21"/>
              </w:rPr>
            </w:pPr>
            <w:r>
              <w:rPr>
                <w:rFonts w:hint="eastAsia" w:ascii="宋体" w:hAnsi="宋体" w:cs="宋体"/>
                <w:szCs w:val="21"/>
              </w:rPr>
              <w:t>3.2.4</w:t>
            </w:r>
          </w:p>
        </w:tc>
        <w:tc>
          <w:tcPr>
            <w:tcW w:w="1631" w:type="dxa"/>
            <w:tcBorders>
              <w:top w:val="single" w:color="auto" w:sz="4" w:space="0"/>
              <w:left w:val="nil"/>
              <w:bottom w:val="single" w:color="auto" w:sz="4" w:space="0"/>
              <w:right w:val="single" w:color="auto" w:sz="4" w:space="0"/>
            </w:tcBorders>
            <w:vAlign w:val="center"/>
          </w:tcPr>
          <w:p>
            <w:pPr>
              <w:spacing w:line="360" w:lineRule="exact"/>
              <w:jc w:val="center"/>
              <w:rPr>
                <w:rFonts w:cs="Arial" w:asciiTheme="minorEastAsia" w:hAnsiTheme="minorEastAsia" w:eastAsiaTheme="minorEastAsia"/>
                <w:b/>
                <w:szCs w:val="21"/>
              </w:rPr>
            </w:pPr>
            <w:r>
              <w:rPr>
                <w:rFonts w:hint="eastAsia" w:ascii="宋体" w:hAnsi="宋体" w:cs="宋体"/>
                <w:szCs w:val="21"/>
              </w:rPr>
              <w:t>通过第一个信封详细评审的投标人数量</w:t>
            </w:r>
          </w:p>
        </w:tc>
        <w:tc>
          <w:tcPr>
            <w:tcW w:w="6586" w:type="dxa"/>
            <w:tcBorders>
              <w:top w:val="single" w:color="auto" w:sz="4" w:space="0"/>
              <w:left w:val="single" w:color="auto" w:sz="4" w:space="0"/>
              <w:bottom w:val="single" w:color="auto" w:sz="4" w:space="0"/>
            </w:tcBorders>
            <w:vAlign w:val="center"/>
          </w:tcPr>
          <w:p>
            <w:pPr>
              <w:spacing w:line="360" w:lineRule="exact"/>
              <w:rPr>
                <w:rFonts w:ascii="宋体" w:hAnsi="宋体" w:cs="宋体"/>
                <w:szCs w:val="21"/>
              </w:rPr>
            </w:pPr>
            <w:r>
              <w:rPr>
                <w:rFonts w:hint="eastAsia" w:ascii="宋体" w:hAnsi="宋体" w:cs="宋体"/>
                <w:szCs w:val="21"/>
              </w:rPr>
              <w:t>按照投标人的商务和技术得分由高到低排序，选择前</w:t>
            </w:r>
            <w:r>
              <w:rPr>
                <w:rFonts w:hint="eastAsia" w:ascii="宋体" w:hAnsi="宋体" w:cs="宋体"/>
                <w:szCs w:val="21"/>
                <w:u w:val="single"/>
              </w:rPr>
              <w:t xml:space="preserve"> 3 </w:t>
            </w:r>
            <w:r>
              <w:rPr>
                <w:rFonts w:hint="eastAsia" w:ascii="宋体" w:hAnsi="宋体" w:cs="宋体"/>
                <w:szCs w:val="21"/>
              </w:rPr>
              <w:t>名通过详细评审（通过详细评审的投标人不足3家时，评标委员会应否决全部投标）。</w:t>
            </w:r>
          </w:p>
        </w:tc>
      </w:tr>
    </w:tbl>
    <w:p>
      <w:pPr>
        <w:spacing w:line="360" w:lineRule="exact"/>
        <w:rPr>
          <w:rFonts w:cs="Arial" w:asciiTheme="minorEastAsia" w:hAnsiTheme="minorEastAsia" w:eastAsiaTheme="minorEastAsia"/>
          <w:szCs w:val="21"/>
        </w:rPr>
      </w:pPr>
    </w:p>
    <w:p>
      <w:pPr>
        <w:spacing w:line="360" w:lineRule="exact"/>
        <w:rPr>
          <w:rFonts w:cs="Arial" w:asciiTheme="minorEastAsia" w:hAnsiTheme="minorEastAsia" w:eastAsiaTheme="minorEastAsia"/>
          <w:szCs w:val="21"/>
        </w:rPr>
      </w:pPr>
    </w:p>
    <w:tbl>
      <w:tblPr>
        <w:tblStyle w:val="10"/>
        <w:tblW w:w="9615" w:type="dxa"/>
        <w:tblInd w:w="-19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50"/>
        <w:gridCol w:w="525"/>
        <w:gridCol w:w="1170"/>
        <w:gridCol w:w="663"/>
        <w:gridCol w:w="867"/>
        <w:gridCol w:w="602"/>
        <w:gridCol w:w="13"/>
        <w:gridCol w:w="472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8" w:hRule="exact"/>
        </w:trPr>
        <w:tc>
          <w:tcPr>
            <w:tcW w:w="4890" w:type="dxa"/>
            <w:gridSpan w:val="7"/>
            <w:tcBorders>
              <w:bottom w:val="single" w:color="auto" w:sz="4" w:space="0"/>
              <w:right w:val="single" w:color="auto" w:sz="4" w:space="0"/>
            </w:tcBorders>
            <w:vAlign w:val="center"/>
          </w:tcPr>
          <w:p>
            <w:pPr>
              <w:snapToGrid w:val="0"/>
              <w:spacing w:line="360" w:lineRule="exact"/>
              <w:jc w:val="center"/>
              <w:rPr>
                <w:rFonts w:cs="Arial" w:asciiTheme="minorEastAsia" w:hAnsiTheme="minorEastAsia" w:eastAsiaTheme="minorEastAsia"/>
                <w:b/>
                <w:bCs/>
                <w:szCs w:val="21"/>
              </w:rPr>
            </w:pPr>
            <w:r>
              <w:rPr>
                <w:rFonts w:hint="eastAsia" w:cs="Arial" w:asciiTheme="minorEastAsia" w:hAnsiTheme="minorEastAsia" w:eastAsiaTheme="minorEastAsia"/>
                <w:b/>
                <w:bCs/>
                <w:kern w:val="0"/>
                <w:szCs w:val="21"/>
              </w:rPr>
              <w:t>评分因素与权重分值</w:t>
            </w:r>
          </w:p>
        </w:tc>
        <w:tc>
          <w:tcPr>
            <w:tcW w:w="4725" w:type="dxa"/>
            <w:vMerge w:val="restart"/>
            <w:tcBorders>
              <w:left w:val="single" w:color="auto" w:sz="4" w:space="0"/>
            </w:tcBorders>
            <w:vAlign w:val="center"/>
          </w:tcPr>
          <w:p>
            <w:pPr>
              <w:snapToGrid w:val="0"/>
              <w:spacing w:line="360" w:lineRule="exact"/>
              <w:jc w:val="center"/>
              <w:rPr>
                <w:rFonts w:cs="Arial" w:asciiTheme="minorEastAsia" w:hAnsiTheme="minorEastAsia" w:eastAsiaTheme="minorEastAsia"/>
                <w:szCs w:val="21"/>
              </w:rPr>
            </w:pPr>
            <w:r>
              <w:rPr>
                <w:rFonts w:hint="eastAsia" w:cs="宋体" w:asciiTheme="minorEastAsia" w:hAnsiTheme="minorEastAsia" w:eastAsiaTheme="minorEastAsia"/>
                <w:b/>
                <w:bCs/>
                <w:spacing w:val="-12"/>
                <w:szCs w:val="21"/>
              </w:rPr>
              <w:t>评分标准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9" w:hRule="atLeast"/>
        </w:trPr>
        <w:tc>
          <w:tcPr>
            <w:tcW w:w="1050" w:type="dxa"/>
            <w:tcBorders>
              <w:top w:val="single" w:color="auto" w:sz="4" w:space="0"/>
            </w:tcBorders>
            <w:vAlign w:val="center"/>
          </w:tcPr>
          <w:p>
            <w:pPr>
              <w:spacing w:line="360" w:lineRule="exact"/>
              <w:jc w:val="center"/>
              <w:rPr>
                <w:rFonts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rPr>
              <w:t>条款号</w:t>
            </w:r>
          </w:p>
        </w:tc>
        <w:tc>
          <w:tcPr>
            <w:tcW w:w="1695" w:type="dxa"/>
            <w:gridSpan w:val="2"/>
            <w:tcBorders>
              <w:top w:val="single" w:color="auto" w:sz="4" w:space="0"/>
              <w:right w:val="single" w:color="auto" w:sz="4" w:space="0"/>
            </w:tcBorders>
            <w:vAlign w:val="center"/>
          </w:tcPr>
          <w:p>
            <w:pPr>
              <w:pStyle w:val="18"/>
              <w:spacing w:line="360" w:lineRule="exact"/>
              <w:ind w:left="113" w:right="113"/>
              <w:jc w:val="center"/>
              <w:rPr>
                <w:rFonts w:cs="Arial" w:asciiTheme="minorEastAsia" w:hAnsiTheme="minorEastAsia" w:eastAsiaTheme="minorEastAsia"/>
                <w:b/>
                <w:bCs/>
              </w:rPr>
            </w:pPr>
            <w:r>
              <w:rPr>
                <w:rFonts w:hint="eastAsia" w:cs="Arial" w:asciiTheme="minorEastAsia" w:hAnsiTheme="minorEastAsia" w:eastAsiaTheme="minorEastAsia"/>
                <w:b/>
                <w:bCs/>
              </w:rPr>
              <w:t>评分因素</w:t>
            </w:r>
          </w:p>
        </w:tc>
        <w:tc>
          <w:tcPr>
            <w:tcW w:w="663" w:type="dxa"/>
            <w:tcBorders>
              <w:top w:val="single" w:color="auto" w:sz="4" w:space="0"/>
              <w:left w:val="single" w:color="auto" w:sz="4" w:space="0"/>
            </w:tcBorders>
            <w:vAlign w:val="center"/>
          </w:tcPr>
          <w:p>
            <w:pPr>
              <w:pStyle w:val="18"/>
              <w:spacing w:line="360" w:lineRule="exact"/>
              <w:ind w:left="113" w:right="113"/>
              <w:jc w:val="center"/>
              <w:rPr>
                <w:rFonts w:cs="Arial" w:asciiTheme="minorEastAsia" w:hAnsiTheme="minorEastAsia" w:eastAsiaTheme="minorEastAsia"/>
                <w:b/>
                <w:bCs/>
              </w:rPr>
            </w:pPr>
            <w:r>
              <w:rPr>
                <w:rFonts w:hint="eastAsia" w:cs="Arial" w:asciiTheme="minorEastAsia" w:hAnsiTheme="minorEastAsia" w:eastAsiaTheme="minorEastAsia"/>
                <w:b/>
                <w:bCs/>
              </w:rPr>
              <w:t>评分因素权重分值</w:t>
            </w:r>
          </w:p>
        </w:tc>
        <w:tc>
          <w:tcPr>
            <w:tcW w:w="867" w:type="dxa"/>
            <w:tcBorders>
              <w:top w:val="single" w:color="auto" w:sz="4" w:space="0"/>
              <w:bottom w:val="single" w:color="auto" w:sz="4" w:space="0"/>
              <w:right w:val="single" w:color="auto" w:sz="4" w:space="0"/>
            </w:tcBorders>
            <w:vAlign w:val="center"/>
          </w:tcPr>
          <w:p>
            <w:pPr>
              <w:pStyle w:val="19"/>
              <w:kinsoku w:val="0"/>
              <w:overflowPunct w:val="0"/>
              <w:spacing w:before="88" w:line="360" w:lineRule="exact"/>
              <w:ind w:left="297"/>
              <w:jc w:val="both"/>
              <w:rPr>
                <w:rFonts w:cs="Arial" w:asciiTheme="minorEastAsia" w:hAnsiTheme="minorEastAsia" w:eastAsiaTheme="minorEastAsia"/>
                <w:b/>
                <w:bCs/>
                <w:kern w:val="2"/>
                <w:sz w:val="21"/>
                <w:szCs w:val="21"/>
              </w:rPr>
            </w:pPr>
            <w:r>
              <w:rPr>
                <w:rFonts w:hint="eastAsia" w:cs="Arial" w:asciiTheme="minorEastAsia" w:hAnsiTheme="minorEastAsia" w:eastAsiaTheme="minorEastAsia"/>
                <w:b/>
                <w:bCs/>
                <w:kern w:val="2"/>
                <w:sz w:val="21"/>
                <w:szCs w:val="21"/>
              </w:rPr>
              <w:t>各评分因素细分项</w:t>
            </w:r>
          </w:p>
        </w:tc>
        <w:tc>
          <w:tcPr>
            <w:tcW w:w="615" w:type="dxa"/>
            <w:gridSpan w:val="2"/>
            <w:tcBorders>
              <w:top w:val="single" w:color="auto" w:sz="4" w:space="0"/>
              <w:left w:val="single" w:color="auto" w:sz="4" w:space="0"/>
              <w:bottom w:val="single" w:color="auto" w:sz="4" w:space="0"/>
            </w:tcBorders>
            <w:vAlign w:val="center"/>
          </w:tcPr>
          <w:p>
            <w:pPr>
              <w:pStyle w:val="19"/>
              <w:kinsoku w:val="0"/>
              <w:overflowPunct w:val="0"/>
              <w:spacing w:before="88" w:line="360" w:lineRule="exact"/>
              <w:ind w:left="144"/>
              <w:jc w:val="both"/>
              <w:rPr>
                <w:rFonts w:cs="Arial" w:asciiTheme="minorEastAsia" w:hAnsiTheme="minorEastAsia" w:eastAsiaTheme="minorEastAsia"/>
                <w:b/>
                <w:bCs/>
                <w:kern w:val="2"/>
                <w:sz w:val="21"/>
                <w:szCs w:val="21"/>
              </w:rPr>
            </w:pPr>
            <w:r>
              <w:rPr>
                <w:rFonts w:hint="eastAsia" w:cs="Arial" w:asciiTheme="minorEastAsia" w:hAnsiTheme="minorEastAsia" w:eastAsiaTheme="minorEastAsia"/>
                <w:b/>
                <w:bCs/>
                <w:kern w:val="2"/>
                <w:sz w:val="21"/>
                <w:szCs w:val="21"/>
              </w:rPr>
              <w:t>分值</w:t>
            </w:r>
          </w:p>
        </w:tc>
        <w:tc>
          <w:tcPr>
            <w:tcW w:w="4725" w:type="dxa"/>
            <w:vMerge w:val="continue"/>
            <w:tcBorders>
              <w:left w:val="single" w:color="auto" w:sz="4" w:space="0"/>
              <w:bottom w:val="single" w:color="auto" w:sz="4" w:space="0"/>
            </w:tcBorders>
            <w:vAlign w:val="center"/>
          </w:tcPr>
          <w:p>
            <w:pPr>
              <w:spacing w:line="360" w:lineRule="exact"/>
              <w:rPr>
                <w:rFonts w:asciiTheme="minorEastAsia" w:hAnsiTheme="minorEastAsia" w:eastAsiaTheme="minorEastAsia"/>
                <w:spacing w:val="-6"/>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7" w:hRule="atLeast"/>
        </w:trPr>
        <w:tc>
          <w:tcPr>
            <w:tcW w:w="1050" w:type="dxa"/>
            <w:vMerge w:val="restart"/>
            <w:tcBorders>
              <w:top w:val="single" w:color="auto" w:sz="4" w:space="0"/>
            </w:tcBorders>
            <w:vAlign w:val="center"/>
          </w:tcPr>
          <w:p>
            <w:pPr>
              <w:spacing w:line="360" w:lineRule="exact"/>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2.2.2（1）</w:t>
            </w:r>
          </w:p>
        </w:tc>
        <w:tc>
          <w:tcPr>
            <w:tcW w:w="1695" w:type="dxa"/>
            <w:gridSpan w:val="2"/>
            <w:vMerge w:val="restart"/>
            <w:tcBorders>
              <w:top w:val="single" w:color="auto" w:sz="4" w:space="0"/>
              <w:right w:val="single" w:color="auto" w:sz="4" w:space="0"/>
            </w:tcBorders>
            <w:vAlign w:val="center"/>
          </w:tcPr>
          <w:p>
            <w:pPr>
              <w:pStyle w:val="18"/>
              <w:spacing w:line="360" w:lineRule="exact"/>
              <w:ind w:left="113" w:right="113"/>
              <w:jc w:val="center"/>
              <w:rPr>
                <w:rFonts w:cs="Arial" w:asciiTheme="minorEastAsia" w:hAnsiTheme="minorEastAsia" w:eastAsiaTheme="minorEastAsia"/>
              </w:rPr>
            </w:pPr>
            <w:r>
              <w:rPr>
                <w:rFonts w:hint="eastAsia" w:cs="Arial" w:asciiTheme="minorEastAsia" w:hAnsiTheme="minorEastAsia" w:eastAsiaTheme="minorEastAsia"/>
              </w:rPr>
              <w:t>施工组织设计</w:t>
            </w:r>
          </w:p>
        </w:tc>
        <w:tc>
          <w:tcPr>
            <w:tcW w:w="663" w:type="dxa"/>
            <w:vMerge w:val="restart"/>
            <w:tcBorders>
              <w:top w:val="single" w:color="auto" w:sz="4" w:space="0"/>
              <w:left w:val="single" w:color="auto" w:sz="4" w:space="0"/>
            </w:tcBorders>
            <w:vAlign w:val="center"/>
          </w:tcPr>
          <w:p>
            <w:pPr>
              <w:pStyle w:val="18"/>
              <w:spacing w:line="360" w:lineRule="exact"/>
              <w:ind w:left="113" w:right="113"/>
              <w:jc w:val="center"/>
              <w:rPr>
                <w:rFonts w:cs="Arial" w:asciiTheme="minorEastAsia" w:hAnsiTheme="minorEastAsia" w:eastAsiaTheme="minorEastAsia"/>
              </w:rPr>
            </w:pPr>
            <w:r>
              <w:rPr>
                <w:rFonts w:hint="eastAsia" w:cs="Arial" w:asciiTheme="minorEastAsia" w:hAnsiTheme="minorEastAsia" w:eastAsiaTheme="minorEastAsia"/>
                <w:u w:val="single"/>
              </w:rPr>
              <w:t>40</w:t>
            </w:r>
            <w:r>
              <w:rPr>
                <w:rFonts w:hint="eastAsia" w:cs="Arial" w:asciiTheme="minorEastAsia" w:hAnsiTheme="minorEastAsia" w:eastAsiaTheme="minorEastAsia"/>
              </w:rPr>
              <w:t>分</w:t>
            </w:r>
          </w:p>
        </w:tc>
        <w:tc>
          <w:tcPr>
            <w:tcW w:w="867" w:type="dxa"/>
            <w:tcBorders>
              <w:top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总体施工组织布置及规划</w:t>
            </w:r>
          </w:p>
        </w:tc>
        <w:tc>
          <w:tcPr>
            <w:tcW w:w="615" w:type="dxa"/>
            <w:gridSpan w:val="2"/>
            <w:tcBorders>
              <w:top w:val="single" w:color="auto" w:sz="4" w:space="0"/>
              <w:left w:val="single" w:color="auto" w:sz="4" w:space="0"/>
              <w:bottom w:val="single" w:color="auto" w:sz="4" w:space="0"/>
            </w:tcBorders>
            <w:vAlign w:val="center"/>
          </w:tcPr>
          <w:p>
            <w:pPr>
              <w:pStyle w:val="19"/>
              <w:kinsoku w:val="0"/>
              <w:overflowPunct w:val="0"/>
              <w:spacing w:before="88" w:line="360" w:lineRule="exact"/>
              <w:jc w:val="center"/>
              <w:rPr>
                <w:rFonts w:cs="Arial" w:asciiTheme="minorEastAsia" w:hAnsiTheme="minorEastAsia" w:eastAsiaTheme="minorEastAsia"/>
                <w:kern w:val="2"/>
                <w:sz w:val="21"/>
                <w:szCs w:val="21"/>
              </w:rPr>
            </w:pPr>
            <w:r>
              <w:rPr>
                <w:rFonts w:hint="eastAsia" w:cs="Arial" w:asciiTheme="minorEastAsia" w:hAnsiTheme="minorEastAsia" w:eastAsiaTheme="minorEastAsia"/>
                <w:kern w:val="2"/>
                <w:sz w:val="21"/>
                <w:szCs w:val="21"/>
              </w:rPr>
              <w:t>7分</w:t>
            </w:r>
          </w:p>
        </w:tc>
        <w:tc>
          <w:tcPr>
            <w:tcW w:w="4725" w:type="dxa"/>
            <w:vMerge w:val="restart"/>
            <w:tcBorders>
              <w:top w:val="single" w:color="auto" w:sz="4" w:space="0"/>
              <w:left w:val="single" w:color="auto" w:sz="4" w:space="0"/>
            </w:tcBorders>
            <w:vAlign w:val="center"/>
          </w:tcPr>
          <w:p>
            <w:pPr>
              <w:spacing w:line="360" w:lineRule="exact"/>
              <w:rPr>
                <w:rFonts w:cs="Arial" w:asciiTheme="minorEastAsia" w:hAnsiTheme="minorEastAsia" w:eastAsiaTheme="minorEastAsia"/>
                <w:szCs w:val="21"/>
              </w:rPr>
            </w:pPr>
            <w:r>
              <w:rPr>
                <w:rFonts w:hint="eastAsia"/>
                <w:spacing w:val="-6"/>
                <w:szCs w:val="21"/>
              </w:rPr>
              <w:t>按4个等级评定：“很好”计分值的90%~100%，“较好”计80~90%，“一般”计70%~80%，“较差但可行”计60%~70%。本项目由评标委员会按照上述规定，独立评分并签名，各评分因素细分项得分一般不得低于其满分的60%，评标委员会成员对某一项评分因素细分项的评分低于权重分值60%的，应在评标报告中做出说明。各评分因素细分项得分应以评标委员会各成员打分的平均值确定（当评标委员会为5人时，该平均值以各成员打分的算术平均值确定；当评标委员会为7人及以上时，该平均值以去掉一个最高分和一个最低分后计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24" w:hRule="atLeast"/>
        </w:trPr>
        <w:tc>
          <w:tcPr>
            <w:tcW w:w="1050" w:type="dxa"/>
            <w:vMerge w:val="continue"/>
            <w:tcBorders>
              <w:top w:val="single" w:color="auto" w:sz="4" w:space="0"/>
            </w:tcBorders>
            <w:vAlign w:val="center"/>
          </w:tcPr>
          <w:p>
            <w:pPr>
              <w:spacing w:line="360" w:lineRule="exact"/>
              <w:jc w:val="center"/>
              <w:rPr>
                <w:rFonts w:cs="Arial" w:asciiTheme="minorEastAsia" w:hAnsiTheme="minorEastAsia" w:eastAsiaTheme="minorEastAsia"/>
                <w:kern w:val="0"/>
                <w:szCs w:val="21"/>
              </w:rPr>
            </w:pPr>
          </w:p>
        </w:tc>
        <w:tc>
          <w:tcPr>
            <w:tcW w:w="1695" w:type="dxa"/>
            <w:gridSpan w:val="2"/>
            <w:vMerge w:val="continue"/>
            <w:tcBorders>
              <w:top w:val="single" w:color="auto" w:sz="4" w:space="0"/>
              <w:right w:val="single" w:color="auto" w:sz="4" w:space="0"/>
            </w:tcBorders>
            <w:vAlign w:val="center"/>
          </w:tcPr>
          <w:p>
            <w:pPr>
              <w:pStyle w:val="18"/>
              <w:spacing w:line="360" w:lineRule="exact"/>
              <w:ind w:left="113" w:right="113"/>
              <w:jc w:val="center"/>
              <w:rPr>
                <w:rFonts w:cs="Arial" w:asciiTheme="minorEastAsia" w:hAnsiTheme="minorEastAsia" w:eastAsiaTheme="minorEastAsia"/>
              </w:rPr>
            </w:pPr>
          </w:p>
        </w:tc>
        <w:tc>
          <w:tcPr>
            <w:tcW w:w="663" w:type="dxa"/>
            <w:vMerge w:val="continue"/>
            <w:tcBorders>
              <w:top w:val="single" w:color="auto" w:sz="4" w:space="0"/>
              <w:left w:val="single" w:color="auto" w:sz="4" w:space="0"/>
            </w:tcBorders>
            <w:vAlign w:val="center"/>
          </w:tcPr>
          <w:p>
            <w:pPr>
              <w:pStyle w:val="18"/>
              <w:spacing w:line="360" w:lineRule="exact"/>
              <w:ind w:left="113" w:right="113"/>
              <w:jc w:val="center"/>
              <w:rPr>
                <w:rFonts w:cs="Arial" w:asciiTheme="minorEastAsia" w:hAnsiTheme="minorEastAsia" w:eastAsiaTheme="minorEastAsia"/>
              </w:rPr>
            </w:pPr>
          </w:p>
        </w:tc>
        <w:tc>
          <w:tcPr>
            <w:tcW w:w="867" w:type="dxa"/>
            <w:tcBorders>
              <w:top w:val="single" w:color="auto" w:sz="4" w:space="0"/>
              <w:bottom w:val="single" w:color="auto" w:sz="4" w:space="0"/>
              <w:right w:val="single" w:color="auto" w:sz="4" w:space="0"/>
            </w:tcBorders>
            <w:vAlign w:val="center"/>
          </w:tcPr>
          <w:p>
            <w:pPr>
              <w:tabs>
                <w:tab w:val="left" w:pos="510"/>
              </w:tabs>
              <w:rPr>
                <w:rFonts w:ascii="宋体" w:hAnsi="宋体" w:cs="宋体"/>
              </w:rPr>
            </w:pPr>
            <w:r>
              <w:rPr>
                <w:rFonts w:hint="eastAsia" w:ascii="宋体" w:hAnsi="宋体" w:cs="宋体"/>
              </w:rPr>
              <w:t>主要工程项目的施工方案、方法与技术措施、工程质量管理体系及保证措施（尤其对重点、关键和难点工程的施工方案、方法及其措施）</w:t>
            </w:r>
          </w:p>
        </w:tc>
        <w:tc>
          <w:tcPr>
            <w:tcW w:w="615" w:type="dxa"/>
            <w:gridSpan w:val="2"/>
            <w:tcBorders>
              <w:top w:val="single" w:color="auto" w:sz="4" w:space="0"/>
              <w:left w:val="single" w:color="auto" w:sz="4" w:space="0"/>
              <w:bottom w:val="single" w:color="auto" w:sz="4" w:space="0"/>
            </w:tcBorders>
            <w:vAlign w:val="center"/>
          </w:tcPr>
          <w:p>
            <w:pPr>
              <w:pStyle w:val="19"/>
              <w:kinsoku w:val="0"/>
              <w:overflowPunct w:val="0"/>
              <w:spacing w:before="88" w:line="360" w:lineRule="exact"/>
              <w:jc w:val="center"/>
              <w:rPr>
                <w:rFonts w:cs="Arial" w:asciiTheme="minorEastAsia" w:hAnsiTheme="minorEastAsia" w:eastAsiaTheme="minorEastAsia"/>
                <w:kern w:val="2"/>
                <w:sz w:val="21"/>
                <w:szCs w:val="21"/>
              </w:rPr>
            </w:pPr>
            <w:r>
              <w:rPr>
                <w:rFonts w:hint="eastAsia" w:cs="Arial" w:asciiTheme="minorEastAsia" w:hAnsiTheme="minorEastAsia" w:eastAsiaTheme="minorEastAsia"/>
                <w:kern w:val="2"/>
                <w:sz w:val="21"/>
                <w:szCs w:val="21"/>
              </w:rPr>
              <w:t>7分</w:t>
            </w:r>
          </w:p>
        </w:tc>
        <w:tc>
          <w:tcPr>
            <w:tcW w:w="4725" w:type="dxa"/>
            <w:vMerge w:val="continue"/>
            <w:tcBorders>
              <w:top w:val="single" w:color="auto" w:sz="4" w:space="0"/>
              <w:left w:val="single" w:color="auto" w:sz="4" w:space="0"/>
            </w:tcBorders>
            <w:vAlign w:val="center"/>
          </w:tcPr>
          <w:p>
            <w:pPr>
              <w:spacing w:line="360" w:lineRule="exact"/>
              <w:rPr>
                <w:rFonts w:asciiTheme="minorEastAsia" w:hAnsiTheme="minorEastAsia" w:eastAsiaTheme="minorEastAsia"/>
                <w:spacing w:val="-6"/>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15" w:hRule="atLeast"/>
        </w:trPr>
        <w:tc>
          <w:tcPr>
            <w:tcW w:w="1050" w:type="dxa"/>
            <w:vMerge w:val="continue"/>
            <w:vAlign w:val="center"/>
          </w:tcPr>
          <w:p>
            <w:pPr>
              <w:spacing w:line="360" w:lineRule="exact"/>
              <w:jc w:val="center"/>
              <w:rPr>
                <w:rFonts w:cs="Arial" w:asciiTheme="minorEastAsia" w:hAnsiTheme="minorEastAsia" w:eastAsiaTheme="minorEastAsia"/>
                <w:kern w:val="0"/>
                <w:szCs w:val="21"/>
              </w:rPr>
            </w:pPr>
          </w:p>
        </w:tc>
        <w:tc>
          <w:tcPr>
            <w:tcW w:w="1695" w:type="dxa"/>
            <w:gridSpan w:val="2"/>
            <w:vMerge w:val="continue"/>
            <w:tcBorders>
              <w:right w:val="single" w:color="auto" w:sz="4" w:space="0"/>
            </w:tcBorders>
            <w:vAlign w:val="center"/>
          </w:tcPr>
          <w:p>
            <w:pPr>
              <w:pStyle w:val="18"/>
              <w:spacing w:line="360" w:lineRule="exact"/>
              <w:ind w:left="113" w:right="113"/>
              <w:jc w:val="center"/>
              <w:rPr>
                <w:rFonts w:cs="Arial" w:asciiTheme="minorEastAsia" w:hAnsiTheme="minorEastAsia" w:eastAsiaTheme="minorEastAsia"/>
              </w:rPr>
            </w:pPr>
          </w:p>
        </w:tc>
        <w:tc>
          <w:tcPr>
            <w:tcW w:w="663" w:type="dxa"/>
            <w:vMerge w:val="continue"/>
            <w:tcBorders>
              <w:left w:val="single" w:color="auto" w:sz="4" w:space="0"/>
            </w:tcBorders>
            <w:vAlign w:val="center"/>
          </w:tcPr>
          <w:p>
            <w:pPr>
              <w:pStyle w:val="18"/>
              <w:spacing w:line="360" w:lineRule="exact"/>
              <w:ind w:left="113" w:right="113"/>
              <w:jc w:val="center"/>
              <w:rPr>
                <w:rFonts w:cs="Arial" w:asciiTheme="minorEastAsia" w:hAnsiTheme="minorEastAsia" w:eastAsiaTheme="minorEastAsia"/>
              </w:rPr>
            </w:pPr>
          </w:p>
        </w:tc>
        <w:tc>
          <w:tcPr>
            <w:tcW w:w="867" w:type="dxa"/>
            <w:tcBorders>
              <w:top w:val="single" w:color="auto" w:sz="4" w:space="0"/>
              <w:bottom w:val="single" w:color="auto" w:sz="4" w:space="0"/>
              <w:right w:val="single" w:color="auto" w:sz="4" w:space="0"/>
            </w:tcBorders>
            <w:vAlign w:val="center"/>
          </w:tcPr>
          <w:p>
            <w:pPr>
              <w:tabs>
                <w:tab w:val="left" w:pos="510"/>
              </w:tabs>
              <w:rPr>
                <w:rFonts w:ascii="宋体" w:hAnsi="宋体" w:cs="宋体"/>
              </w:rPr>
            </w:pPr>
            <w:r>
              <w:rPr>
                <w:rFonts w:hint="eastAsia" w:ascii="宋体" w:hAnsi="宋体" w:cs="宋体"/>
              </w:rPr>
              <w:t>工期的保证体系及保证措施</w:t>
            </w:r>
          </w:p>
        </w:tc>
        <w:tc>
          <w:tcPr>
            <w:tcW w:w="615" w:type="dxa"/>
            <w:gridSpan w:val="2"/>
            <w:tcBorders>
              <w:top w:val="single" w:color="auto" w:sz="4" w:space="0"/>
              <w:left w:val="single" w:color="auto" w:sz="4" w:space="0"/>
              <w:bottom w:val="single" w:color="auto" w:sz="4" w:space="0"/>
            </w:tcBorders>
            <w:vAlign w:val="center"/>
          </w:tcPr>
          <w:p>
            <w:pPr>
              <w:pStyle w:val="19"/>
              <w:kinsoku w:val="0"/>
              <w:overflowPunct w:val="0"/>
              <w:spacing w:line="360" w:lineRule="exact"/>
              <w:jc w:val="center"/>
              <w:rPr>
                <w:rFonts w:cs="Arial" w:asciiTheme="minorEastAsia" w:hAnsiTheme="minorEastAsia" w:eastAsiaTheme="minorEastAsia"/>
                <w:kern w:val="2"/>
                <w:sz w:val="21"/>
                <w:szCs w:val="21"/>
              </w:rPr>
            </w:pPr>
            <w:r>
              <w:rPr>
                <w:rFonts w:hint="eastAsia" w:cs="Arial" w:asciiTheme="minorEastAsia" w:hAnsiTheme="minorEastAsia" w:eastAsiaTheme="minorEastAsia"/>
                <w:kern w:val="2"/>
                <w:sz w:val="21"/>
                <w:szCs w:val="21"/>
              </w:rPr>
              <w:t>7分</w:t>
            </w:r>
          </w:p>
        </w:tc>
        <w:tc>
          <w:tcPr>
            <w:tcW w:w="4725" w:type="dxa"/>
            <w:vMerge w:val="continue"/>
            <w:tcBorders>
              <w:left w:val="single" w:color="auto" w:sz="4" w:space="0"/>
            </w:tcBorders>
            <w:vAlign w:val="center"/>
          </w:tcPr>
          <w:p>
            <w:pPr>
              <w:snapToGrid w:val="0"/>
              <w:spacing w:line="360" w:lineRule="exact"/>
              <w:jc w:val="left"/>
              <w:rPr>
                <w:rFonts w:cs="Arial"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19" w:hRule="atLeast"/>
        </w:trPr>
        <w:tc>
          <w:tcPr>
            <w:tcW w:w="1050" w:type="dxa"/>
            <w:vMerge w:val="continue"/>
            <w:vAlign w:val="center"/>
          </w:tcPr>
          <w:p>
            <w:pPr>
              <w:spacing w:line="360" w:lineRule="exact"/>
              <w:jc w:val="center"/>
              <w:rPr>
                <w:rFonts w:cs="Arial" w:asciiTheme="minorEastAsia" w:hAnsiTheme="minorEastAsia" w:eastAsiaTheme="minorEastAsia"/>
                <w:kern w:val="0"/>
                <w:szCs w:val="21"/>
              </w:rPr>
            </w:pPr>
          </w:p>
        </w:tc>
        <w:tc>
          <w:tcPr>
            <w:tcW w:w="1695" w:type="dxa"/>
            <w:gridSpan w:val="2"/>
            <w:vMerge w:val="continue"/>
            <w:tcBorders>
              <w:right w:val="single" w:color="auto" w:sz="4" w:space="0"/>
            </w:tcBorders>
            <w:vAlign w:val="center"/>
          </w:tcPr>
          <w:p>
            <w:pPr>
              <w:pStyle w:val="18"/>
              <w:spacing w:line="360" w:lineRule="exact"/>
              <w:ind w:left="113" w:right="113"/>
              <w:jc w:val="center"/>
              <w:rPr>
                <w:rFonts w:cs="Arial" w:asciiTheme="minorEastAsia" w:hAnsiTheme="minorEastAsia" w:eastAsiaTheme="minorEastAsia"/>
              </w:rPr>
            </w:pPr>
          </w:p>
        </w:tc>
        <w:tc>
          <w:tcPr>
            <w:tcW w:w="663" w:type="dxa"/>
            <w:vMerge w:val="continue"/>
            <w:tcBorders>
              <w:left w:val="single" w:color="auto" w:sz="4" w:space="0"/>
            </w:tcBorders>
            <w:vAlign w:val="center"/>
          </w:tcPr>
          <w:p>
            <w:pPr>
              <w:pStyle w:val="18"/>
              <w:spacing w:line="360" w:lineRule="exact"/>
              <w:ind w:left="113" w:right="113"/>
              <w:jc w:val="center"/>
              <w:rPr>
                <w:rFonts w:cs="Arial" w:asciiTheme="minorEastAsia" w:hAnsiTheme="minorEastAsia" w:eastAsiaTheme="minorEastAsia"/>
              </w:rPr>
            </w:pPr>
          </w:p>
        </w:tc>
        <w:tc>
          <w:tcPr>
            <w:tcW w:w="867" w:type="dxa"/>
            <w:tcBorders>
              <w:top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交通保畅及安全生产管理</w:t>
            </w:r>
          </w:p>
        </w:tc>
        <w:tc>
          <w:tcPr>
            <w:tcW w:w="615" w:type="dxa"/>
            <w:gridSpan w:val="2"/>
            <w:tcBorders>
              <w:top w:val="single" w:color="auto" w:sz="4" w:space="0"/>
              <w:left w:val="single" w:color="auto" w:sz="4" w:space="0"/>
              <w:bottom w:val="single" w:color="auto" w:sz="4" w:space="0"/>
            </w:tcBorders>
            <w:vAlign w:val="center"/>
          </w:tcPr>
          <w:p>
            <w:pPr>
              <w:pStyle w:val="19"/>
              <w:kinsoku w:val="0"/>
              <w:overflowPunct w:val="0"/>
              <w:spacing w:before="85" w:line="360" w:lineRule="exact"/>
              <w:jc w:val="center"/>
              <w:rPr>
                <w:rFonts w:cs="Arial" w:asciiTheme="minorEastAsia" w:hAnsiTheme="minorEastAsia" w:eastAsiaTheme="minorEastAsia"/>
                <w:kern w:val="2"/>
                <w:sz w:val="21"/>
                <w:szCs w:val="21"/>
              </w:rPr>
            </w:pPr>
            <w:r>
              <w:rPr>
                <w:rFonts w:hint="eastAsia" w:cs="Arial" w:asciiTheme="minorEastAsia" w:hAnsiTheme="minorEastAsia" w:eastAsiaTheme="minorEastAsia"/>
                <w:kern w:val="2"/>
                <w:sz w:val="21"/>
                <w:szCs w:val="21"/>
              </w:rPr>
              <w:t>7分</w:t>
            </w:r>
          </w:p>
        </w:tc>
        <w:tc>
          <w:tcPr>
            <w:tcW w:w="4725" w:type="dxa"/>
            <w:vMerge w:val="continue"/>
            <w:tcBorders>
              <w:left w:val="single" w:color="auto" w:sz="4" w:space="0"/>
            </w:tcBorders>
            <w:vAlign w:val="center"/>
          </w:tcPr>
          <w:p>
            <w:pPr>
              <w:snapToGrid w:val="0"/>
              <w:spacing w:line="360" w:lineRule="exact"/>
              <w:jc w:val="left"/>
              <w:rPr>
                <w:rFonts w:cs="Arial"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61" w:hRule="atLeast"/>
        </w:trPr>
        <w:tc>
          <w:tcPr>
            <w:tcW w:w="1050" w:type="dxa"/>
            <w:vMerge w:val="continue"/>
            <w:vAlign w:val="center"/>
          </w:tcPr>
          <w:p>
            <w:pPr>
              <w:spacing w:line="360" w:lineRule="exact"/>
              <w:jc w:val="center"/>
              <w:rPr>
                <w:rFonts w:cs="Arial" w:asciiTheme="minorEastAsia" w:hAnsiTheme="minorEastAsia" w:eastAsiaTheme="minorEastAsia"/>
                <w:kern w:val="0"/>
                <w:szCs w:val="21"/>
              </w:rPr>
            </w:pPr>
          </w:p>
        </w:tc>
        <w:tc>
          <w:tcPr>
            <w:tcW w:w="1695" w:type="dxa"/>
            <w:gridSpan w:val="2"/>
            <w:vMerge w:val="continue"/>
            <w:tcBorders>
              <w:right w:val="single" w:color="auto" w:sz="4" w:space="0"/>
            </w:tcBorders>
            <w:vAlign w:val="center"/>
          </w:tcPr>
          <w:p>
            <w:pPr>
              <w:pStyle w:val="18"/>
              <w:spacing w:line="360" w:lineRule="exact"/>
              <w:ind w:left="113" w:right="113"/>
              <w:jc w:val="center"/>
              <w:rPr>
                <w:rFonts w:cs="Arial" w:asciiTheme="minorEastAsia" w:hAnsiTheme="minorEastAsia" w:eastAsiaTheme="minorEastAsia"/>
              </w:rPr>
            </w:pPr>
          </w:p>
        </w:tc>
        <w:tc>
          <w:tcPr>
            <w:tcW w:w="663" w:type="dxa"/>
            <w:vMerge w:val="continue"/>
            <w:tcBorders>
              <w:left w:val="single" w:color="auto" w:sz="4" w:space="0"/>
            </w:tcBorders>
            <w:vAlign w:val="center"/>
          </w:tcPr>
          <w:p>
            <w:pPr>
              <w:pStyle w:val="18"/>
              <w:spacing w:line="360" w:lineRule="exact"/>
              <w:ind w:left="113" w:right="113"/>
              <w:jc w:val="center"/>
              <w:rPr>
                <w:rFonts w:cs="Arial" w:asciiTheme="minorEastAsia" w:hAnsiTheme="minorEastAsia" w:eastAsiaTheme="minorEastAsia"/>
              </w:rPr>
            </w:pPr>
          </w:p>
        </w:tc>
        <w:tc>
          <w:tcPr>
            <w:tcW w:w="867" w:type="dxa"/>
            <w:tcBorders>
              <w:top w:val="single" w:color="auto" w:sz="4" w:space="0"/>
              <w:bottom w:val="single" w:color="auto" w:sz="4" w:space="0"/>
              <w:right w:val="single" w:color="auto" w:sz="4" w:space="0"/>
            </w:tcBorders>
            <w:vAlign w:val="center"/>
          </w:tcPr>
          <w:p>
            <w:pPr>
              <w:tabs>
                <w:tab w:val="left" w:pos="510"/>
              </w:tabs>
              <w:rPr>
                <w:rFonts w:ascii="宋体" w:hAnsi="宋体" w:cs="宋体"/>
              </w:rPr>
            </w:pPr>
            <w:r>
              <w:rPr>
                <w:rFonts w:hint="eastAsia" w:ascii="宋体" w:hAnsi="宋体" w:cs="宋体"/>
              </w:rPr>
              <w:t>项目风险预测与防范，事故应急预案建立情况</w:t>
            </w:r>
          </w:p>
        </w:tc>
        <w:tc>
          <w:tcPr>
            <w:tcW w:w="615" w:type="dxa"/>
            <w:gridSpan w:val="2"/>
            <w:tcBorders>
              <w:top w:val="single" w:color="auto" w:sz="4" w:space="0"/>
              <w:left w:val="single" w:color="auto" w:sz="4" w:space="0"/>
              <w:bottom w:val="single" w:color="auto" w:sz="4" w:space="0"/>
            </w:tcBorders>
            <w:vAlign w:val="center"/>
          </w:tcPr>
          <w:p>
            <w:pPr>
              <w:pStyle w:val="19"/>
              <w:kinsoku w:val="0"/>
              <w:overflowPunct w:val="0"/>
              <w:spacing w:before="160" w:line="360" w:lineRule="exact"/>
              <w:jc w:val="center"/>
              <w:rPr>
                <w:rFonts w:cs="Arial" w:asciiTheme="minorEastAsia" w:hAnsiTheme="minorEastAsia" w:eastAsiaTheme="minorEastAsia"/>
                <w:kern w:val="2"/>
                <w:sz w:val="21"/>
                <w:szCs w:val="21"/>
              </w:rPr>
            </w:pPr>
            <w:r>
              <w:rPr>
                <w:rFonts w:hint="eastAsia" w:cs="Arial" w:asciiTheme="minorEastAsia" w:hAnsiTheme="minorEastAsia" w:eastAsiaTheme="minorEastAsia"/>
                <w:kern w:val="2"/>
                <w:sz w:val="21"/>
                <w:szCs w:val="21"/>
              </w:rPr>
              <w:t>7分</w:t>
            </w:r>
          </w:p>
        </w:tc>
        <w:tc>
          <w:tcPr>
            <w:tcW w:w="4725" w:type="dxa"/>
            <w:vMerge w:val="continue"/>
            <w:tcBorders>
              <w:left w:val="single" w:color="auto" w:sz="4" w:space="0"/>
            </w:tcBorders>
            <w:vAlign w:val="center"/>
          </w:tcPr>
          <w:p>
            <w:pPr>
              <w:snapToGrid w:val="0"/>
              <w:spacing w:line="360" w:lineRule="exact"/>
              <w:jc w:val="left"/>
              <w:rPr>
                <w:rFonts w:cs="Arial"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7" w:hRule="atLeast"/>
        </w:trPr>
        <w:tc>
          <w:tcPr>
            <w:tcW w:w="1050" w:type="dxa"/>
            <w:vMerge w:val="continue"/>
            <w:vAlign w:val="center"/>
          </w:tcPr>
          <w:p>
            <w:pPr>
              <w:spacing w:line="360" w:lineRule="exact"/>
              <w:jc w:val="center"/>
              <w:rPr>
                <w:rFonts w:cs="Arial" w:asciiTheme="minorEastAsia" w:hAnsiTheme="minorEastAsia" w:eastAsiaTheme="minorEastAsia"/>
                <w:kern w:val="0"/>
                <w:szCs w:val="21"/>
              </w:rPr>
            </w:pPr>
          </w:p>
        </w:tc>
        <w:tc>
          <w:tcPr>
            <w:tcW w:w="1695" w:type="dxa"/>
            <w:gridSpan w:val="2"/>
            <w:vMerge w:val="continue"/>
            <w:tcBorders>
              <w:right w:val="single" w:color="auto" w:sz="4" w:space="0"/>
            </w:tcBorders>
            <w:vAlign w:val="center"/>
          </w:tcPr>
          <w:p>
            <w:pPr>
              <w:pStyle w:val="18"/>
              <w:spacing w:line="360" w:lineRule="exact"/>
              <w:ind w:left="113" w:right="113"/>
              <w:jc w:val="center"/>
              <w:rPr>
                <w:rFonts w:cs="Arial" w:asciiTheme="minorEastAsia" w:hAnsiTheme="minorEastAsia" w:eastAsiaTheme="minorEastAsia"/>
              </w:rPr>
            </w:pPr>
          </w:p>
        </w:tc>
        <w:tc>
          <w:tcPr>
            <w:tcW w:w="663" w:type="dxa"/>
            <w:vMerge w:val="continue"/>
            <w:tcBorders>
              <w:left w:val="single" w:color="auto" w:sz="4" w:space="0"/>
            </w:tcBorders>
            <w:vAlign w:val="center"/>
          </w:tcPr>
          <w:p>
            <w:pPr>
              <w:pStyle w:val="18"/>
              <w:spacing w:line="360" w:lineRule="exact"/>
              <w:ind w:left="113" w:right="113"/>
              <w:jc w:val="center"/>
              <w:rPr>
                <w:rFonts w:cs="Arial" w:asciiTheme="minorEastAsia" w:hAnsiTheme="minorEastAsia" w:eastAsiaTheme="minorEastAsia"/>
              </w:rPr>
            </w:pPr>
          </w:p>
        </w:tc>
        <w:tc>
          <w:tcPr>
            <w:tcW w:w="867" w:type="dxa"/>
            <w:tcBorders>
              <w:top w:val="single" w:color="auto" w:sz="4" w:space="0"/>
              <w:right w:val="single" w:color="auto" w:sz="4" w:space="0"/>
            </w:tcBorders>
            <w:vAlign w:val="center"/>
          </w:tcPr>
          <w:p>
            <w:pPr>
              <w:tabs>
                <w:tab w:val="left" w:pos="510"/>
              </w:tabs>
              <w:rPr>
                <w:rFonts w:ascii="宋体" w:hAnsi="宋体" w:cs="宋体"/>
                <w:b/>
              </w:rPr>
            </w:pPr>
            <w:r>
              <w:rPr>
                <w:rFonts w:hint="eastAsia" w:ascii="宋体" w:hAnsi="宋体" w:cs="宋体"/>
              </w:rPr>
              <w:t>疫情防控措施</w:t>
            </w:r>
          </w:p>
        </w:tc>
        <w:tc>
          <w:tcPr>
            <w:tcW w:w="615" w:type="dxa"/>
            <w:gridSpan w:val="2"/>
            <w:tcBorders>
              <w:top w:val="single" w:color="auto" w:sz="4" w:space="0"/>
              <w:left w:val="single" w:color="auto" w:sz="4" w:space="0"/>
            </w:tcBorders>
            <w:vAlign w:val="center"/>
          </w:tcPr>
          <w:p>
            <w:pPr>
              <w:pStyle w:val="19"/>
              <w:kinsoku w:val="0"/>
              <w:overflowPunct w:val="0"/>
              <w:spacing w:before="88" w:line="360" w:lineRule="exact"/>
              <w:jc w:val="center"/>
              <w:rPr>
                <w:rFonts w:cs="Arial" w:asciiTheme="minorEastAsia" w:hAnsiTheme="minorEastAsia" w:eastAsiaTheme="minorEastAsia"/>
                <w:kern w:val="2"/>
                <w:sz w:val="21"/>
                <w:szCs w:val="21"/>
              </w:rPr>
            </w:pPr>
            <w:r>
              <w:rPr>
                <w:rFonts w:hint="eastAsia" w:cs="Arial" w:asciiTheme="minorEastAsia" w:hAnsiTheme="minorEastAsia" w:eastAsiaTheme="minorEastAsia"/>
                <w:kern w:val="2"/>
                <w:sz w:val="21"/>
                <w:szCs w:val="21"/>
              </w:rPr>
              <w:t>5 分</w:t>
            </w:r>
          </w:p>
        </w:tc>
        <w:tc>
          <w:tcPr>
            <w:tcW w:w="4725" w:type="dxa"/>
            <w:vMerge w:val="continue"/>
            <w:tcBorders>
              <w:left w:val="single" w:color="auto" w:sz="4" w:space="0"/>
            </w:tcBorders>
            <w:vAlign w:val="center"/>
          </w:tcPr>
          <w:p>
            <w:pPr>
              <w:snapToGrid w:val="0"/>
              <w:spacing w:line="360" w:lineRule="exact"/>
              <w:jc w:val="left"/>
              <w:rPr>
                <w:rFonts w:cs="Arial"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30" w:hRule="atLeast"/>
        </w:trPr>
        <w:tc>
          <w:tcPr>
            <w:tcW w:w="1050" w:type="dxa"/>
            <w:vMerge w:val="restart"/>
            <w:vAlign w:val="center"/>
          </w:tcPr>
          <w:p>
            <w:pPr>
              <w:spacing w:line="360" w:lineRule="exact"/>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2.2.2（2）</w:t>
            </w:r>
          </w:p>
        </w:tc>
        <w:tc>
          <w:tcPr>
            <w:tcW w:w="1695" w:type="dxa"/>
            <w:gridSpan w:val="2"/>
            <w:vMerge w:val="restart"/>
            <w:tcBorders>
              <w:right w:val="single" w:color="auto" w:sz="4" w:space="0"/>
            </w:tcBorders>
            <w:vAlign w:val="center"/>
          </w:tcPr>
          <w:p>
            <w:pPr>
              <w:pStyle w:val="18"/>
              <w:spacing w:line="360" w:lineRule="exact"/>
              <w:ind w:left="113" w:right="113"/>
              <w:jc w:val="center"/>
              <w:rPr>
                <w:rFonts w:cs="Arial" w:asciiTheme="minorEastAsia" w:hAnsiTheme="minorEastAsia" w:eastAsiaTheme="minorEastAsia"/>
              </w:rPr>
            </w:pPr>
            <w:r>
              <w:rPr>
                <w:rFonts w:hint="eastAsia" w:cs="Arial" w:asciiTheme="minorEastAsia" w:hAnsiTheme="minorEastAsia" w:eastAsiaTheme="minorEastAsia"/>
              </w:rPr>
              <w:t xml:space="preserve">主要人员 </w:t>
            </w:r>
          </w:p>
        </w:tc>
        <w:tc>
          <w:tcPr>
            <w:tcW w:w="663" w:type="dxa"/>
            <w:vMerge w:val="restart"/>
            <w:tcBorders>
              <w:left w:val="single" w:color="auto" w:sz="4" w:space="0"/>
            </w:tcBorders>
            <w:vAlign w:val="center"/>
          </w:tcPr>
          <w:p>
            <w:pPr>
              <w:pStyle w:val="18"/>
              <w:spacing w:line="360" w:lineRule="exact"/>
              <w:ind w:left="113" w:right="113"/>
              <w:jc w:val="center"/>
              <w:rPr>
                <w:rFonts w:cs="Arial" w:asciiTheme="minorEastAsia" w:hAnsiTheme="minorEastAsia" w:eastAsiaTheme="minorEastAsia"/>
              </w:rPr>
            </w:pPr>
            <w:r>
              <w:rPr>
                <w:rFonts w:hint="eastAsia" w:cs="Arial" w:asciiTheme="minorEastAsia" w:hAnsiTheme="minorEastAsia" w:eastAsiaTheme="minorEastAsia"/>
              </w:rPr>
              <w:t>25分</w:t>
            </w:r>
          </w:p>
        </w:tc>
        <w:tc>
          <w:tcPr>
            <w:tcW w:w="867" w:type="dxa"/>
            <w:tcBorders>
              <w:top w:val="single" w:color="auto" w:sz="4" w:space="0"/>
              <w:right w:val="single" w:color="auto" w:sz="4" w:space="0"/>
            </w:tcBorders>
            <w:vAlign w:val="center"/>
          </w:tcPr>
          <w:p>
            <w:pPr>
              <w:spacing w:line="360" w:lineRule="exact"/>
              <w:rPr>
                <w:rFonts w:cs="Arial" w:asciiTheme="minorEastAsia" w:hAnsiTheme="minorEastAsia" w:eastAsiaTheme="minorEastAsia"/>
                <w:szCs w:val="21"/>
              </w:rPr>
            </w:pPr>
            <w:r>
              <w:rPr>
                <w:rFonts w:hint="eastAsia" w:ascii="宋体" w:hAnsi="宋体" w:cs="宋体"/>
                <w:szCs w:val="21"/>
              </w:rPr>
              <w:t>项目经理业绩（满分10分）</w:t>
            </w:r>
          </w:p>
        </w:tc>
        <w:tc>
          <w:tcPr>
            <w:tcW w:w="615" w:type="dxa"/>
            <w:gridSpan w:val="2"/>
            <w:tcBorders>
              <w:top w:val="single" w:color="auto" w:sz="4" w:space="0"/>
              <w:left w:val="single" w:color="auto" w:sz="4" w:space="0"/>
              <w:bottom w:val="single" w:color="auto" w:sz="4" w:space="0"/>
            </w:tcBorders>
            <w:vAlign w:val="center"/>
          </w:tcPr>
          <w:p>
            <w:pPr>
              <w:pStyle w:val="19"/>
              <w:kinsoku w:val="0"/>
              <w:overflowPunct w:val="0"/>
              <w:spacing w:before="88" w:line="360" w:lineRule="exact"/>
              <w:rPr>
                <w:rFonts w:cs="Arial" w:asciiTheme="minorEastAsia" w:hAnsiTheme="minorEastAsia" w:eastAsiaTheme="minorEastAsia"/>
                <w:kern w:val="2"/>
                <w:sz w:val="21"/>
                <w:szCs w:val="21"/>
              </w:rPr>
            </w:pPr>
            <w:r>
              <w:rPr>
                <w:rFonts w:hint="eastAsia" w:cs="Arial" w:asciiTheme="minorEastAsia" w:hAnsiTheme="minorEastAsia" w:eastAsiaTheme="minorEastAsia"/>
                <w:kern w:val="2"/>
                <w:sz w:val="21"/>
                <w:szCs w:val="21"/>
              </w:rPr>
              <w:t>10分</w:t>
            </w:r>
          </w:p>
        </w:tc>
        <w:tc>
          <w:tcPr>
            <w:tcW w:w="4725" w:type="dxa"/>
            <w:tcBorders>
              <w:top w:val="single" w:color="auto" w:sz="4" w:space="0"/>
              <w:left w:val="single" w:color="auto" w:sz="4" w:space="0"/>
              <w:bottom w:val="single" w:color="auto" w:sz="4" w:space="0"/>
            </w:tcBorders>
            <w:vAlign w:val="center"/>
          </w:tcPr>
          <w:p>
            <w:pPr>
              <w:snapToGrid w:val="0"/>
              <w:spacing w:line="360" w:lineRule="exact"/>
              <w:jc w:val="left"/>
              <w:rPr>
                <w:b/>
                <w:szCs w:val="21"/>
              </w:rPr>
            </w:pPr>
            <w:r>
              <w:rPr>
                <w:rStyle w:val="20"/>
                <w:rFonts w:hint="eastAsia"/>
              </w:rPr>
              <w:t>2019年1月1日以来，</w:t>
            </w:r>
            <w:r>
              <w:rPr>
                <w:szCs w:val="21"/>
              </w:rPr>
              <w:t>承担过</w:t>
            </w:r>
            <w:r>
              <w:rPr>
                <w:rFonts w:hint="eastAsia"/>
                <w:szCs w:val="21"/>
              </w:rPr>
              <w:t>1</w:t>
            </w:r>
            <w:r>
              <w:rPr>
                <w:szCs w:val="21"/>
              </w:rPr>
              <w:t>个合同金额</w:t>
            </w:r>
            <w:r>
              <w:rPr>
                <w:rFonts w:hint="eastAsia"/>
                <w:szCs w:val="21"/>
              </w:rPr>
              <w:t>10</w:t>
            </w:r>
            <w:r>
              <w:rPr>
                <w:szCs w:val="21"/>
              </w:rPr>
              <w:t>00万元以上的高速公路</w:t>
            </w:r>
            <w:r>
              <w:rPr>
                <w:rFonts w:hint="eastAsia"/>
                <w:szCs w:val="21"/>
              </w:rPr>
              <w:t>机电工程施工项目</w:t>
            </w:r>
            <w:r>
              <w:rPr>
                <w:szCs w:val="21"/>
              </w:rPr>
              <w:t>的项目经理业绩加</w:t>
            </w:r>
            <w:r>
              <w:rPr>
                <w:rFonts w:hint="eastAsia"/>
                <w:szCs w:val="21"/>
              </w:rPr>
              <w:t>10</w:t>
            </w:r>
            <w:r>
              <w:rPr>
                <w:szCs w:val="21"/>
              </w:rPr>
              <w:t>分，最高加</w:t>
            </w:r>
            <w:r>
              <w:rPr>
                <w:rFonts w:hint="eastAsia"/>
                <w:szCs w:val="21"/>
              </w:rPr>
              <w:t>10</w:t>
            </w:r>
            <w:r>
              <w:rPr>
                <w:szCs w:val="21"/>
              </w:rPr>
              <w:t>分。</w:t>
            </w:r>
            <w:r>
              <w:rPr>
                <w:b/>
                <w:szCs w:val="21"/>
              </w:rPr>
              <w:t>（注：加分的个人业绩证明材料应满足招标文件投标人须知3.5.5款的相关要求；如提供的证明材料不能体现其为</w:t>
            </w:r>
            <w:r>
              <w:rPr>
                <w:b/>
                <w:bCs/>
                <w:szCs w:val="21"/>
              </w:rPr>
              <w:t>高速公路</w:t>
            </w:r>
            <w:r>
              <w:rPr>
                <w:rFonts w:hint="eastAsia"/>
                <w:b/>
                <w:bCs/>
                <w:szCs w:val="21"/>
              </w:rPr>
              <w:t>机电工程施工</w:t>
            </w:r>
            <w:r>
              <w:rPr>
                <w:b/>
                <w:bCs/>
                <w:szCs w:val="21"/>
              </w:rPr>
              <w:t>金额在</w:t>
            </w:r>
            <w:r>
              <w:rPr>
                <w:rFonts w:hint="eastAsia"/>
                <w:b/>
                <w:bCs/>
                <w:szCs w:val="21"/>
              </w:rPr>
              <w:t>10</w:t>
            </w:r>
            <w:r>
              <w:rPr>
                <w:b/>
                <w:bCs/>
                <w:szCs w:val="21"/>
              </w:rPr>
              <w:t>00万元以上的业绩，将不予计分</w:t>
            </w:r>
            <w:r>
              <w:rPr>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88" w:hRule="atLeast"/>
        </w:trPr>
        <w:tc>
          <w:tcPr>
            <w:tcW w:w="1050" w:type="dxa"/>
            <w:vMerge w:val="continue"/>
            <w:vAlign w:val="center"/>
          </w:tcPr>
          <w:p>
            <w:pPr>
              <w:spacing w:line="360" w:lineRule="exact"/>
              <w:jc w:val="center"/>
              <w:rPr>
                <w:rFonts w:cs="Arial" w:asciiTheme="minorEastAsia" w:hAnsiTheme="minorEastAsia" w:eastAsiaTheme="minorEastAsia"/>
                <w:kern w:val="0"/>
                <w:szCs w:val="21"/>
              </w:rPr>
            </w:pPr>
          </w:p>
        </w:tc>
        <w:tc>
          <w:tcPr>
            <w:tcW w:w="1695" w:type="dxa"/>
            <w:gridSpan w:val="2"/>
            <w:vMerge w:val="continue"/>
            <w:tcBorders>
              <w:right w:val="single" w:color="auto" w:sz="4" w:space="0"/>
            </w:tcBorders>
            <w:vAlign w:val="center"/>
          </w:tcPr>
          <w:p>
            <w:pPr>
              <w:pStyle w:val="18"/>
              <w:spacing w:line="360" w:lineRule="exact"/>
              <w:ind w:left="113" w:right="113"/>
              <w:jc w:val="center"/>
              <w:rPr>
                <w:rFonts w:cs="Arial" w:asciiTheme="minorEastAsia" w:hAnsiTheme="minorEastAsia" w:eastAsiaTheme="minorEastAsia"/>
              </w:rPr>
            </w:pPr>
          </w:p>
        </w:tc>
        <w:tc>
          <w:tcPr>
            <w:tcW w:w="663" w:type="dxa"/>
            <w:vMerge w:val="continue"/>
            <w:tcBorders>
              <w:left w:val="single" w:color="auto" w:sz="4" w:space="0"/>
            </w:tcBorders>
            <w:vAlign w:val="center"/>
          </w:tcPr>
          <w:p>
            <w:pPr>
              <w:pStyle w:val="18"/>
              <w:spacing w:line="360" w:lineRule="exact"/>
              <w:ind w:left="113" w:right="113"/>
              <w:jc w:val="center"/>
              <w:rPr>
                <w:rFonts w:cs="Arial" w:asciiTheme="minorEastAsia" w:hAnsiTheme="minorEastAsia" w:eastAsiaTheme="minorEastAsia"/>
              </w:rPr>
            </w:pPr>
          </w:p>
        </w:tc>
        <w:tc>
          <w:tcPr>
            <w:tcW w:w="867" w:type="dxa"/>
            <w:tcBorders>
              <w:top w:val="single" w:color="auto" w:sz="4" w:space="0"/>
              <w:right w:val="single" w:color="auto" w:sz="4" w:space="0"/>
            </w:tcBorders>
            <w:vAlign w:val="center"/>
          </w:tcPr>
          <w:p>
            <w:pPr>
              <w:spacing w:line="360" w:lineRule="exact"/>
              <w:rPr>
                <w:rFonts w:cs="Arial" w:asciiTheme="minorEastAsia" w:hAnsiTheme="minorEastAsia" w:eastAsiaTheme="minorEastAsia"/>
                <w:szCs w:val="21"/>
              </w:rPr>
            </w:pPr>
            <w:r>
              <w:rPr>
                <w:rFonts w:hint="eastAsia" w:ascii="宋体" w:hAnsi="宋体" w:cs="宋体"/>
              </w:rPr>
              <w:t>项目总工业绩</w:t>
            </w:r>
            <w:r>
              <w:rPr>
                <w:rFonts w:hint="eastAsia" w:ascii="宋体" w:hAnsi="宋体" w:cs="宋体"/>
                <w:szCs w:val="21"/>
              </w:rPr>
              <w:t>（满分15分）</w:t>
            </w:r>
          </w:p>
        </w:tc>
        <w:tc>
          <w:tcPr>
            <w:tcW w:w="615" w:type="dxa"/>
            <w:gridSpan w:val="2"/>
            <w:tcBorders>
              <w:top w:val="single" w:color="auto" w:sz="4" w:space="0"/>
              <w:left w:val="single" w:color="auto" w:sz="4" w:space="0"/>
              <w:bottom w:val="single" w:color="auto" w:sz="4" w:space="0"/>
            </w:tcBorders>
            <w:vAlign w:val="center"/>
          </w:tcPr>
          <w:p>
            <w:pPr>
              <w:pStyle w:val="19"/>
              <w:kinsoku w:val="0"/>
              <w:overflowPunct w:val="0"/>
              <w:spacing w:before="88" w:line="360" w:lineRule="exact"/>
              <w:ind w:left="2"/>
              <w:jc w:val="center"/>
              <w:rPr>
                <w:rFonts w:cs="Arial" w:asciiTheme="minorEastAsia" w:hAnsiTheme="minorEastAsia" w:eastAsiaTheme="minorEastAsia"/>
                <w:kern w:val="2"/>
                <w:sz w:val="21"/>
                <w:szCs w:val="21"/>
              </w:rPr>
            </w:pPr>
            <w:r>
              <w:rPr>
                <w:rFonts w:hint="eastAsia" w:cs="Arial" w:asciiTheme="minorEastAsia" w:hAnsiTheme="minorEastAsia" w:eastAsiaTheme="minorEastAsia"/>
                <w:kern w:val="2"/>
                <w:sz w:val="21"/>
                <w:szCs w:val="21"/>
              </w:rPr>
              <w:t>15分</w:t>
            </w:r>
          </w:p>
        </w:tc>
        <w:tc>
          <w:tcPr>
            <w:tcW w:w="4725" w:type="dxa"/>
            <w:tcBorders>
              <w:top w:val="single" w:color="auto" w:sz="4" w:space="0"/>
              <w:left w:val="single" w:color="auto" w:sz="4" w:space="0"/>
              <w:bottom w:val="single" w:color="auto" w:sz="4" w:space="0"/>
            </w:tcBorders>
            <w:vAlign w:val="center"/>
          </w:tcPr>
          <w:p>
            <w:pPr>
              <w:snapToGrid w:val="0"/>
              <w:spacing w:line="360" w:lineRule="exact"/>
              <w:jc w:val="left"/>
              <w:rPr>
                <w:b/>
                <w:szCs w:val="21"/>
              </w:rPr>
            </w:pPr>
            <w:r>
              <w:rPr>
                <w:rStyle w:val="20"/>
                <w:rFonts w:hint="eastAsia"/>
              </w:rPr>
              <w:t>2019年1月1日以来，承担过1个合同金额1000万元以上的高速公路机电工程施工项目的项目总工业绩加15分，最高加15分。（注：加分的个人业绩证明材料应满足招标文件投标人须知3.5.5款的相关要求；如提供的证明材料不能体现其为高速公路机电工程施工金额在1000万元以上的业绩，将不予计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736" w:hRule="atLeast"/>
        </w:trPr>
        <w:tc>
          <w:tcPr>
            <w:tcW w:w="1050" w:type="dxa"/>
            <w:vMerge w:val="restart"/>
            <w:tcBorders>
              <w:top w:val="single" w:color="auto" w:sz="4" w:space="0"/>
            </w:tcBorders>
            <w:vAlign w:val="center"/>
          </w:tcPr>
          <w:p>
            <w:pPr>
              <w:spacing w:line="360" w:lineRule="exact"/>
              <w:rPr>
                <w:rFonts w:cs="Arial" w:asciiTheme="minorEastAsia" w:hAnsiTheme="minorEastAsia" w:eastAsiaTheme="minorEastAsia"/>
                <w:szCs w:val="21"/>
              </w:rPr>
            </w:pPr>
            <w:r>
              <w:rPr>
                <w:rFonts w:cs="Arial" w:asciiTheme="minorEastAsia" w:hAnsiTheme="minorEastAsia" w:eastAsiaTheme="minorEastAsia"/>
                <w:szCs w:val="21"/>
              </w:rPr>
              <w:t>2.2.</w:t>
            </w:r>
            <w:r>
              <w:rPr>
                <w:rFonts w:hint="eastAsia" w:cs="Arial" w:asciiTheme="minorEastAsia" w:hAnsiTheme="minorEastAsia" w:eastAsiaTheme="minorEastAsia"/>
                <w:szCs w:val="21"/>
              </w:rPr>
              <w:t>2（3）</w:t>
            </w:r>
          </w:p>
        </w:tc>
        <w:tc>
          <w:tcPr>
            <w:tcW w:w="525" w:type="dxa"/>
            <w:vMerge w:val="restart"/>
            <w:tcBorders>
              <w:top w:val="single" w:color="auto" w:sz="4" w:space="0"/>
              <w:right w:val="single" w:color="auto" w:sz="4" w:space="0"/>
            </w:tcBorders>
            <w:vAlign w:val="center"/>
          </w:tcPr>
          <w:p>
            <w:pPr>
              <w:snapToGrid w:val="0"/>
              <w:spacing w:line="360" w:lineRule="exact"/>
              <w:ind w:left="113" w:right="113"/>
              <w:jc w:val="center"/>
              <w:rPr>
                <w:rFonts w:cs="宋体" w:asciiTheme="minorEastAsia" w:hAnsiTheme="minorEastAsia" w:eastAsiaTheme="minorEastAsia"/>
                <w:w w:val="105"/>
                <w:szCs w:val="21"/>
              </w:rPr>
            </w:pPr>
            <w:r>
              <w:rPr>
                <w:rFonts w:hint="eastAsia" w:cs="宋体" w:asciiTheme="minorEastAsia" w:hAnsiTheme="minorEastAsia" w:eastAsiaTheme="minorEastAsia"/>
                <w:w w:val="105"/>
                <w:szCs w:val="21"/>
              </w:rPr>
              <w:t>其他因素</w:t>
            </w:r>
          </w:p>
        </w:tc>
        <w:tc>
          <w:tcPr>
            <w:tcW w:w="1170" w:type="dxa"/>
            <w:tcBorders>
              <w:top w:val="single" w:color="auto" w:sz="4" w:space="0"/>
              <w:left w:val="single" w:color="auto" w:sz="4" w:space="0"/>
            </w:tcBorders>
            <w:vAlign w:val="center"/>
          </w:tcPr>
          <w:p>
            <w:pPr>
              <w:snapToGrid w:val="0"/>
              <w:spacing w:line="360" w:lineRule="exact"/>
              <w:ind w:left="113" w:right="113"/>
              <w:jc w:val="center"/>
              <w:rPr>
                <w:rFonts w:cs="宋体" w:asciiTheme="minorEastAsia" w:hAnsiTheme="minorEastAsia" w:eastAsiaTheme="minorEastAsia"/>
                <w:w w:val="105"/>
                <w:szCs w:val="21"/>
              </w:rPr>
            </w:pPr>
            <w:r>
              <w:rPr>
                <w:rFonts w:hint="eastAsia" w:cs="宋体" w:asciiTheme="minorEastAsia" w:hAnsiTheme="minorEastAsia" w:eastAsiaTheme="minorEastAsia"/>
                <w:w w:val="105"/>
                <w:szCs w:val="21"/>
              </w:rPr>
              <w:t>技术能力</w:t>
            </w:r>
          </w:p>
        </w:tc>
        <w:tc>
          <w:tcPr>
            <w:tcW w:w="663" w:type="dxa"/>
            <w:tcBorders>
              <w:left w:val="single" w:color="auto" w:sz="4" w:space="0"/>
              <w:bottom w:val="single" w:color="auto" w:sz="4" w:space="0"/>
            </w:tcBorders>
            <w:vAlign w:val="center"/>
          </w:tcPr>
          <w:p>
            <w:pPr>
              <w:snapToGrid w:val="0"/>
              <w:spacing w:line="360" w:lineRule="exact"/>
              <w:ind w:left="113" w:right="113"/>
              <w:jc w:val="center"/>
              <w:rPr>
                <w:rFonts w:cs="Arial" w:asciiTheme="minorEastAsia" w:hAnsiTheme="minorEastAsia" w:eastAsiaTheme="minorEastAsia"/>
                <w:szCs w:val="21"/>
                <w:u w:val="single"/>
              </w:rPr>
            </w:pPr>
            <w:r>
              <w:rPr>
                <w:rFonts w:hint="eastAsia" w:cs="Arial" w:asciiTheme="minorEastAsia" w:hAnsiTheme="minorEastAsia" w:eastAsiaTheme="minorEastAsia"/>
                <w:szCs w:val="21"/>
                <w:u w:val="single"/>
              </w:rPr>
              <w:t>15分</w:t>
            </w:r>
          </w:p>
        </w:tc>
        <w:tc>
          <w:tcPr>
            <w:tcW w:w="867" w:type="dxa"/>
            <w:tcBorders>
              <w:right w:val="single" w:color="auto" w:sz="4" w:space="0"/>
            </w:tcBorders>
            <w:vAlign w:val="center"/>
          </w:tcPr>
          <w:p>
            <w:pPr>
              <w:snapToGrid w:val="0"/>
              <w:spacing w:line="360" w:lineRule="exact"/>
              <w:jc w:val="center"/>
              <w:rPr>
                <w:rFonts w:ascii="宋体" w:hAnsi="宋体" w:cs="宋体"/>
                <w:b/>
              </w:rPr>
            </w:pPr>
            <w:r>
              <w:rPr>
                <w:rFonts w:hint="eastAsia" w:cs="宋体" w:asciiTheme="minorEastAsia" w:hAnsiTheme="minorEastAsia" w:eastAsiaTheme="minorEastAsia"/>
                <w:w w:val="105"/>
                <w:szCs w:val="21"/>
              </w:rPr>
              <w:t>技术能力</w:t>
            </w:r>
          </w:p>
        </w:tc>
        <w:tc>
          <w:tcPr>
            <w:tcW w:w="615" w:type="dxa"/>
            <w:gridSpan w:val="2"/>
            <w:tcBorders>
              <w:left w:val="single" w:color="auto" w:sz="4" w:space="0"/>
              <w:right w:val="single" w:color="auto" w:sz="4" w:space="0"/>
            </w:tcBorders>
            <w:vAlign w:val="center"/>
          </w:tcPr>
          <w:p>
            <w:pPr>
              <w:snapToGrid w:val="0"/>
              <w:spacing w:line="360" w:lineRule="exact"/>
              <w:ind w:right="113"/>
              <w:rPr>
                <w:rFonts w:cs="Arial" w:asciiTheme="minorEastAsia" w:hAnsiTheme="minorEastAsia" w:eastAsiaTheme="minorEastAsia"/>
                <w:szCs w:val="21"/>
                <w:u w:val="single"/>
              </w:rPr>
            </w:pPr>
            <w:r>
              <w:rPr>
                <w:rFonts w:hint="eastAsia" w:cs="Arial" w:asciiTheme="minorEastAsia" w:hAnsiTheme="minorEastAsia" w:eastAsiaTheme="minorEastAsia"/>
                <w:szCs w:val="21"/>
              </w:rPr>
              <w:t>15分</w:t>
            </w:r>
          </w:p>
        </w:tc>
        <w:tc>
          <w:tcPr>
            <w:tcW w:w="4725" w:type="dxa"/>
            <w:tcBorders>
              <w:left w:val="single" w:color="auto" w:sz="4" w:space="0"/>
            </w:tcBorders>
            <w:vAlign w:val="center"/>
          </w:tcPr>
          <w:p>
            <w:pPr>
              <w:snapToGrid w:val="0"/>
              <w:spacing w:line="360" w:lineRule="exact"/>
              <w:jc w:val="left"/>
              <w:rPr>
                <w:rFonts w:ascii="宋体" w:hAnsi="宋体" w:cs="宋体"/>
                <w:b/>
              </w:rPr>
            </w:pPr>
            <w:r>
              <w:rPr>
                <w:rFonts w:hint="eastAsia" w:ascii="宋体" w:hAnsi="宋体" w:cs="宋体"/>
                <w:b/>
              </w:rPr>
              <w:t>2015年1月1日以来,获得过与公路机电硬件系统有关的专利（发明专利或实用新型专利），每有一项加3分，最多加15分，同一个项目多次获表彰的仅计分一次。</w:t>
            </w:r>
            <w:r>
              <w:rPr>
                <w:rFonts w:hint="eastAsia" w:cs="Arial" w:asciiTheme="minorEastAsia" w:hAnsiTheme="minorEastAsia" w:eastAsiaTheme="minorEastAsia"/>
                <w:szCs w:val="21"/>
              </w:rPr>
              <w:t>（注：投标人应按第九章规定在投标文件中附相关证明资料的复印件并加盖投标人单位章；</w:t>
            </w:r>
            <w:r>
              <w:rPr>
                <w:szCs w:val="21"/>
              </w:rPr>
              <w:t>如投标人未按此要求提供资料或者提供的资料无法证实投标人满足</w:t>
            </w:r>
            <w:r>
              <w:rPr>
                <w:rFonts w:hint="eastAsia"/>
                <w:szCs w:val="21"/>
              </w:rPr>
              <w:t>以上给分要求的</w:t>
            </w:r>
            <w:r>
              <w:rPr>
                <w:szCs w:val="21"/>
              </w:rPr>
              <w:t>，不予</w:t>
            </w:r>
            <w:r>
              <w:rPr>
                <w:rFonts w:hint="eastAsia"/>
                <w:szCs w:val="21"/>
              </w:rPr>
              <w:t>计分</w:t>
            </w:r>
            <w:r>
              <w:rPr>
                <w:rFonts w:hint="eastAsia" w:cs="Arial" w:asciiTheme="minorEastAsia" w:hAnsiTheme="minorEastAsia" w:eastAsiaTheme="minorEastAsia"/>
                <w:szCs w:val="21"/>
              </w:rPr>
              <w:t>。如投标人被推荐为中标候选人，该证明资料原件将在中标候选人公示结束之日起5日内提交给招标人核查）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736" w:hRule="atLeast"/>
        </w:trPr>
        <w:tc>
          <w:tcPr>
            <w:tcW w:w="1050" w:type="dxa"/>
            <w:vMerge w:val="continue"/>
            <w:vAlign w:val="center"/>
          </w:tcPr>
          <w:p>
            <w:pPr>
              <w:spacing w:line="360" w:lineRule="exact"/>
              <w:rPr>
                <w:rFonts w:cs="Arial" w:asciiTheme="minorEastAsia" w:hAnsiTheme="minorEastAsia" w:eastAsiaTheme="minorEastAsia"/>
                <w:szCs w:val="21"/>
              </w:rPr>
            </w:pPr>
          </w:p>
        </w:tc>
        <w:tc>
          <w:tcPr>
            <w:tcW w:w="525" w:type="dxa"/>
            <w:vMerge w:val="continue"/>
            <w:tcBorders>
              <w:right w:val="single" w:color="auto" w:sz="4" w:space="0"/>
            </w:tcBorders>
            <w:vAlign w:val="center"/>
          </w:tcPr>
          <w:p>
            <w:pPr>
              <w:snapToGrid w:val="0"/>
              <w:spacing w:line="360" w:lineRule="exact"/>
              <w:ind w:left="113" w:right="113"/>
              <w:jc w:val="center"/>
              <w:rPr>
                <w:rFonts w:cs="宋体" w:asciiTheme="minorEastAsia" w:hAnsiTheme="minorEastAsia" w:eastAsiaTheme="minorEastAsia"/>
                <w:w w:val="105"/>
                <w:szCs w:val="21"/>
              </w:rPr>
            </w:pPr>
          </w:p>
        </w:tc>
        <w:tc>
          <w:tcPr>
            <w:tcW w:w="1170" w:type="dxa"/>
            <w:vMerge w:val="restart"/>
            <w:tcBorders>
              <w:top w:val="single" w:color="auto" w:sz="4" w:space="0"/>
              <w:left w:val="single" w:color="auto" w:sz="4" w:space="0"/>
            </w:tcBorders>
            <w:vAlign w:val="center"/>
          </w:tcPr>
          <w:p>
            <w:pPr>
              <w:snapToGrid w:val="0"/>
              <w:spacing w:line="360" w:lineRule="exact"/>
              <w:ind w:left="113" w:right="113"/>
              <w:jc w:val="center"/>
              <w:rPr>
                <w:rFonts w:cs="宋体" w:asciiTheme="minorEastAsia" w:hAnsiTheme="minorEastAsia" w:eastAsiaTheme="minorEastAsia"/>
                <w:w w:val="105"/>
                <w:szCs w:val="21"/>
              </w:rPr>
            </w:pPr>
            <w:r>
              <w:rPr>
                <w:rFonts w:hint="eastAsia" w:cs="宋体" w:asciiTheme="minorEastAsia" w:hAnsiTheme="minorEastAsia" w:eastAsiaTheme="minorEastAsia"/>
                <w:w w:val="105"/>
                <w:szCs w:val="21"/>
              </w:rPr>
              <w:t>履约信誉</w:t>
            </w:r>
          </w:p>
          <w:p>
            <w:pPr>
              <w:snapToGrid w:val="0"/>
              <w:spacing w:line="360" w:lineRule="exact"/>
              <w:ind w:left="113" w:right="113"/>
              <w:jc w:val="center"/>
              <w:rPr>
                <w:rFonts w:cs="宋体" w:asciiTheme="minorEastAsia" w:hAnsiTheme="minorEastAsia" w:eastAsiaTheme="minorEastAsia"/>
                <w:w w:val="105"/>
                <w:szCs w:val="21"/>
              </w:rPr>
            </w:pPr>
          </w:p>
        </w:tc>
        <w:tc>
          <w:tcPr>
            <w:tcW w:w="663" w:type="dxa"/>
            <w:vMerge w:val="restart"/>
            <w:tcBorders>
              <w:left w:val="single" w:color="auto" w:sz="4" w:space="0"/>
            </w:tcBorders>
            <w:vAlign w:val="center"/>
          </w:tcPr>
          <w:p>
            <w:pPr>
              <w:snapToGrid w:val="0"/>
              <w:spacing w:line="360" w:lineRule="exact"/>
              <w:ind w:right="113"/>
              <w:rPr>
                <w:rFonts w:cs="Arial" w:asciiTheme="minorEastAsia" w:hAnsiTheme="minorEastAsia" w:eastAsiaTheme="minorEastAsia"/>
                <w:szCs w:val="21"/>
                <w:u w:val="single"/>
              </w:rPr>
            </w:pPr>
            <w:r>
              <w:rPr>
                <w:rFonts w:hint="eastAsia" w:cs="Arial" w:asciiTheme="minorEastAsia" w:hAnsiTheme="minorEastAsia" w:eastAsiaTheme="minorEastAsia"/>
                <w:szCs w:val="21"/>
              </w:rPr>
              <w:t>18分</w:t>
            </w:r>
          </w:p>
        </w:tc>
        <w:tc>
          <w:tcPr>
            <w:tcW w:w="867" w:type="dxa"/>
            <w:tcBorders>
              <w:right w:val="single" w:color="auto" w:sz="4" w:space="0"/>
            </w:tcBorders>
            <w:vAlign w:val="center"/>
          </w:tcPr>
          <w:p>
            <w:pPr>
              <w:snapToGrid w:val="0"/>
              <w:spacing w:line="360" w:lineRule="exact"/>
              <w:jc w:val="left"/>
              <w:rPr>
                <w:rFonts w:ascii="宋体" w:hAnsi="宋体" w:cs="宋体"/>
                <w:b/>
              </w:rPr>
            </w:pPr>
            <w:r>
              <w:rPr>
                <w:rFonts w:hint="eastAsia" w:cs="Arial" w:asciiTheme="minorEastAsia" w:hAnsiTheme="minorEastAsia" w:eastAsiaTheme="minorEastAsia"/>
                <w:szCs w:val="21"/>
              </w:rPr>
              <w:t>企业业绩</w:t>
            </w:r>
          </w:p>
        </w:tc>
        <w:tc>
          <w:tcPr>
            <w:tcW w:w="615" w:type="dxa"/>
            <w:gridSpan w:val="2"/>
            <w:tcBorders>
              <w:left w:val="single" w:color="auto" w:sz="4" w:space="0"/>
              <w:right w:val="single" w:color="auto" w:sz="4" w:space="0"/>
            </w:tcBorders>
            <w:vAlign w:val="center"/>
          </w:tcPr>
          <w:p>
            <w:pPr>
              <w:snapToGrid w:val="0"/>
              <w:spacing w:line="360" w:lineRule="exact"/>
              <w:jc w:val="left"/>
              <w:rPr>
                <w:rFonts w:ascii="宋体" w:hAnsi="宋体" w:cs="宋体"/>
                <w:b/>
              </w:rPr>
            </w:pPr>
            <w:r>
              <w:rPr>
                <w:rFonts w:hint="eastAsia" w:cs="Arial" w:asciiTheme="minorEastAsia" w:hAnsiTheme="minorEastAsia" w:eastAsiaTheme="minorEastAsia"/>
                <w:szCs w:val="21"/>
              </w:rPr>
              <w:t>15分</w:t>
            </w:r>
          </w:p>
        </w:tc>
        <w:tc>
          <w:tcPr>
            <w:tcW w:w="4725" w:type="dxa"/>
            <w:tcBorders>
              <w:left w:val="single" w:color="auto" w:sz="4" w:space="0"/>
            </w:tcBorders>
            <w:vAlign w:val="center"/>
          </w:tcPr>
          <w:p>
            <w:pPr>
              <w:snapToGrid w:val="0"/>
              <w:spacing w:line="360" w:lineRule="exact"/>
              <w:jc w:val="left"/>
              <w:rPr>
                <w:rFonts w:ascii="宋体" w:hAnsi="宋体" w:cs="宋体"/>
                <w:b/>
              </w:rPr>
            </w:pPr>
            <w:r>
              <w:rPr>
                <w:szCs w:val="21"/>
              </w:rPr>
              <w:t>近</w:t>
            </w:r>
            <w:r>
              <w:rPr>
                <w:rFonts w:hint="eastAsia"/>
                <w:szCs w:val="21"/>
              </w:rPr>
              <w:t>3</w:t>
            </w:r>
            <w:r>
              <w:rPr>
                <w:szCs w:val="21"/>
              </w:rPr>
              <w:t>年（</w:t>
            </w:r>
            <w:r>
              <w:rPr>
                <w:szCs w:val="21"/>
                <w:u w:val="single"/>
              </w:rPr>
              <w:t>交（竣）工时间</w:t>
            </w:r>
            <w:r>
              <w:rPr>
                <w:rFonts w:hint="eastAsia"/>
                <w:szCs w:val="21"/>
                <w:u w:val="single"/>
              </w:rPr>
              <w:t>（</w:t>
            </w:r>
            <w:r>
              <w:rPr>
                <w:u w:val="single"/>
              </w:rPr>
              <w:t>20</w:t>
            </w:r>
            <w:r>
              <w:rPr>
                <w:rFonts w:hint="eastAsia"/>
                <w:u w:val="single"/>
              </w:rPr>
              <w:t>19</w:t>
            </w:r>
            <w:r>
              <w:t>年</w:t>
            </w:r>
            <w:r>
              <w:rPr>
                <w:rFonts w:hint="eastAsia"/>
                <w:u w:val="single"/>
              </w:rPr>
              <w:t>1</w:t>
            </w:r>
            <w:r>
              <w:t>月</w:t>
            </w:r>
            <w:r>
              <w:rPr>
                <w:u w:val="single"/>
              </w:rPr>
              <w:t>1</w:t>
            </w:r>
            <w:r>
              <w:t>日至</w:t>
            </w:r>
            <w:r>
              <w:rPr>
                <w:u w:val="single"/>
              </w:rPr>
              <w:t>202</w:t>
            </w:r>
            <w:r>
              <w:rPr>
                <w:rFonts w:hint="eastAsia"/>
                <w:u w:val="single"/>
              </w:rPr>
              <w:t>1</w:t>
            </w:r>
            <w:r>
              <w:rPr>
                <w:u w:val="single"/>
              </w:rPr>
              <w:t>年</w:t>
            </w:r>
            <w:r>
              <w:rPr>
                <w:rFonts w:hint="eastAsia"/>
                <w:u w:val="single"/>
              </w:rPr>
              <w:t>10</w:t>
            </w:r>
            <w:r>
              <w:rPr>
                <w:u w:val="single"/>
              </w:rPr>
              <w:t>月30日</w:t>
            </w:r>
            <w:r>
              <w:rPr>
                <w:rFonts w:hint="eastAsia"/>
                <w:szCs w:val="21"/>
                <w:u w:val="single"/>
              </w:rPr>
              <w:t>）</w:t>
            </w:r>
            <w:r>
              <w:rPr>
                <w:rFonts w:hint="eastAsia" w:ascii="宋体" w:hAnsi="宋体" w:cs="宋体"/>
                <w:b/>
              </w:rPr>
              <w:t>每完成过1个合同金额1000万元以上高速公路项目机电工程施工业绩加7.5分，本项最多加15分。</w:t>
            </w:r>
            <w:r>
              <w:rPr>
                <w:b/>
                <w:bCs/>
                <w:szCs w:val="21"/>
              </w:rPr>
              <w:t>（注：加分的单位业绩应满足招标文件投标人须知3.5.3款的相关要求；如提供的证明材料不能体现其为高速公路</w:t>
            </w:r>
            <w:r>
              <w:rPr>
                <w:rFonts w:hint="eastAsia"/>
                <w:b/>
                <w:bCs/>
                <w:szCs w:val="21"/>
              </w:rPr>
              <w:t>机电工程施工</w:t>
            </w:r>
            <w:r>
              <w:rPr>
                <w:b/>
                <w:bCs/>
                <w:szCs w:val="21"/>
              </w:rPr>
              <w:t>金额在</w:t>
            </w:r>
            <w:r>
              <w:rPr>
                <w:rFonts w:hint="eastAsia"/>
                <w:b/>
                <w:bCs/>
                <w:szCs w:val="21"/>
              </w:rPr>
              <w:t>10</w:t>
            </w:r>
            <w:r>
              <w:rPr>
                <w:b/>
                <w:bCs/>
                <w:szCs w:val="21"/>
              </w:rPr>
              <w:t>00万元以上的业绩，将不予计分）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736" w:hRule="atLeast"/>
        </w:trPr>
        <w:tc>
          <w:tcPr>
            <w:tcW w:w="1050" w:type="dxa"/>
            <w:vMerge w:val="continue"/>
            <w:vAlign w:val="center"/>
          </w:tcPr>
          <w:p>
            <w:pPr>
              <w:spacing w:line="360" w:lineRule="exact"/>
              <w:rPr>
                <w:rFonts w:cs="Arial" w:asciiTheme="minorEastAsia" w:hAnsiTheme="minorEastAsia" w:eastAsiaTheme="minorEastAsia"/>
                <w:szCs w:val="21"/>
              </w:rPr>
            </w:pPr>
          </w:p>
        </w:tc>
        <w:tc>
          <w:tcPr>
            <w:tcW w:w="525" w:type="dxa"/>
            <w:vMerge w:val="continue"/>
            <w:tcBorders>
              <w:right w:val="single" w:color="auto" w:sz="4" w:space="0"/>
            </w:tcBorders>
            <w:vAlign w:val="center"/>
          </w:tcPr>
          <w:p>
            <w:pPr>
              <w:snapToGrid w:val="0"/>
              <w:spacing w:line="360" w:lineRule="exact"/>
              <w:ind w:left="113" w:right="113"/>
              <w:jc w:val="center"/>
              <w:rPr>
                <w:rFonts w:cs="宋体" w:asciiTheme="minorEastAsia" w:hAnsiTheme="minorEastAsia" w:eastAsiaTheme="minorEastAsia"/>
                <w:w w:val="105"/>
                <w:szCs w:val="21"/>
              </w:rPr>
            </w:pPr>
          </w:p>
        </w:tc>
        <w:tc>
          <w:tcPr>
            <w:tcW w:w="1170" w:type="dxa"/>
            <w:vMerge w:val="continue"/>
            <w:tcBorders>
              <w:left w:val="single" w:color="auto" w:sz="4" w:space="0"/>
            </w:tcBorders>
            <w:vAlign w:val="center"/>
          </w:tcPr>
          <w:p>
            <w:pPr>
              <w:snapToGrid w:val="0"/>
              <w:spacing w:line="360" w:lineRule="exact"/>
              <w:ind w:left="113" w:right="113"/>
              <w:jc w:val="center"/>
              <w:rPr>
                <w:rFonts w:cs="宋体" w:asciiTheme="minorEastAsia" w:hAnsiTheme="minorEastAsia" w:eastAsiaTheme="minorEastAsia"/>
                <w:w w:val="105"/>
                <w:szCs w:val="21"/>
              </w:rPr>
            </w:pPr>
          </w:p>
        </w:tc>
        <w:tc>
          <w:tcPr>
            <w:tcW w:w="663" w:type="dxa"/>
            <w:vMerge w:val="continue"/>
            <w:tcBorders>
              <w:left w:val="single" w:color="auto" w:sz="4" w:space="0"/>
              <w:bottom w:val="single" w:color="auto" w:sz="4" w:space="0"/>
            </w:tcBorders>
            <w:vAlign w:val="center"/>
          </w:tcPr>
          <w:p>
            <w:pPr>
              <w:snapToGrid w:val="0"/>
              <w:spacing w:line="360" w:lineRule="exact"/>
              <w:ind w:right="113"/>
              <w:rPr>
                <w:rFonts w:cs="Arial" w:asciiTheme="minorEastAsia" w:hAnsiTheme="minorEastAsia" w:eastAsiaTheme="minorEastAsia"/>
                <w:szCs w:val="21"/>
                <w:u w:val="single"/>
              </w:rPr>
            </w:pPr>
          </w:p>
        </w:tc>
        <w:tc>
          <w:tcPr>
            <w:tcW w:w="867" w:type="dxa"/>
            <w:tcBorders>
              <w:right w:val="single" w:color="auto" w:sz="4" w:space="0"/>
            </w:tcBorders>
            <w:vAlign w:val="center"/>
          </w:tcPr>
          <w:p>
            <w:pPr>
              <w:snapToGrid w:val="0"/>
              <w:spacing w:line="360" w:lineRule="exact"/>
              <w:jc w:val="left"/>
              <w:rPr>
                <w:rStyle w:val="20"/>
              </w:rPr>
            </w:pPr>
            <w:r>
              <w:rPr>
                <w:rFonts w:hint="eastAsia" w:cs="宋体" w:asciiTheme="minorEastAsia" w:hAnsiTheme="minorEastAsia" w:eastAsiaTheme="minorEastAsia"/>
                <w:w w:val="105"/>
                <w:szCs w:val="21"/>
              </w:rPr>
              <w:t>信用得分</w:t>
            </w:r>
          </w:p>
        </w:tc>
        <w:tc>
          <w:tcPr>
            <w:tcW w:w="615" w:type="dxa"/>
            <w:gridSpan w:val="2"/>
            <w:tcBorders>
              <w:left w:val="single" w:color="auto" w:sz="4" w:space="0"/>
              <w:right w:val="single" w:color="auto" w:sz="4" w:space="0"/>
            </w:tcBorders>
            <w:vAlign w:val="center"/>
          </w:tcPr>
          <w:p>
            <w:pPr>
              <w:snapToGrid w:val="0"/>
              <w:spacing w:line="360" w:lineRule="exact"/>
              <w:jc w:val="left"/>
              <w:rPr>
                <w:rStyle w:val="20"/>
              </w:rPr>
            </w:pPr>
            <w:r>
              <w:rPr>
                <w:rFonts w:hint="eastAsia" w:cs="Arial" w:asciiTheme="minorEastAsia" w:hAnsiTheme="minorEastAsia" w:eastAsiaTheme="minorEastAsia"/>
                <w:szCs w:val="21"/>
              </w:rPr>
              <w:t>3分</w:t>
            </w:r>
          </w:p>
        </w:tc>
        <w:tc>
          <w:tcPr>
            <w:tcW w:w="4725" w:type="dxa"/>
            <w:tcBorders>
              <w:left w:val="single" w:color="auto" w:sz="4" w:space="0"/>
            </w:tcBorders>
            <w:vAlign w:val="center"/>
          </w:tcPr>
          <w:p>
            <w:pPr>
              <w:snapToGrid w:val="0"/>
              <w:spacing w:line="280" w:lineRule="exact"/>
              <w:rPr>
                <w:rFonts w:ascii="宋体" w:hAnsi="宋体"/>
                <w:szCs w:val="21"/>
              </w:rPr>
            </w:pPr>
            <w:r>
              <w:rPr>
                <w:rFonts w:hint="eastAsia" w:ascii="宋体" w:hAnsi="宋体"/>
                <w:szCs w:val="21"/>
              </w:rPr>
              <w:t>（1）对投标人的信用等级的认定详见本项目招标公告。</w:t>
            </w:r>
          </w:p>
          <w:p>
            <w:pPr>
              <w:snapToGrid w:val="0"/>
              <w:spacing w:line="300" w:lineRule="auto"/>
              <w:rPr>
                <w:rFonts w:ascii="宋体" w:hAnsi="宋体" w:cs="Arial"/>
                <w:szCs w:val="21"/>
              </w:rPr>
            </w:pPr>
            <w:r>
              <w:rPr>
                <w:rFonts w:hint="eastAsia" w:ascii="宋体" w:hAnsi="宋体"/>
                <w:szCs w:val="21"/>
              </w:rPr>
              <w:t>（2）评标加分或减分标准：</w:t>
            </w:r>
          </w:p>
          <w:tbl>
            <w:tblPr>
              <w:tblStyle w:val="10"/>
              <w:tblW w:w="4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651"/>
              <w:gridCol w:w="585"/>
              <w:gridCol w:w="583"/>
              <w:gridCol w:w="593"/>
              <w:gridCol w:w="588"/>
              <w:gridCol w:w="588"/>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blHeader/>
                <w:jc w:val="center"/>
              </w:trPr>
              <w:tc>
                <w:tcPr>
                  <w:tcW w:w="416" w:type="dxa"/>
                  <w:vMerge w:val="restart"/>
                  <w:vAlign w:val="center"/>
                </w:tcPr>
                <w:p>
                  <w:pPr>
                    <w:spacing w:before="100" w:beforeAutospacing="1" w:after="100" w:afterAutospacing="1"/>
                    <w:jc w:val="center"/>
                    <w:rPr>
                      <w:rFonts w:ascii="宋体" w:hAnsi="宋体" w:cs="Arial"/>
                      <w:sz w:val="18"/>
                      <w:szCs w:val="18"/>
                    </w:rPr>
                  </w:pPr>
                  <w:r>
                    <w:rPr>
                      <w:rFonts w:ascii="宋体" w:hAnsi="宋体" w:cs="Arial"/>
                      <w:sz w:val="18"/>
                      <w:szCs w:val="18"/>
                    </w:rPr>
                    <w:t>最新信用等级</w:t>
                  </w:r>
                </w:p>
              </w:tc>
              <w:tc>
                <w:tcPr>
                  <w:tcW w:w="1236" w:type="dxa"/>
                  <w:gridSpan w:val="2"/>
                  <w:vAlign w:val="center"/>
                </w:tcPr>
                <w:p>
                  <w:pPr>
                    <w:spacing w:before="100" w:beforeAutospacing="1" w:after="100" w:afterAutospacing="1"/>
                    <w:jc w:val="center"/>
                    <w:rPr>
                      <w:rFonts w:ascii="宋体" w:hAnsi="宋体" w:cs="Arial"/>
                      <w:sz w:val="18"/>
                      <w:szCs w:val="18"/>
                    </w:rPr>
                  </w:pPr>
                  <w:r>
                    <w:rPr>
                      <w:rFonts w:ascii="宋体" w:hAnsi="宋体" w:cs="Arial"/>
                      <w:sz w:val="18"/>
                      <w:szCs w:val="18"/>
                    </w:rPr>
                    <w:t>AA</w:t>
                  </w:r>
                </w:p>
              </w:tc>
              <w:tc>
                <w:tcPr>
                  <w:tcW w:w="1176" w:type="dxa"/>
                  <w:gridSpan w:val="2"/>
                  <w:vAlign w:val="center"/>
                </w:tcPr>
                <w:p>
                  <w:pPr>
                    <w:spacing w:before="100" w:beforeAutospacing="1" w:after="100" w:afterAutospacing="1"/>
                    <w:jc w:val="center"/>
                    <w:rPr>
                      <w:rFonts w:ascii="宋体" w:hAnsi="宋体" w:cs="Arial"/>
                      <w:sz w:val="18"/>
                      <w:szCs w:val="18"/>
                    </w:rPr>
                  </w:pPr>
                  <w:r>
                    <w:rPr>
                      <w:rFonts w:ascii="宋体" w:hAnsi="宋体" w:cs="Arial"/>
                      <w:sz w:val="18"/>
                      <w:szCs w:val="18"/>
                    </w:rPr>
                    <w:t>A</w:t>
                  </w:r>
                </w:p>
              </w:tc>
              <w:tc>
                <w:tcPr>
                  <w:tcW w:w="588" w:type="dxa"/>
                  <w:vAlign w:val="center"/>
                </w:tcPr>
                <w:p>
                  <w:pPr>
                    <w:spacing w:before="100" w:beforeAutospacing="1" w:after="100" w:afterAutospacing="1"/>
                    <w:jc w:val="center"/>
                    <w:rPr>
                      <w:rFonts w:ascii="宋体" w:hAnsi="宋体" w:cs="Arial"/>
                      <w:sz w:val="18"/>
                      <w:szCs w:val="18"/>
                    </w:rPr>
                  </w:pPr>
                  <w:r>
                    <w:rPr>
                      <w:rFonts w:ascii="宋体" w:hAnsi="宋体" w:cs="Arial"/>
                      <w:sz w:val="18"/>
                      <w:szCs w:val="18"/>
                    </w:rPr>
                    <w:t>B</w:t>
                  </w:r>
                </w:p>
              </w:tc>
              <w:tc>
                <w:tcPr>
                  <w:tcW w:w="1183" w:type="dxa"/>
                  <w:gridSpan w:val="2"/>
                  <w:vAlign w:val="center"/>
                </w:tcPr>
                <w:p>
                  <w:pPr>
                    <w:spacing w:before="100" w:beforeAutospacing="1" w:after="100" w:afterAutospacing="1"/>
                    <w:jc w:val="center"/>
                    <w:rPr>
                      <w:rFonts w:ascii="宋体" w:hAnsi="宋体" w:cs="Arial"/>
                      <w:sz w:val="18"/>
                      <w:szCs w:val="18"/>
                    </w:rPr>
                  </w:pPr>
                  <w:r>
                    <w:rPr>
                      <w:rFonts w:ascii="宋体" w:hAnsi="宋体" w:cs="Arial"/>
                      <w:sz w:val="18"/>
                      <w:szCs w:val="1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blHeader/>
                <w:jc w:val="center"/>
              </w:trPr>
              <w:tc>
                <w:tcPr>
                  <w:tcW w:w="416" w:type="dxa"/>
                  <w:vMerge w:val="continue"/>
                  <w:vAlign w:val="center"/>
                </w:tcPr>
                <w:p>
                  <w:pPr>
                    <w:spacing w:before="100" w:beforeAutospacing="1" w:after="100" w:afterAutospacing="1"/>
                    <w:jc w:val="center"/>
                    <w:rPr>
                      <w:rFonts w:ascii="宋体" w:hAnsi="宋体" w:cs="Arial"/>
                      <w:sz w:val="18"/>
                      <w:szCs w:val="18"/>
                    </w:rPr>
                  </w:pPr>
                </w:p>
              </w:tc>
              <w:tc>
                <w:tcPr>
                  <w:tcW w:w="651" w:type="dxa"/>
                  <w:vAlign w:val="center"/>
                </w:tcPr>
                <w:p>
                  <w:pPr>
                    <w:spacing w:before="100" w:beforeAutospacing="1" w:after="100" w:afterAutospacing="1"/>
                    <w:jc w:val="center"/>
                    <w:rPr>
                      <w:rFonts w:ascii="宋体" w:hAnsi="宋体" w:cs="Arial"/>
                      <w:sz w:val="18"/>
                      <w:szCs w:val="18"/>
                    </w:rPr>
                  </w:pPr>
                  <w:r>
                    <w:rPr>
                      <w:rFonts w:ascii="宋体" w:hAnsi="宋体" w:cs="Arial"/>
                      <w:sz w:val="18"/>
                      <w:szCs w:val="18"/>
                    </w:rPr>
                    <w:t>专业评价</w:t>
                  </w:r>
                </w:p>
              </w:tc>
              <w:tc>
                <w:tcPr>
                  <w:tcW w:w="585" w:type="dxa"/>
                  <w:vAlign w:val="center"/>
                </w:tcPr>
                <w:p>
                  <w:pPr>
                    <w:spacing w:before="100" w:beforeAutospacing="1" w:after="100" w:afterAutospacing="1"/>
                    <w:jc w:val="center"/>
                    <w:rPr>
                      <w:rFonts w:ascii="宋体" w:hAnsi="宋体" w:cs="Arial"/>
                      <w:sz w:val="18"/>
                      <w:szCs w:val="18"/>
                    </w:rPr>
                  </w:pPr>
                  <w:r>
                    <w:rPr>
                      <w:rFonts w:ascii="宋体" w:hAnsi="宋体" w:cs="Arial"/>
                      <w:sz w:val="18"/>
                      <w:szCs w:val="18"/>
                    </w:rPr>
                    <w:t>综合评价</w:t>
                  </w:r>
                </w:p>
              </w:tc>
              <w:tc>
                <w:tcPr>
                  <w:tcW w:w="583" w:type="dxa"/>
                  <w:vAlign w:val="center"/>
                </w:tcPr>
                <w:p>
                  <w:pPr>
                    <w:spacing w:before="100" w:beforeAutospacing="1" w:after="100" w:afterAutospacing="1"/>
                    <w:jc w:val="center"/>
                    <w:rPr>
                      <w:rFonts w:ascii="宋体" w:hAnsi="宋体" w:cs="Arial"/>
                      <w:sz w:val="18"/>
                      <w:szCs w:val="18"/>
                    </w:rPr>
                  </w:pPr>
                  <w:r>
                    <w:rPr>
                      <w:rFonts w:ascii="宋体" w:hAnsi="宋体" w:cs="Arial"/>
                      <w:sz w:val="18"/>
                      <w:szCs w:val="18"/>
                    </w:rPr>
                    <w:t>专业评价</w:t>
                  </w:r>
                </w:p>
              </w:tc>
              <w:tc>
                <w:tcPr>
                  <w:tcW w:w="593" w:type="dxa"/>
                  <w:vAlign w:val="center"/>
                </w:tcPr>
                <w:p>
                  <w:pPr>
                    <w:spacing w:before="100" w:beforeAutospacing="1" w:after="100" w:afterAutospacing="1"/>
                    <w:jc w:val="center"/>
                    <w:rPr>
                      <w:rFonts w:ascii="宋体" w:hAnsi="宋体" w:cs="Arial"/>
                      <w:sz w:val="18"/>
                      <w:szCs w:val="18"/>
                    </w:rPr>
                  </w:pPr>
                  <w:r>
                    <w:rPr>
                      <w:rFonts w:ascii="宋体" w:hAnsi="宋体" w:cs="Arial"/>
                      <w:sz w:val="18"/>
                      <w:szCs w:val="18"/>
                    </w:rPr>
                    <w:t>综合评价</w:t>
                  </w:r>
                </w:p>
              </w:tc>
              <w:tc>
                <w:tcPr>
                  <w:tcW w:w="588" w:type="dxa"/>
                  <w:vAlign w:val="center"/>
                </w:tcPr>
                <w:p>
                  <w:pPr>
                    <w:spacing w:before="100" w:beforeAutospacing="1" w:after="100" w:afterAutospacing="1"/>
                    <w:jc w:val="center"/>
                    <w:rPr>
                      <w:rFonts w:ascii="宋体" w:hAnsi="宋体" w:cs="Arial"/>
                      <w:sz w:val="18"/>
                      <w:szCs w:val="18"/>
                    </w:rPr>
                  </w:pPr>
                  <w:r>
                    <w:rPr>
                      <w:rFonts w:ascii="宋体" w:hAnsi="宋体" w:cs="Arial"/>
                      <w:sz w:val="18"/>
                      <w:szCs w:val="18"/>
                    </w:rPr>
                    <w:t>－</w:t>
                  </w:r>
                </w:p>
              </w:tc>
              <w:tc>
                <w:tcPr>
                  <w:tcW w:w="588" w:type="dxa"/>
                  <w:vAlign w:val="center"/>
                </w:tcPr>
                <w:p>
                  <w:pPr>
                    <w:spacing w:before="100" w:beforeAutospacing="1" w:after="100" w:afterAutospacing="1"/>
                    <w:jc w:val="center"/>
                    <w:rPr>
                      <w:rFonts w:ascii="宋体" w:hAnsi="宋体" w:cs="Arial"/>
                      <w:sz w:val="18"/>
                      <w:szCs w:val="18"/>
                    </w:rPr>
                  </w:pPr>
                  <w:r>
                    <w:rPr>
                      <w:rFonts w:ascii="宋体" w:hAnsi="宋体" w:cs="Arial"/>
                      <w:sz w:val="18"/>
                      <w:szCs w:val="18"/>
                    </w:rPr>
                    <w:t>专业评价</w:t>
                  </w:r>
                </w:p>
              </w:tc>
              <w:tc>
                <w:tcPr>
                  <w:tcW w:w="595" w:type="dxa"/>
                  <w:vAlign w:val="center"/>
                </w:tcPr>
                <w:p>
                  <w:pPr>
                    <w:spacing w:before="100" w:beforeAutospacing="1" w:after="100" w:afterAutospacing="1"/>
                    <w:jc w:val="center"/>
                    <w:rPr>
                      <w:rFonts w:ascii="宋体" w:hAnsi="宋体" w:cs="Arial"/>
                      <w:sz w:val="18"/>
                      <w:szCs w:val="18"/>
                    </w:rPr>
                  </w:pPr>
                  <w:r>
                    <w:rPr>
                      <w:rFonts w:ascii="宋体" w:hAnsi="宋体" w:cs="Arial"/>
                      <w:sz w:val="18"/>
                      <w:szCs w:val="18"/>
                    </w:rPr>
                    <w:t>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16" w:type="dxa"/>
                  <w:vAlign w:val="center"/>
                </w:tcPr>
                <w:p>
                  <w:pPr>
                    <w:spacing w:before="100" w:beforeAutospacing="1" w:after="100" w:afterAutospacing="1"/>
                    <w:jc w:val="center"/>
                    <w:rPr>
                      <w:rFonts w:ascii="宋体" w:hAnsi="宋体" w:cs="Arial"/>
                      <w:sz w:val="18"/>
                      <w:szCs w:val="18"/>
                    </w:rPr>
                  </w:pPr>
                  <w:r>
                    <w:rPr>
                      <w:rFonts w:ascii="宋体" w:hAnsi="宋体" w:cs="Arial"/>
                      <w:sz w:val="18"/>
                      <w:szCs w:val="18"/>
                    </w:rPr>
                    <w:t>取值</w:t>
                  </w:r>
                </w:p>
              </w:tc>
              <w:tc>
                <w:tcPr>
                  <w:tcW w:w="651" w:type="dxa"/>
                  <w:vAlign w:val="center"/>
                </w:tcPr>
                <w:p>
                  <w:pPr>
                    <w:spacing w:before="100" w:beforeAutospacing="1" w:after="100" w:afterAutospacing="1"/>
                    <w:rPr>
                      <w:rFonts w:ascii="宋体" w:hAnsi="宋体" w:cs="Arial"/>
                      <w:sz w:val="18"/>
                      <w:szCs w:val="18"/>
                    </w:rPr>
                  </w:pPr>
                  <w:r>
                    <w:rPr>
                      <w:rFonts w:ascii="宋体" w:hAnsi="宋体" w:cs="Arial"/>
                      <w:sz w:val="18"/>
                      <w:szCs w:val="18"/>
                    </w:rPr>
                    <w:t>+</w:t>
                  </w:r>
                  <w:r>
                    <w:rPr>
                      <w:rFonts w:hint="eastAsia" w:ascii="宋体" w:hAnsi="宋体" w:cs="Arial"/>
                      <w:sz w:val="18"/>
                      <w:szCs w:val="18"/>
                    </w:rPr>
                    <w:t>3</w:t>
                  </w:r>
                  <w:r>
                    <w:rPr>
                      <w:rFonts w:ascii="宋体" w:hAnsi="宋体" w:cs="Arial"/>
                      <w:sz w:val="18"/>
                      <w:szCs w:val="18"/>
                    </w:rPr>
                    <w:t>.0</w:t>
                  </w:r>
                </w:p>
              </w:tc>
              <w:tc>
                <w:tcPr>
                  <w:tcW w:w="585" w:type="dxa"/>
                  <w:vAlign w:val="center"/>
                </w:tcPr>
                <w:p>
                  <w:pPr>
                    <w:spacing w:before="100" w:beforeAutospacing="1" w:after="100" w:afterAutospacing="1"/>
                    <w:rPr>
                      <w:rFonts w:ascii="宋体" w:hAnsi="宋体" w:cs="Arial"/>
                      <w:sz w:val="18"/>
                      <w:szCs w:val="18"/>
                    </w:rPr>
                  </w:pPr>
                  <w:r>
                    <w:rPr>
                      <w:rFonts w:ascii="宋体" w:hAnsi="宋体" w:cs="Arial"/>
                      <w:sz w:val="18"/>
                      <w:szCs w:val="18"/>
                    </w:rPr>
                    <w:t>+1.</w:t>
                  </w:r>
                  <w:r>
                    <w:rPr>
                      <w:rFonts w:hint="eastAsia" w:ascii="宋体" w:hAnsi="宋体" w:cs="Arial"/>
                      <w:sz w:val="18"/>
                      <w:szCs w:val="18"/>
                    </w:rPr>
                    <w:t>5</w:t>
                  </w:r>
                </w:p>
              </w:tc>
              <w:tc>
                <w:tcPr>
                  <w:tcW w:w="583" w:type="dxa"/>
                  <w:vAlign w:val="center"/>
                </w:tcPr>
                <w:p>
                  <w:pPr>
                    <w:spacing w:before="100" w:beforeAutospacing="1" w:after="100" w:afterAutospacing="1"/>
                    <w:rPr>
                      <w:rFonts w:ascii="宋体" w:hAnsi="宋体" w:cs="Arial"/>
                      <w:sz w:val="18"/>
                      <w:szCs w:val="18"/>
                    </w:rPr>
                  </w:pPr>
                  <w:r>
                    <w:rPr>
                      <w:rFonts w:ascii="宋体" w:hAnsi="宋体" w:cs="Arial"/>
                      <w:sz w:val="18"/>
                      <w:szCs w:val="18"/>
                    </w:rPr>
                    <w:t>+1.</w:t>
                  </w:r>
                  <w:r>
                    <w:rPr>
                      <w:rFonts w:hint="eastAsia" w:ascii="宋体" w:hAnsi="宋体" w:cs="Arial"/>
                      <w:sz w:val="18"/>
                      <w:szCs w:val="18"/>
                    </w:rPr>
                    <w:t>5</w:t>
                  </w:r>
                </w:p>
              </w:tc>
              <w:tc>
                <w:tcPr>
                  <w:tcW w:w="593" w:type="dxa"/>
                  <w:vAlign w:val="center"/>
                </w:tcPr>
                <w:p>
                  <w:pPr>
                    <w:spacing w:before="100" w:beforeAutospacing="1" w:after="100" w:afterAutospacing="1"/>
                    <w:jc w:val="center"/>
                    <w:rPr>
                      <w:rFonts w:ascii="宋体" w:hAnsi="宋体" w:cs="Arial"/>
                      <w:sz w:val="18"/>
                      <w:szCs w:val="18"/>
                    </w:rPr>
                  </w:pPr>
                  <w:r>
                    <w:rPr>
                      <w:rFonts w:ascii="宋体" w:hAnsi="宋体" w:cs="Arial"/>
                      <w:sz w:val="18"/>
                      <w:szCs w:val="18"/>
                    </w:rPr>
                    <w:t>+0.</w:t>
                  </w:r>
                  <w:r>
                    <w:rPr>
                      <w:rFonts w:hint="eastAsia" w:ascii="宋体" w:hAnsi="宋体" w:cs="Arial"/>
                      <w:sz w:val="18"/>
                      <w:szCs w:val="18"/>
                    </w:rPr>
                    <w:t>8</w:t>
                  </w:r>
                </w:p>
              </w:tc>
              <w:tc>
                <w:tcPr>
                  <w:tcW w:w="588" w:type="dxa"/>
                  <w:vAlign w:val="center"/>
                </w:tcPr>
                <w:p>
                  <w:pPr>
                    <w:spacing w:before="100" w:beforeAutospacing="1" w:after="100" w:afterAutospacing="1"/>
                    <w:jc w:val="center"/>
                    <w:rPr>
                      <w:rFonts w:ascii="宋体" w:hAnsi="宋体" w:cs="Arial"/>
                      <w:sz w:val="18"/>
                      <w:szCs w:val="18"/>
                    </w:rPr>
                  </w:pPr>
                  <w:r>
                    <w:rPr>
                      <w:rFonts w:ascii="宋体" w:hAnsi="宋体" w:cs="Arial"/>
                      <w:sz w:val="18"/>
                      <w:szCs w:val="18"/>
                    </w:rPr>
                    <w:t>0.0</w:t>
                  </w:r>
                </w:p>
              </w:tc>
              <w:tc>
                <w:tcPr>
                  <w:tcW w:w="588" w:type="dxa"/>
                  <w:vAlign w:val="center"/>
                </w:tcPr>
                <w:p>
                  <w:pPr>
                    <w:spacing w:before="100" w:beforeAutospacing="1" w:after="100" w:afterAutospacing="1"/>
                    <w:jc w:val="center"/>
                    <w:rPr>
                      <w:rFonts w:ascii="宋体" w:hAnsi="宋体" w:cs="Arial"/>
                      <w:sz w:val="18"/>
                      <w:szCs w:val="18"/>
                    </w:rPr>
                  </w:pPr>
                  <w:r>
                    <w:rPr>
                      <w:rFonts w:ascii="宋体" w:hAnsi="宋体" w:cs="Arial"/>
                      <w:sz w:val="18"/>
                      <w:szCs w:val="18"/>
                    </w:rPr>
                    <w:t>-</w:t>
                  </w:r>
                  <w:r>
                    <w:rPr>
                      <w:rFonts w:hint="eastAsia" w:ascii="宋体" w:hAnsi="宋体" w:cs="Arial"/>
                      <w:sz w:val="18"/>
                      <w:szCs w:val="18"/>
                    </w:rPr>
                    <w:t>3</w:t>
                  </w:r>
                  <w:r>
                    <w:rPr>
                      <w:rFonts w:ascii="宋体" w:hAnsi="宋体" w:cs="Arial"/>
                      <w:sz w:val="18"/>
                      <w:szCs w:val="18"/>
                    </w:rPr>
                    <w:t>.0</w:t>
                  </w:r>
                </w:p>
              </w:tc>
              <w:tc>
                <w:tcPr>
                  <w:tcW w:w="595" w:type="dxa"/>
                  <w:vAlign w:val="center"/>
                </w:tcPr>
                <w:p>
                  <w:pPr>
                    <w:spacing w:before="100" w:beforeAutospacing="1" w:after="100" w:afterAutospacing="1"/>
                    <w:jc w:val="center"/>
                    <w:rPr>
                      <w:rFonts w:ascii="宋体" w:hAnsi="宋体" w:cs="Arial"/>
                      <w:sz w:val="18"/>
                      <w:szCs w:val="18"/>
                    </w:rPr>
                  </w:pPr>
                  <w:r>
                    <w:rPr>
                      <w:rFonts w:ascii="宋体" w:hAnsi="宋体" w:cs="Arial"/>
                      <w:sz w:val="18"/>
                      <w:szCs w:val="18"/>
                    </w:rPr>
                    <w:t>-1.</w:t>
                  </w:r>
                  <w:r>
                    <w:rPr>
                      <w:rFonts w:hint="eastAsia" w:ascii="宋体" w:hAnsi="宋体" w:cs="Arial"/>
                      <w:sz w:val="18"/>
                      <w:szCs w:val="18"/>
                    </w:rPr>
                    <w:t>5</w:t>
                  </w:r>
                </w:p>
              </w:tc>
            </w:tr>
          </w:tbl>
          <w:p>
            <w:pPr>
              <w:snapToGrid w:val="0"/>
              <w:spacing w:line="360" w:lineRule="exact"/>
              <w:jc w:val="left"/>
              <w:rPr>
                <w:rStyle w:val="20"/>
              </w:rPr>
            </w:pPr>
            <w:r>
              <w:rPr>
                <w:rFonts w:hint="eastAsia" w:ascii="宋体" w:hAnsi="宋体"/>
                <w:b/>
                <w:bCs/>
                <w:sz w:val="18"/>
                <w:szCs w:val="18"/>
              </w:rPr>
              <w:t>注：在引用上表时，非投标专业对应的专业评价视为综合评价。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1390" w:hRule="atLeast"/>
        </w:trPr>
        <w:tc>
          <w:tcPr>
            <w:tcW w:w="1050" w:type="dxa"/>
            <w:vMerge w:val="continue"/>
            <w:vAlign w:val="center"/>
          </w:tcPr>
          <w:p>
            <w:pPr>
              <w:spacing w:line="360" w:lineRule="exact"/>
              <w:rPr>
                <w:rFonts w:cs="Arial" w:asciiTheme="minorEastAsia" w:hAnsiTheme="minorEastAsia" w:eastAsiaTheme="minorEastAsia"/>
                <w:szCs w:val="21"/>
              </w:rPr>
            </w:pPr>
          </w:p>
        </w:tc>
        <w:tc>
          <w:tcPr>
            <w:tcW w:w="525" w:type="dxa"/>
            <w:vMerge w:val="continue"/>
            <w:tcBorders>
              <w:right w:val="single" w:color="auto" w:sz="4" w:space="0"/>
            </w:tcBorders>
            <w:vAlign w:val="center"/>
          </w:tcPr>
          <w:p>
            <w:pPr>
              <w:snapToGrid w:val="0"/>
              <w:spacing w:line="360" w:lineRule="exact"/>
              <w:ind w:left="113" w:right="113"/>
              <w:jc w:val="center"/>
              <w:rPr>
                <w:rFonts w:cs="宋体" w:asciiTheme="minorEastAsia" w:hAnsiTheme="minorEastAsia" w:eastAsiaTheme="minorEastAsia"/>
                <w:w w:val="105"/>
                <w:szCs w:val="21"/>
              </w:rPr>
            </w:pPr>
          </w:p>
        </w:tc>
        <w:tc>
          <w:tcPr>
            <w:tcW w:w="1170" w:type="dxa"/>
            <w:tcBorders>
              <w:top w:val="single" w:color="auto" w:sz="4" w:space="0"/>
            </w:tcBorders>
            <w:vAlign w:val="center"/>
          </w:tcPr>
          <w:p>
            <w:pPr>
              <w:snapToGrid w:val="0"/>
              <w:spacing w:line="360" w:lineRule="exact"/>
              <w:ind w:left="113" w:right="113"/>
              <w:jc w:val="center"/>
              <w:rPr>
                <w:rFonts w:cs="宋体" w:asciiTheme="minorEastAsia" w:hAnsiTheme="minorEastAsia" w:eastAsiaTheme="minorEastAsia"/>
                <w:w w:val="105"/>
                <w:szCs w:val="21"/>
              </w:rPr>
            </w:pPr>
            <w:r>
              <w:rPr>
                <w:rFonts w:hint="eastAsia" w:cs="宋体" w:asciiTheme="minorEastAsia" w:hAnsiTheme="minorEastAsia" w:eastAsiaTheme="minorEastAsia"/>
                <w:w w:val="105"/>
                <w:szCs w:val="21"/>
              </w:rPr>
              <w:t>财务能力</w:t>
            </w:r>
          </w:p>
        </w:tc>
        <w:tc>
          <w:tcPr>
            <w:tcW w:w="663" w:type="dxa"/>
            <w:tcBorders>
              <w:left w:val="single" w:color="auto" w:sz="4" w:space="0"/>
              <w:bottom w:val="single" w:color="auto" w:sz="4" w:space="0"/>
            </w:tcBorders>
            <w:vAlign w:val="center"/>
          </w:tcPr>
          <w:p>
            <w:pPr>
              <w:snapToGrid w:val="0"/>
              <w:spacing w:line="360" w:lineRule="exact"/>
              <w:ind w:left="113" w:right="113"/>
              <w:jc w:val="center"/>
              <w:rPr>
                <w:rFonts w:cs="Arial" w:asciiTheme="minorEastAsia" w:hAnsiTheme="minorEastAsia" w:eastAsiaTheme="minorEastAsia"/>
                <w:szCs w:val="21"/>
                <w:u w:val="single"/>
              </w:rPr>
            </w:pPr>
            <w:r>
              <w:rPr>
                <w:rFonts w:hint="eastAsia" w:cs="Arial" w:asciiTheme="minorEastAsia" w:hAnsiTheme="minorEastAsia" w:eastAsiaTheme="minorEastAsia"/>
                <w:szCs w:val="21"/>
                <w:u w:val="single"/>
              </w:rPr>
              <w:t>2分</w:t>
            </w:r>
          </w:p>
        </w:tc>
        <w:tc>
          <w:tcPr>
            <w:tcW w:w="867" w:type="dxa"/>
            <w:tcBorders>
              <w:right w:val="single" w:color="auto" w:sz="4" w:space="0"/>
            </w:tcBorders>
            <w:vAlign w:val="center"/>
          </w:tcPr>
          <w:p>
            <w:pPr>
              <w:snapToGrid w:val="0"/>
              <w:spacing w:line="360" w:lineRule="exact"/>
              <w:jc w:val="left"/>
              <w:rPr>
                <w:rFonts w:ascii="宋体" w:hAnsi="宋体"/>
                <w:b/>
                <w:bCs/>
                <w:sz w:val="18"/>
                <w:szCs w:val="18"/>
              </w:rPr>
            </w:pPr>
            <w:r>
              <w:rPr>
                <w:rFonts w:hint="eastAsia" w:cs="宋体" w:asciiTheme="minorEastAsia" w:hAnsiTheme="minorEastAsia" w:eastAsiaTheme="minorEastAsia"/>
                <w:w w:val="105"/>
                <w:szCs w:val="21"/>
              </w:rPr>
              <w:t>财务能力</w:t>
            </w:r>
          </w:p>
        </w:tc>
        <w:tc>
          <w:tcPr>
            <w:tcW w:w="602" w:type="dxa"/>
            <w:tcBorders>
              <w:left w:val="single" w:color="auto" w:sz="4" w:space="0"/>
              <w:right w:val="single" w:color="auto" w:sz="4" w:space="0"/>
            </w:tcBorders>
            <w:vAlign w:val="center"/>
          </w:tcPr>
          <w:p>
            <w:pPr>
              <w:snapToGrid w:val="0"/>
              <w:spacing w:line="360" w:lineRule="exact"/>
              <w:jc w:val="left"/>
              <w:rPr>
                <w:rFonts w:ascii="宋体" w:hAnsi="宋体" w:cs="宋体"/>
                <w:b/>
              </w:rPr>
            </w:pPr>
            <w:r>
              <w:rPr>
                <w:rFonts w:hint="eastAsia" w:cs="Arial" w:asciiTheme="minorEastAsia" w:hAnsiTheme="minorEastAsia" w:eastAsiaTheme="minorEastAsia"/>
                <w:szCs w:val="21"/>
              </w:rPr>
              <w:t>2分</w:t>
            </w:r>
          </w:p>
        </w:tc>
        <w:tc>
          <w:tcPr>
            <w:tcW w:w="4738" w:type="dxa"/>
            <w:gridSpan w:val="2"/>
            <w:tcBorders>
              <w:left w:val="single" w:color="auto" w:sz="4" w:space="0"/>
            </w:tcBorders>
            <w:vAlign w:val="center"/>
          </w:tcPr>
          <w:p>
            <w:pPr>
              <w:snapToGrid w:val="0"/>
              <w:spacing w:line="360" w:lineRule="exact"/>
              <w:jc w:val="left"/>
              <w:rPr>
                <w:rFonts w:ascii="宋体" w:hAnsi="宋体" w:cs="宋体"/>
                <w:b/>
              </w:rPr>
            </w:pPr>
            <w:r>
              <w:rPr>
                <w:rFonts w:hint="eastAsia" w:ascii="宋体" w:hAnsi="宋体" w:cs="宋体"/>
                <w:b/>
              </w:rPr>
              <w:t>投标人最近两年（2019年、2020年）净利润均大于0得2分，否则不得分。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4" w:hRule="atLeast"/>
        </w:trPr>
        <w:tc>
          <w:tcPr>
            <w:tcW w:w="9615" w:type="dxa"/>
            <w:gridSpan w:val="8"/>
            <w:vAlign w:val="center"/>
          </w:tcPr>
          <w:p>
            <w:pPr>
              <w:spacing w:line="324" w:lineRule="auto"/>
              <w:rPr>
                <w:rFonts w:cs="Arial" w:asciiTheme="minorEastAsia" w:hAnsiTheme="minorEastAsia" w:eastAsiaTheme="minorEastAsia"/>
                <w:b/>
                <w:szCs w:val="21"/>
              </w:rPr>
            </w:pPr>
            <w:r>
              <w:rPr>
                <w:rFonts w:hint="eastAsia" w:cs="Arial" w:asciiTheme="minorEastAsia" w:hAnsiTheme="minorEastAsia" w:eastAsiaTheme="minorEastAsia"/>
                <w:b/>
                <w:szCs w:val="21"/>
              </w:rPr>
              <w:t>需要补充的其他内容：</w:t>
            </w:r>
          </w:p>
          <w:p>
            <w:pPr>
              <w:spacing w:afterLines="100" w:line="400" w:lineRule="exact"/>
              <w:ind w:right="113" w:firstLine="210" w:firstLineChars="100"/>
              <w:rPr>
                <w:rFonts w:ascii="宋体" w:hAnsi="宋体"/>
                <w:szCs w:val="21"/>
              </w:rPr>
            </w:pPr>
            <w:r>
              <w:rPr>
                <w:rFonts w:hint="eastAsia" w:ascii="宋体" w:hAnsi="宋体"/>
                <w:szCs w:val="21"/>
              </w:rPr>
              <w:t>1、评标办法正文第3.9.1 款细化为：</w:t>
            </w:r>
          </w:p>
          <w:p>
            <w:pPr>
              <w:spacing w:afterLines="100" w:line="400" w:lineRule="exact"/>
              <w:ind w:right="113" w:firstLine="210" w:firstLineChars="100"/>
              <w:rPr>
                <w:rFonts w:cs="Arial" w:asciiTheme="minorEastAsia" w:hAnsiTheme="minorEastAsia" w:eastAsiaTheme="minorEastAsia"/>
                <w:b/>
                <w:szCs w:val="21"/>
              </w:rPr>
            </w:pPr>
            <w:r>
              <w:rPr>
                <w:rFonts w:hint="eastAsia" w:ascii="宋体" w:hAnsi="宋体"/>
                <w:szCs w:val="21"/>
              </w:rPr>
              <w:t>3.9.1 评标委员会对通过第一个信封（商务及技术文件）初步评审的投标文件进行综合得分的计算，按综合得分由高到低进行排序后，对综合得分排名在评标办法前附表3.2.4 规定数量的投标人的投标文件第二个信封（报价文件）组织公开开标（若通过第一个信封（商务及技术文件）详细评审的投标人不足3家，则评标委员会应否决全部投标）。评标委员会对通过第二个信封（投标报价文件）初步评审的投标文件按照评标价由低到高的顺序及招标文件有关规定，依次推荐中标候选人（在第二信封评审过程中，若在同一个标段中由于投标文件被否决，导致有效投标人只有1个的情形时，该标段不再推荐中标候选人，若有效投标人仅为2个时，评标委员会应当对有效投标是否仍具有竞争性进行评审，如评标委员会一致认为有效投标仍具有竞争性的，应当继续推荐1 名中标候选人，并在评标报告中予以说明；如评标委员会对有效投标是否仍具有竞争性无法达成一致意见的，应当否决该标段投标）</w:t>
            </w: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D6853"/>
    <w:rsid w:val="00613EFF"/>
    <w:rsid w:val="008D6853"/>
    <w:rsid w:val="2D7C20A5"/>
    <w:rsid w:val="5CB81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5"/>
    <w:qFormat/>
    <w:uiPriority w:val="0"/>
    <w:pPr>
      <w:keepNext/>
      <w:keepLines/>
      <w:widowControl/>
      <w:spacing w:before="120" w:after="120" w:line="360" w:lineRule="auto"/>
      <w:jc w:val="left"/>
      <w:outlineLvl w:val="2"/>
    </w:pPr>
    <w:rPr>
      <w:b/>
      <w:kern w:val="0"/>
      <w:sz w:val="32"/>
      <w:szCs w:val="20"/>
    </w:rPr>
  </w:style>
  <w:style w:type="paragraph" w:styleId="4">
    <w:name w:val="heading 4"/>
    <w:basedOn w:val="1"/>
    <w:next w:val="5"/>
    <w:link w:val="16"/>
    <w:qFormat/>
    <w:uiPriority w:val="0"/>
    <w:pPr>
      <w:keepNext/>
      <w:adjustRightInd w:val="0"/>
      <w:spacing w:line="420" w:lineRule="atLeast"/>
      <w:jc w:val="left"/>
      <w:textAlignment w:val="baseline"/>
      <w:outlineLvl w:val="3"/>
    </w:pPr>
    <w:rPr>
      <w:kern w:val="0"/>
      <w:szCs w:val="20"/>
    </w:rPr>
  </w:style>
  <w:style w:type="paragraph" w:styleId="6">
    <w:name w:val="heading 5"/>
    <w:basedOn w:val="1"/>
    <w:next w:val="1"/>
    <w:link w:val="17"/>
    <w:qFormat/>
    <w:uiPriority w:val="9"/>
    <w:pPr>
      <w:keepNext/>
      <w:keepLines/>
      <w:spacing w:before="280" w:after="290" w:line="376" w:lineRule="auto"/>
      <w:outlineLvl w:val="4"/>
    </w:pPr>
    <w:rPr>
      <w:b/>
      <w:sz w:val="28"/>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Normal Indent"/>
    <w:basedOn w:val="1"/>
    <w:semiHidden/>
    <w:unhideWhenUsed/>
    <w:qFormat/>
    <w:uiPriority w:val="99"/>
    <w:pPr>
      <w:ind w:firstLine="420" w:firstLineChars="200"/>
    </w:pPr>
  </w:style>
  <w:style w:type="paragraph" w:styleId="7">
    <w:name w:val="List 3"/>
    <w:basedOn w:val="1"/>
    <w:qFormat/>
    <w:uiPriority w:val="99"/>
    <w:pPr>
      <w:ind w:left="100" w:leftChars="400" w:hanging="200" w:hangingChars="200"/>
    </w:pPr>
  </w:style>
  <w:style w:type="paragraph" w:styleId="8">
    <w:name w:val="Date"/>
    <w:basedOn w:val="1"/>
    <w:next w:val="1"/>
    <w:link w:val="14"/>
    <w:semiHidden/>
    <w:unhideWhenUsed/>
    <w:qFormat/>
    <w:uiPriority w:val="99"/>
    <w:pPr>
      <w:ind w:left="100" w:leftChars="2500"/>
    </w:pPr>
  </w:style>
  <w:style w:type="paragraph" w:styleId="9">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2">
    <w:name w:val="页眉 Char"/>
    <w:basedOn w:val="11"/>
    <w:link w:val="9"/>
    <w:semiHidden/>
    <w:qFormat/>
    <w:uiPriority w:val="99"/>
    <w:rPr>
      <w:sz w:val="18"/>
      <w:szCs w:val="18"/>
    </w:rPr>
  </w:style>
  <w:style w:type="character" w:customStyle="1" w:styleId="13">
    <w:name w:val="页脚 Char"/>
    <w:basedOn w:val="11"/>
    <w:link w:val="2"/>
    <w:qFormat/>
    <w:uiPriority w:val="99"/>
    <w:rPr>
      <w:sz w:val="18"/>
      <w:szCs w:val="18"/>
    </w:rPr>
  </w:style>
  <w:style w:type="character" w:customStyle="1" w:styleId="14">
    <w:name w:val="日期 Char"/>
    <w:basedOn w:val="11"/>
    <w:link w:val="8"/>
    <w:semiHidden/>
    <w:qFormat/>
    <w:uiPriority w:val="99"/>
    <w:rPr>
      <w:rFonts w:ascii="Times New Roman" w:hAnsi="Times New Roman" w:eastAsia="宋体" w:cs="Times New Roman"/>
      <w:szCs w:val="24"/>
    </w:rPr>
  </w:style>
  <w:style w:type="character" w:customStyle="1" w:styleId="15">
    <w:name w:val="标题 3 Char"/>
    <w:basedOn w:val="11"/>
    <w:link w:val="3"/>
    <w:qFormat/>
    <w:uiPriority w:val="0"/>
    <w:rPr>
      <w:rFonts w:ascii="Times New Roman" w:hAnsi="Times New Roman" w:eastAsia="宋体" w:cs="Times New Roman"/>
      <w:b/>
      <w:kern w:val="0"/>
      <w:sz w:val="32"/>
      <w:szCs w:val="20"/>
    </w:rPr>
  </w:style>
  <w:style w:type="character" w:customStyle="1" w:styleId="16">
    <w:name w:val="标题 4 Char"/>
    <w:basedOn w:val="11"/>
    <w:link w:val="4"/>
    <w:qFormat/>
    <w:uiPriority w:val="0"/>
    <w:rPr>
      <w:rFonts w:ascii="Times New Roman" w:hAnsi="Times New Roman" w:eastAsia="宋体" w:cs="Times New Roman"/>
      <w:kern w:val="0"/>
      <w:szCs w:val="20"/>
    </w:rPr>
  </w:style>
  <w:style w:type="character" w:customStyle="1" w:styleId="17">
    <w:name w:val="标题 5 Char"/>
    <w:basedOn w:val="11"/>
    <w:link w:val="6"/>
    <w:qFormat/>
    <w:uiPriority w:val="9"/>
    <w:rPr>
      <w:rFonts w:ascii="Times New Roman" w:hAnsi="Times New Roman" w:eastAsia="宋体" w:cs="Times New Roman"/>
      <w:b/>
      <w:sz w:val="28"/>
      <w:szCs w:val="20"/>
    </w:rPr>
  </w:style>
  <w:style w:type="paragraph" w:customStyle="1" w:styleId="18">
    <w:name w:val="p0"/>
    <w:basedOn w:val="1"/>
    <w:qFormat/>
    <w:uiPriority w:val="99"/>
    <w:pPr>
      <w:widowControl/>
    </w:pPr>
    <w:rPr>
      <w:kern w:val="0"/>
      <w:szCs w:val="21"/>
    </w:rPr>
  </w:style>
  <w:style w:type="paragraph" w:customStyle="1" w:styleId="19">
    <w:name w:val="Table Paragraph"/>
    <w:basedOn w:val="1"/>
    <w:qFormat/>
    <w:uiPriority w:val="1"/>
    <w:pPr>
      <w:autoSpaceDE w:val="0"/>
      <w:autoSpaceDN w:val="0"/>
      <w:adjustRightInd w:val="0"/>
      <w:jc w:val="left"/>
    </w:pPr>
    <w:rPr>
      <w:kern w:val="0"/>
      <w:sz w:val="24"/>
    </w:rPr>
  </w:style>
  <w:style w:type="character" w:customStyle="1" w:styleId="20">
    <w:name w:val="正文文本 (2) + SimSun"/>
    <w:qFormat/>
    <w:uiPriority w:val="0"/>
    <w:rPr>
      <w:rFonts w:ascii="宋体" w:hAnsi="宋体" w:eastAsia="宋体" w:cs="宋体"/>
      <w:b/>
      <w:bCs/>
      <w:color w:val="000000"/>
      <w:spacing w:val="0"/>
      <w:w w:val="100"/>
      <w:kern w:val="2"/>
      <w:position w:val="0"/>
      <w:sz w:val="21"/>
      <w:szCs w:val="21"/>
      <w:shd w:val="clear" w:color="auto" w:fill="FFFFFF"/>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1570</Words>
  <Characters>8952</Characters>
  <Lines>74</Lines>
  <Paragraphs>21</Paragraphs>
  <TotalTime>4</TotalTime>
  <ScaleCrop>false</ScaleCrop>
  <LinksUpToDate>false</LinksUpToDate>
  <CharactersWithSpaces>10501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2021-12-09T07:18:00Z</dcterms:created>
  <dc:creator>Microsoft</dc:creator>
  <cp:lastModifiedBy>ddd</cp:lastModifiedBy>
  <dcterms:modified xsi:type="dcterms:W3CDTF">2021-12-10T01:16:32Z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