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highlight w:val="none"/>
        </w:rPr>
      </w:pPr>
      <w:r>
        <w:rPr>
          <w:rFonts w:hint="eastAsia" w:ascii="宋体" w:hAnsi="宋体"/>
          <w:b/>
          <w:sz w:val="30"/>
          <w:szCs w:val="30"/>
          <w:highlight w:val="none"/>
        </w:rPr>
        <w:t>附录</w:t>
      </w:r>
      <w:r>
        <w:rPr>
          <w:rFonts w:ascii="宋体" w:hAnsi="宋体"/>
          <w:b/>
          <w:sz w:val="30"/>
          <w:szCs w:val="30"/>
          <w:highlight w:val="none"/>
        </w:rPr>
        <w:t xml:space="preserve">1  </w:t>
      </w:r>
      <w:r>
        <w:rPr>
          <w:rFonts w:hint="eastAsia" w:ascii="宋体" w:hAnsi="宋体"/>
          <w:b/>
          <w:sz w:val="30"/>
          <w:szCs w:val="30"/>
          <w:highlight w:val="none"/>
        </w:rPr>
        <w:t>资格审查条件（资质最低要求）</w:t>
      </w:r>
    </w:p>
    <w:p>
      <w:pPr>
        <w:jc w:val="center"/>
        <w:rPr>
          <w:rFonts w:ascii="宋体" w:hAnsi="宋体"/>
          <w:b/>
          <w:sz w:val="30"/>
          <w:szCs w:val="30"/>
          <w:highlight w:val="none"/>
        </w:rPr>
      </w:pP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464"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9464" w:type="dxa"/>
            <w:vAlign w:val="center"/>
          </w:tcPr>
          <w:p>
            <w:pPr>
              <w:spacing w:line="360" w:lineRule="auto"/>
              <w:rPr>
                <w:rFonts w:ascii="宋体" w:hAnsi="宋体"/>
                <w:sz w:val="22"/>
                <w:highlight w:val="none"/>
              </w:rPr>
            </w:pPr>
            <w:r>
              <w:rPr>
                <w:rFonts w:hint="eastAsia" w:ascii="宋体" w:hAnsi="宋体"/>
                <w:sz w:val="22"/>
                <w:szCs w:val="21"/>
                <w:highlight w:val="none"/>
              </w:rPr>
              <w:t>非联合体投标的投标人须同时具备如下条件：</w:t>
            </w:r>
          </w:p>
          <w:p>
            <w:pPr>
              <w:spacing w:line="360" w:lineRule="auto"/>
              <w:rPr>
                <w:sz w:val="24"/>
                <w:highlight w:val="none"/>
              </w:rPr>
            </w:pPr>
            <w:r>
              <w:rPr>
                <w:rFonts w:hint="eastAsia" w:ascii="宋体" w:hAnsi="宋体"/>
                <w:highlight w:val="none"/>
              </w:rPr>
              <w:t>①</w:t>
            </w:r>
            <w:r>
              <w:rPr>
                <w:rFonts w:hint="eastAsia"/>
                <w:sz w:val="24"/>
                <w:highlight w:val="none"/>
              </w:rPr>
              <w:t>具有工商行政管理部门核发的有效企业法人营业执照</w:t>
            </w:r>
            <w:r>
              <w:rPr>
                <w:sz w:val="24"/>
                <w:highlight w:val="none"/>
              </w:rPr>
              <w:t>;</w:t>
            </w:r>
          </w:p>
          <w:p>
            <w:pPr>
              <w:spacing w:line="360" w:lineRule="auto"/>
              <w:rPr>
                <w:sz w:val="24"/>
                <w:highlight w:val="none"/>
              </w:rPr>
            </w:pPr>
            <w:r>
              <w:rPr>
                <w:rFonts w:hint="eastAsia"/>
                <w:sz w:val="24"/>
                <w:szCs w:val="22"/>
                <w:highlight w:val="none"/>
              </w:rPr>
              <w:t>②具有公路行业（交通工程）设计甲级或工程设计综合甲级资质</w:t>
            </w:r>
            <w:r>
              <w:rPr>
                <w:sz w:val="24"/>
                <w:szCs w:val="22"/>
                <w:highlight w:val="none"/>
              </w:rPr>
              <w:t>;</w:t>
            </w:r>
          </w:p>
          <w:p>
            <w:pPr>
              <w:spacing w:line="360" w:lineRule="auto"/>
              <w:rPr>
                <w:rFonts w:ascii="宋体"/>
                <w:kern w:val="0"/>
                <w:highlight w:val="none"/>
              </w:rPr>
            </w:pPr>
            <w:r>
              <w:rPr>
                <w:rFonts w:hint="eastAsia"/>
                <w:sz w:val="24"/>
                <w:szCs w:val="22"/>
                <w:highlight w:val="none"/>
              </w:rPr>
              <w:t>③具有公路交通工程专业承包（公路机电工程分项）一级资质，且持有有效的安全生产许可证书。</w:t>
            </w:r>
          </w:p>
        </w:tc>
      </w:tr>
    </w:tbl>
    <w:p>
      <w:pPr>
        <w:jc w:val="center"/>
        <w:rPr>
          <w:rFonts w:ascii="宋体" w:hAnsi="宋体"/>
          <w:b/>
          <w:sz w:val="30"/>
          <w:szCs w:val="30"/>
          <w:highlight w:val="none"/>
        </w:rPr>
      </w:pPr>
    </w:p>
    <w:p>
      <w:pPr>
        <w:jc w:val="center"/>
        <w:rPr>
          <w:rFonts w:ascii="宋体" w:hAnsi="宋体"/>
          <w:bCs/>
          <w:sz w:val="30"/>
          <w:szCs w:val="30"/>
          <w:highlight w:val="none"/>
        </w:rPr>
      </w:pPr>
      <w:r>
        <w:rPr>
          <w:rFonts w:hint="eastAsia" w:ascii="宋体" w:hAnsi="宋体"/>
          <w:bCs/>
          <w:sz w:val="30"/>
          <w:szCs w:val="30"/>
          <w:highlight w:val="none"/>
        </w:rPr>
        <w:t>以联合体形式投标的，联合体成员资格最低要求如下：</w:t>
      </w:r>
    </w:p>
    <w:tbl>
      <w:tblPr>
        <w:tblStyle w:val="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1396"/>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联合体</w:t>
            </w:r>
          </w:p>
        </w:tc>
        <w:tc>
          <w:tcPr>
            <w:tcW w:w="1396" w:type="dxa"/>
          </w:tcPr>
          <w:p>
            <w:pPr>
              <w:spacing w:line="480" w:lineRule="auto"/>
              <w:jc w:val="center"/>
              <w:textAlignment w:val="baseline"/>
              <w:rPr>
                <w:rFonts w:ascii="宋体" w:hAnsi="宋体"/>
                <w:kern w:val="0"/>
                <w:sz w:val="24"/>
                <w:highlight w:val="none"/>
              </w:rPr>
            </w:pPr>
            <w:r>
              <w:rPr>
                <w:rFonts w:hint="eastAsia" w:ascii="宋体" w:hAnsi="宋体"/>
                <w:kern w:val="0"/>
                <w:sz w:val="24"/>
                <w:highlight w:val="none"/>
              </w:rPr>
              <w:t>企业类别</w:t>
            </w:r>
          </w:p>
        </w:tc>
        <w:tc>
          <w:tcPr>
            <w:tcW w:w="4914" w:type="dxa"/>
          </w:tcPr>
          <w:p>
            <w:pPr>
              <w:spacing w:line="480" w:lineRule="auto"/>
              <w:jc w:val="center"/>
              <w:textAlignment w:val="baseline"/>
              <w:rPr>
                <w:rFonts w:ascii="宋体" w:hAnsi="宋体"/>
                <w:kern w:val="0"/>
                <w:sz w:val="24"/>
                <w:highlight w:val="none"/>
              </w:rPr>
            </w:pPr>
            <w:r>
              <w:rPr>
                <w:rFonts w:hint="eastAsia" w:ascii="宋体" w:hAnsi="宋体"/>
                <w:kern w:val="0"/>
                <w:sz w:val="24"/>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169"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联合体牵头人</w:t>
            </w:r>
          </w:p>
        </w:tc>
        <w:tc>
          <w:tcPr>
            <w:tcW w:w="1396"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施工单位</w:t>
            </w:r>
          </w:p>
        </w:tc>
        <w:tc>
          <w:tcPr>
            <w:tcW w:w="4914" w:type="dxa"/>
            <w:vAlign w:val="center"/>
          </w:tcPr>
          <w:p>
            <w:pPr>
              <w:rPr>
                <w:sz w:val="22"/>
                <w:highlight w:val="none"/>
              </w:rPr>
            </w:pPr>
            <w:r>
              <w:rPr>
                <w:rFonts w:hint="eastAsia"/>
                <w:sz w:val="22"/>
                <w:szCs w:val="21"/>
                <w:highlight w:val="none"/>
              </w:rPr>
              <w:t>①具有工商行政管理部门核发的有效企业法人营业执照。</w:t>
            </w:r>
          </w:p>
          <w:p>
            <w:pPr>
              <w:rPr>
                <w:sz w:val="22"/>
                <w:highlight w:val="none"/>
              </w:rPr>
            </w:pPr>
            <w:r>
              <w:rPr>
                <w:rFonts w:hint="eastAsia"/>
                <w:sz w:val="22"/>
                <w:szCs w:val="21"/>
                <w:highlight w:val="none"/>
              </w:rPr>
              <w:t>②具有公路交通工程专业承包（公路机电工程分项）一级资质，且持有有效的安全生产许可证书。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169"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联合体成员</w:t>
            </w:r>
          </w:p>
        </w:tc>
        <w:tc>
          <w:tcPr>
            <w:tcW w:w="1396" w:type="dxa"/>
            <w:vAlign w:val="center"/>
          </w:tcPr>
          <w:p>
            <w:pPr>
              <w:autoSpaceDE w:val="0"/>
              <w:autoSpaceDN w:val="0"/>
              <w:adjustRightInd w:val="0"/>
              <w:snapToGrid w:val="0"/>
              <w:spacing w:before="100" w:beforeAutospacing="1" w:line="360" w:lineRule="auto"/>
              <w:jc w:val="center"/>
              <w:textAlignment w:val="baseline"/>
              <w:rPr>
                <w:rFonts w:ascii="宋体" w:hAnsi="宋体"/>
                <w:kern w:val="0"/>
                <w:sz w:val="24"/>
                <w:highlight w:val="none"/>
              </w:rPr>
            </w:pPr>
            <w:r>
              <w:rPr>
                <w:rFonts w:hint="eastAsia" w:ascii="宋体" w:hAnsi="宋体"/>
                <w:kern w:val="0"/>
                <w:sz w:val="24"/>
                <w:highlight w:val="none"/>
              </w:rPr>
              <w:t>设计单位</w:t>
            </w:r>
          </w:p>
        </w:tc>
        <w:tc>
          <w:tcPr>
            <w:tcW w:w="4914" w:type="dxa"/>
            <w:vAlign w:val="center"/>
          </w:tcPr>
          <w:p>
            <w:pPr>
              <w:rPr>
                <w:sz w:val="22"/>
                <w:highlight w:val="none"/>
              </w:rPr>
            </w:pPr>
            <w:r>
              <w:rPr>
                <w:rFonts w:hint="eastAsia"/>
                <w:sz w:val="22"/>
                <w:szCs w:val="21"/>
                <w:highlight w:val="none"/>
              </w:rPr>
              <w:t>①具有工商行政管理部门核发的有效企业法人营业执照。</w:t>
            </w:r>
          </w:p>
          <w:p>
            <w:pPr>
              <w:rPr>
                <w:sz w:val="22"/>
                <w:highlight w:val="none"/>
              </w:rPr>
            </w:pPr>
            <w:r>
              <w:rPr>
                <w:rFonts w:hint="eastAsia"/>
                <w:sz w:val="22"/>
                <w:szCs w:val="21"/>
                <w:highlight w:val="none"/>
              </w:rPr>
              <w:t>②具有公路行业</w:t>
            </w:r>
            <w:r>
              <w:rPr>
                <w:rFonts w:hint="eastAsia"/>
                <w:sz w:val="24"/>
                <w:szCs w:val="22"/>
                <w:highlight w:val="none"/>
              </w:rPr>
              <w:t>（交通工程）</w:t>
            </w:r>
            <w:r>
              <w:rPr>
                <w:rFonts w:hint="eastAsia"/>
                <w:sz w:val="22"/>
                <w:szCs w:val="21"/>
                <w:highlight w:val="none"/>
              </w:rPr>
              <w:t>设计甲级或工程设计综合甲级资质。</w:t>
            </w:r>
          </w:p>
        </w:tc>
      </w:tr>
    </w:tbl>
    <w:p>
      <w:pPr>
        <w:autoSpaceDE w:val="0"/>
        <w:autoSpaceDN w:val="0"/>
        <w:adjustRightInd w:val="0"/>
        <w:spacing w:line="340" w:lineRule="exact"/>
        <w:jc w:val="left"/>
        <w:rPr>
          <w:rFonts w:ascii="宋体" w:hAnsi="宋体"/>
          <w:b/>
          <w:sz w:val="18"/>
          <w:szCs w:val="18"/>
          <w:highlight w:val="none"/>
        </w:rPr>
      </w:pPr>
      <w:r>
        <w:rPr>
          <w:rFonts w:hint="eastAsia"/>
          <w:b/>
          <w:sz w:val="18"/>
          <w:szCs w:val="18"/>
          <w:highlight w:val="none"/>
        </w:rPr>
        <w:t>注：</w:t>
      </w:r>
      <w:r>
        <w:rPr>
          <w:b/>
          <w:sz w:val="18"/>
          <w:szCs w:val="18"/>
          <w:highlight w:val="none"/>
        </w:rPr>
        <w:t>1</w:t>
      </w:r>
      <w:r>
        <w:rPr>
          <w:rFonts w:hint="eastAsia"/>
          <w:b/>
          <w:sz w:val="18"/>
          <w:szCs w:val="18"/>
          <w:highlight w:val="none"/>
        </w:rPr>
        <w:t>、</w:t>
      </w:r>
      <w:r>
        <w:rPr>
          <w:rFonts w:hint="eastAsia" w:ascii="宋体" w:cs="宋体"/>
          <w:b/>
          <w:kern w:val="0"/>
          <w:sz w:val="18"/>
          <w:szCs w:val="18"/>
          <w:highlight w:val="none"/>
        </w:rPr>
        <w:t>联合体成员不得超过两家。联合体的任何一方不得再与其他单位组成联合体再参加本次投标，否则均按否决投标处理。公路施工企业应按照《建筑业企业资质等级标准》规定的承包工程范围承包工程，不得跨资质序列、越级、超范围承包工程；</w:t>
      </w:r>
    </w:p>
    <w:p>
      <w:pPr>
        <w:spacing w:line="340" w:lineRule="exact"/>
        <w:ind w:firstLine="316" w:firstLineChars="150"/>
        <w:rPr>
          <w:b/>
          <w:sz w:val="18"/>
          <w:szCs w:val="16"/>
          <w:highlight w:val="none"/>
        </w:rPr>
      </w:pPr>
      <w:r>
        <w:rPr>
          <w:rFonts w:ascii="宋体" w:hAnsi="宋体"/>
          <w:b/>
          <w:szCs w:val="21"/>
          <w:highlight w:val="none"/>
        </w:rPr>
        <w:t>2、</w:t>
      </w:r>
      <w:r>
        <w:rPr>
          <w:rFonts w:hint="eastAsia"/>
          <w:b/>
          <w:sz w:val="18"/>
          <w:szCs w:val="18"/>
          <w:highlight w:val="none"/>
        </w:rPr>
        <w:t>根据厅公路字</w:t>
      </w:r>
      <w:r>
        <w:rPr>
          <w:b/>
          <w:sz w:val="18"/>
          <w:szCs w:val="18"/>
          <w:highlight w:val="none"/>
        </w:rPr>
        <w:t>[2011]114</w:t>
      </w:r>
      <w:r>
        <w:rPr>
          <w:rFonts w:hint="eastAsia"/>
          <w:b/>
          <w:sz w:val="18"/>
          <w:szCs w:val="18"/>
          <w:highlight w:val="none"/>
        </w:rPr>
        <w:t>号文的规定，投标人应为进入</w:t>
      </w:r>
      <w:r>
        <w:rPr>
          <w:rFonts w:hint="eastAsia"/>
          <w:b/>
          <w:sz w:val="18"/>
          <w:szCs w:val="16"/>
          <w:highlight w:val="none"/>
        </w:rPr>
        <w:t>交通运输部“全国公路建设市场信用信息管理系统”中的公路工程施工资质企业名录及公路工程设计资质企业（适用于公路行业设计甲级及以上资质投标人）名录中的企业，且投标人名称和资质与该名录中的相应企业名称和资质完全一致（投标人的资质情况以投标文件递交截止时全国公路建设市场信用信息管理系统发布的最新信息为准）。</w:t>
      </w:r>
    </w:p>
    <w:p>
      <w:pPr>
        <w:spacing w:line="340" w:lineRule="exact"/>
        <w:ind w:firstLine="271" w:firstLineChars="150"/>
        <w:rPr>
          <w:b/>
          <w:sz w:val="18"/>
          <w:szCs w:val="16"/>
          <w:highlight w:val="none"/>
        </w:rPr>
      </w:pPr>
      <w:r>
        <w:rPr>
          <w:b/>
          <w:sz w:val="18"/>
          <w:szCs w:val="16"/>
          <w:highlight w:val="none"/>
        </w:rPr>
        <w:t>3</w:t>
      </w:r>
      <w:r>
        <w:rPr>
          <w:rFonts w:hint="eastAsia"/>
          <w:b/>
          <w:sz w:val="18"/>
          <w:szCs w:val="16"/>
          <w:highlight w:val="none"/>
        </w:rPr>
        <w:t>、以联合体形式投标的，联合体牵头人应进入交通运输部“全国公路建设市场信用信息管理系统”中的公路工程施工资质企业名录中，联合体成员应进入交通运输部“全国公路建设市场信用信息管理系统”中的公路工程设计资质企业（适用于公路行业设计甲级及以上资质投标人）名录中。</w:t>
      </w:r>
    </w:p>
    <w:p>
      <w:pPr>
        <w:widowControl/>
        <w:spacing w:line="340" w:lineRule="exact"/>
        <w:ind w:firstLine="271" w:firstLineChars="150"/>
        <w:rPr>
          <w:b/>
          <w:sz w:val="18"/>
          <w:szCs w:val="16"/>
          <w:highlight w:val="none"/>
        </w:rPr>
      </w:pPr>
      <w:r>
        <w:rPr>
          <w:b/>
          <w:sz w:val="18"/>
          <w:szCs w:val="16"/>
          <w:highlight w:val="none"/>
        </w:rPr>
        <w:t>4</w:t>
      </w:r>
      <w:r>
        <w:rPr>
          <w:rFonts w:hint="eastAsia"/>
          <w:b/>
          <w:sz w:val="18"/>
          <w:szCs w:val="16"/>
          <w:highlight w:val="none"/>
        </w:rPr>
        <w:t>、根据《住房和城乡建设部办公厅关于建设工程企业资质延续有关事项的通知》（建办函〔</w:t>
      </w:r>
      <w:r>
        <w:rPr>
          <w:b/>
          <w:sz w:val="18"/>
          <w:szCs w:val="16"/>
          <w:highlight w:val="none"/>
        </w:rPr>
        <w:t>2020</w:t>
      </w:r>
      <w:r>
        <w:rPr>
          <w:rFonts w:hint="eastAsia"/>
          <w:b/>
          <w:sz w:val="18"/>
          <w:szCs w:val="16"/>
          <w:highlight w:val="none"/>
        </w:rPr>
        <w:t>〕</w:t>
      </w:r>
      <w:r>
        <w:rPr>
          <w:b/>
          <w:sz w:val="18"/>
          <w:szCs w:val="16"/>
          <w:highlight w:val="none"/>
        </w:rPr>
        <w:t>334</w:t>
      </w:r>
      <w:r>
        <w:rPr>
          <w:rFonts w:hint="eastAsia"/>
          <w:b/>
          <w:sz w:val="18"/>
          <w:szCs w:val="16"/>
          <w:highlight w:val="none"/>
        </w:rPr>
        <w:t>号）文件及《住房和城乡建设部办公厅关于建设工程企业资质统一延续有关事项的通知》 建办市函〔</w:t>
      </w:r>
      <w:r>
        <w:rPr>
          <w:b/>
          <w:sz w:val="18"/>
          <w:szCs w:val="16"/>
          <w:highlight w:val="none"/>
        </w:rPr>
        <w:t>2021</w:t>
      </w:r>
      <w:r>
        <w:rPr>
          <w:rFonts w:hint="eastAsia"/>
          <w:b/>
          <w:sz w:val="18"/>
          <w:szCs w:val="16"/>
          <w:highlight w:val="none"/>
        </w:rPr>
        <w:t>〕</w:t>
      </w:r>
      <w:r>
        <w:rPr>
          <w:b/>
          <w:sz w:val="18"/>
          <w:szCs w:val="16"/>
          <w:highlight w:val="none"/>
        </w:rPr>
        <w:t>510</w:t>
      </w:r>
      <w:r>
        <w:rPr>
          <w:rFonts w:hint="eastAsia"/>
          <w:b/>
          <w:sz w:val="18"/>
          <w:szCs w:val="16"/>
          <w:highlight w:val="none"/>
        </w:rPr>
        <w:t>号文件规定，投标人建设工程资质证书有效期于</w:t>
      </w:r>
      <w:r>
        <w:rPr>
          <w:b/>
          <w:sz w:val="18"/>
          <w:szCs w:val="16"/>
          <w:highlight w:val="none"/>
        </w:rPr>
        <w:t>2020</w:t>
      </w:r>
      <w:r>
        <w:rPr>
          <w:rFonts w:hint="eastAsia"/>
          <w:b/>
          <w:sz w:val="18"/>
          <w:szCs w:val="16"/>
          <w:highlight w:val="none"/>
        </w:rPr>
        <w:t>年</w:t>
      </w:r>
      <w:r>
        <w:rPr>
          <w:b/>
          <w:sz w:val="18"/>
          <w:szCs w:val="16"/>
          <w:highlight w:val="none"/>
        </w:rPr>
        <w:t>7</w:t>
      </w:r>
      <w:r>
        <w:rPr>
          <w:rFonts w:hint="eastAsia"/>
          <w:b/>
          <w:sz w:val="18"/>
          <w:szCs w:val="16"/>
          <w:highlight w:val="none"/>
        </w:rPr>
        <w:t>月</w:t>
      </w:r>
      <w:r>
        <w:rPr>
          <w:b/>
          <w:sz w:val="18"/>
          <w:szCs w:val="16"/>
          <w:highlight w:val="none"/>
        </w:rPr>
        <w:t>1</w:t>
      </w:r>
      <w:r>
        <w:rPr>
          <w:rFonts w:hint="eastAsia"/>
          <w:b/>
          <w:sz w:val="18"/>
          <w:szCs w:val="16"/>
          <w:highlight w:val="none"/>
        </w:rPr>
        <w:t>日至</w:t>
      </w:r>
      <w:r>
        <w:rPr>
          <w:b/>
          <w:sz w:val="18"/>
          <w:szCs w:val="16"/>
          <w:highlight w:val="none"/>
        </w:rPr>
        <w:t>2021</w:t>
      </w:r>
      <w:r>
        <w:rPr>
          <w:rFonts w:hint="eastAsia"/>
          <w:b/>
          <w:sz w:val="18"/>
          <w:szCs w:val="16"/>
          <w:highlight w:val="none"/>
        </w:rPr>
        <w:t>年</w:t>
      </w:r>
      <w:r>
        <w:rPr>
          <w:b/>
          <w:sz w:val="18"/>
          <w:szCs w:val="16"/>
          <w:highlight w:val="none"/>
        </w:rPr>
        <w:t>12</w:t>
      </w:r>
      <w:r>
        <w:rPr>
          <w:rFonts w:hint="eastAsia"/>
          <w:b/>
          <w:sz w:val="18"/>
          <w:szCs w:val="16"/>
          <w:highlight w:val="none"/>
        </w:rPr>
        <w:t>月</w:t>
      </w:r>
      <w:r>
        <w:rPr>
          <w:b/>
          <w:sz w:val="18"/>
          <w:szCs w:val="16"/>
          <w:highlight w:val="none"/>
        </w:rPr>
        <w:t>30</w:t>
      </w:r>
      <w:r>
        <w:rPr>
          <w:rFonts w:hint="eastAsia"/>
          <w:b/>
          <w:sz w:val="18"/>
          <w:szCs w:val="16"/>
          <w:highlight w:val="none"/>
        </w:rPr>
        <w:t>日期满的，统一延期至</w:t>
      </w:r>
      <w:r>
        <w:rPr>
          <w:b/>
          <w:sz w:val="18"/>
          <w:szCs w:val="16"/>
          <w:highlight w:val="none"/>
        </w:rPr>
        <w:t>2021</w:t>
      </w:r>
      <w:r>
        <w:rPr>
          <w:rFonts w:hint="eastAsia"/>
          <w:b/>
          <w:sz w:val="18"/>
          <w:szCs w:val="16"/>
          <w:highlight w:val="none"/>
        </w:rPr>
        <w:t>年</w:t>
      </w:r>
      <w:r>
        <w:rPr>
          <w:b/>
          <w:sz w:val="18"/>
          <w:szCs w:val="16"/>
          <w:highlight w:val="none"/>
        </w:rPr>
        <w:t>12</w:t>
      </w:r>
      <w:r>
        <w:rPr>
          <w:rFonts w:hint="eastAsia"/>
          <w:b/>
          <w:sz w:val="18"/>
          <w:szCs w:val="16"/>
          <w:highlight w:val="none"/>
        </w:rPr>
        <w:t>月</w:t>
      </w:r>
      <w:r>
        <w:rPr>
          <w:b/>
          <w:sz w:val="18"/>
          <w:szCs w:val="16"/>
          <w:highlight w:val="none"/>
        </w:rPr>
        <w:t>31</w:t>
      </w:r>
      <w:r>
        <w:rPr>
          <w:rFonts w:hint="eastAsia"/>
          <w:b/>
          <w:sz w:val="18"/>
          <w:szCs w:val="16"/>
          <w:highlight w:val="none"/>
        </w:rPr>
        <w:t>日、资质证书有效期于</w:t>
      </w:r>
      <w:r>
        <w:rPr>
          <w:b/>
          <w:sz w:val="18"/>
          <w:szCs w:val="16"/>
          <w:highlight w:val="none"/>
        </w:rPr>
        <w:t>2021</w:t>
      </w:r>
      <w:r>
        <w:rPr>
          <w:rFonts w:hint="eastAsia"/>
          <w:b/>
          <w:sz w:val="18"/>
          <w:szCs w:val="16"/>
          <w:highlight w:val="none"/>
        </w:rPr>
        <w:t>年</w:t>
      </w:r>
      <w:r>
        <w:rPr>
          <w:b/>
          <w:sz w:val="18"/>
          <w:szCs w:val="16"/>
          <w:highlight w:val="none"/>
        </w:rPr>
        <w:t>12</w:t>
      </w:r>
      <w:r>
        <w:rPr>
          <w:rFonts w:hint="eastAsia"/>
          <w:b/>
          <w:sz w:val="18"/>
          <w:szCs w:val="16"/>
          <w:highlight w:val="none"/>
        </w:rPr>
        <w:t>月</w:t>
      </w:r>
      <w:r>
        <w:rPr>
          <w:b/>
          <w:sz w:val="18"/>
          <w:szCs w:val="16"/>
          <w:highlight w:val="none"/>
        </w:rPr>
        <w:t>31</w:t>
      </w:r>
      <w:r>
        <w:rPr>
          <w:rFonts w:hint="eastAsia"/>
          <w:b/>
          <w:sz w:val="18"/>
          <w:szCs w:val="16"/>
          <w:highlight w:val="none"/>
        </w:rPr>
        <w:t>日至</w:t>
      </w:r>
      <w:r>
        <w:rPr>
          <w:b/>
          <w:sz w:val="18"/>
          <w:szCs w:val="16"/>
          <w:highlight w:val="none"/>
        </w:rPr>
        <w:t>2022</w:t>
      </w:r>
      <w:r>
        <w:rPr>
          <w:rFonts w:hint="eastAsia"/>
          <w:b/>
          <w:sz w:val="18"/>
          <w:szCs w:val="16"/>
          <w:highlight w:val="none"/>
        </w:rPr>
        <w:t>年</w:t>
      </w:r>
      <w:r>
        <w:rPr>
          <w:b/>
          <w:sz w:val="18"/>
          <w:szCs w:val="16"/>
          <w:highlight w:val="none"/>
        </w:rPr>
        <w:t>12</w:t>
      </w:r>
      <w:r>
        <w:rPr>
          <w:rFonts w:hint="eastAsia"/>
          <w:b/>
          <w:sz w:val="18"/>
          <w:szCs w:val="16"/>
          <w:highlight w:val="none"/>
        </w:rPr>
        <w:t>月</w:t>
      </w:r>
      <w:r>
        <w:rPr>
          <w:b/>
          <w:sz w:val="18"/>
          <w:szCs w:val="16"/>
          <w:highlight w:val="none"/>
        </w:rPr>
        <w:t>30</w:t>
      </w:r>
      <w:r>
        <w:rPr>
          <w:rFonts w:hint="eastAsia"/>
          <w:b/>
          <w:sz w:val="18"/>
          <w:szCs w:val="16"/>
          <w:highlight w:val="none"/>
        </w:rPr>
        <w:t>日届满的，统一延期至</w:t>
      </w:r>
      <w:r>
        <w:rPr>
          <w:b/>
          <w:sz w:val="18"/>
          <w:szCs w:val="16"/>
          <w:highlight w:val="none"/>
        </w:rPr>
        <w:t>2022</w:t>
      </w:r>
      <w:r>
        <w:rPr>
          <w:rFonts w:hint="eastAsia"/>
          <w:b/>
          <w:sz w:val="18"/>
          <w:szCs w:val="16"/>
          <w:highlight w:val="none"/>
        </w:rPr>
        <w:t>年</w:t>
      </w:r>
      <w:r>
        <w:rPr>
          <w:b/>
          <w:sz w:val="18"/>
          <w:szCs w:val="16"/>
          <w:highlight w:val="none"/>
        </w:rPr>
        <w:t>12</w:t>
      </w:r>
      <w:r>
        <w:rPr>
          <w:rFonts w:hint="eastAsia"/>
          <w:b/>
          <w:sz w:val="18"/>
          <w:szCs w:val="16"/>
          <w:highlight w:val="none"/>
        </w:rPr>
        <w:t>月</w:t>
      </w:r>
      <w:r>
        <w:rPr>
          <w:b/>
          <w:sz w:val="18"/>
          <w:szCs w:val="16"/>
          <w:highlight w:val="none"/>
        </w:rPr>
        <w:t>31</w:t>
      </w:r>
      <w:r>
        <w:rPr>
          <w:rFonts w:hint="eastAsia"/>
          <w:b/>
          <w:sz w:val="18"/>
          <w:szCs w:val="16"/>
          <w:highlight w:val="none"/>
        </w:rPr>
        <w:t>日。</w:t>
      </w:r>
    </w:p>
    <w:p>
      <w:pPr>
        <w:rPr>
          <w:rFonts w:ascii="宋体" w:hAnsi="宋体"/>
          <w:sz w:val="24"/>
          <w:szCs w:val="24"/>
          <w:highlight w:val="none"/>
        </w:rPr>
      </w:pPr>
    </w:p>
    <w:p>
      <w:pPr>
        <w:jc w:val="center"/>
        <w:rPr>
          <w:rFonts w:ascii="宋体" w:hAnsi="宋体"/>
          <w:b/>
          <w:sz w:val="30"/>
          <w:szCs w:val="30"/>
          <w:highlight w:val="none"/>
        </w:rPr>
      </w:pPr>
    </w:p>
    <w:p>
      <w:pPr>
        <w:jc w:val="center"/>
        <w:rPr>
          <w:rFonts w:ascii="宋体" w:hAnsi="宋体"/>
          <w:b/>
          <w:sz w:val="30"/>
          <w:szCs w:val="30"/>
          <w:highlight w:val="none"/>
        </w:rPr>
      </w:pPr>
      <w:r>
        <w:rPr>
          <w:rFonts w:hint="eastAsia" w:ascii="宋体" w:hAnsi="宋体"/>
          <w:b/>
          <w:sz w:val="30"/>
          <w:szCs w:val="30"/>
          <w:highlight w:val="none"/>
        </w:rPr>
        <w:t>附录</w:t>
      </w:r>
      <w:r>
        <w:rPr>
          <w:rFonts w:ascii="宋体" w:hAnsi="宋体"/>
          <w:b/>
          <w:sz w:val="30"/>
          <w:szCs w:val="30"/>
          <w:highlight w:val="none"/>
        </w:rPr>
        <w:t xml:space="preserve">2  </w:t>
      </w:r>
      <w:r>
        <w:rPr>
          <w:rFonts w:hint="eastAsia" w:ascii="宋体" w:hAnsi="宋体"/>
          <w:b/>
          <w:sz w:val="30"/>
          <w:szCs w:val="30"/>
          <w:highlight w:val="none"/>
        </w:rPr>
        <w:t>资格审查条件（财务最低要求）</w:t>
      </w:r>
    </w:p>
    <w:p>
      <w:pPr>
        <w:jc w:val="center"/>
        <w:rPr>
          <w:rFonts w:ascii="宋体" w:hAnsi="宋体"/>
          <w:b/>
          <w:sz w:val="30"/>
          <w:szCs w:val="30"/>
          <w:highlight w:val="none"/>
        </w:rPr>
      </w:pPr>
    </w:p>
    <w:tbl>
      <w:tblPr>
        <w:tblStyle w:val="7"/>
        <w:tblW w:w="89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942" w:type="dxa"/>
            <w:vAlign w:val="center"/>
          </w:tcPr>
          <w:p>
            <w:pPr>
              <w:spacing w:line="360" w:lineRule="auto"/>
              <w:jc w:val="center"/>
              <w:rPr>
                <w:b/>
                <w:kern w:val="0"/>
                <w:sz w:val="24"/>
                <w:szCs w:val="24"/>
                <w:highlight w:val="none"/>
              </w:rPr>
            </w:pPr>
            <w:r>
              <w:rPr>
                <w:rFonts w:hint="eastAsia" w:ascii="宋体" w:hAnsi="宋体"/>
                <w:kern w:val="0"/>
                <w:sz w:val="24"/>
                <w:szCs w:val="24"/>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942" w:type="dxa"/>
            <w:vAlign w:val="center"/>
          </w:tcPr>
          <w:p>
            <w:pPr>
              <w:spacing w:line="360" w:lineRule="auto"/>
              <w:rPr>
                <w:kern w:val="0"/>
                <w:sz w:val="24"/>
                <w:highlight w:val="none"/>
              </w:rPr>
            </w:pPr>
            <w:r>
              <w:rPr>
                <w:kern w:val="0"/>
                <w:sz w:val="24"/>
                <w:szCs w:val="24"/>
                <w:highlight w:val="none"/>
              </w:rPr>
              <w:t xml:space="preserve">  1</w:t>
            </w:r>
            <w:r>
              <w:rPr>
                <w:rFonts w:hint="eastAsia"/>
                <w:kern w:val="0"/>
                <w:sz w:val="24"/>
                <w:szCs w:val="24"/>
                <w:highlight w:val="none"/>
              </w:rPr>
              <w:t>、</w:t>
            </w:r>
            <w:r>
              <w:rPr>
                <w:kern w:val="0"/>
                <w:sz w:val="24"/>
                <w:szCs w:val="24"/>
                <w:highlight w:val="none"/>
              </w:rPr>
              <w:t>2018</w:t>
            </w:r>
            <w:r>
              <w:rPr>
                <w:rFonts w:hint="eastAsia"/>
                <w:kern w:val="0"/>
                <w:sz w:val="24"/>
                <w:szCs w:val="24"/>
                <w:highlight w:val="none"/>
              </w:rPr>
              <w:t>、</w:t>
            </w:r>
            <w:r>
              <w:rPr>
                <w:kern w:val="0"/>
                <w:sz w:val="24"/>
                <w:szCs w:val="24"/>
                <w:highlight w:val="none"/>
              </w:rPr>
              <w:t>2019</w:t>
            </w:r>
            <w:r>
              <w:rPr>
                <w:rFonts w:hint="eastAsia"/>
                <w:kern w:val="0"/>
                <w:sz w:val="24"/>
                <w:szCs w:val="24"/>
                <w:highlight w:val="none"/>
              </w:rPr>
              <w:t>、</w:t>
            </w:r>
            <w:r>
              <w:rPr>
                <w:kern w:val="0"/>
                <w:sz w:val="24"/>
                <w:szCs w:val="24"/>
                <w:highlight w:val="none"/>
              </w:rPr>
              <w:t>2020</w:t>
            </w:r>
            <w:r>
              <w:rPr>
                <w:rFonts w:hint="eastAsia"/>
                <w:kern w:val="0"/>
                <w:sz w:val="24"/>
                <w:szCs w:val="24"/>
                <w:highlight w:val="none"/>
              </w:rPr>
              <w:t>年度财务会计报表中流动比率大于</w:t>
            </w:r>
            <w:r>
              <w:rPr>
                <w:kern w:val="0"/>
                <w:sz w:val="24"/>
                <w:szCs w:val="24"/>
                <w:highlight w:val="none"/>
              </w:rPr>
              <w:t>1</w:t>
            </w:r>
            <w:r>
              <w:rPr>
                <w:rFonts w:hint="eastAsia"/>
                <w:kern w:val="0"/>
                <w:sz w:val="24"/>
                <w:szCs w:val="24"/>
                <w:highlight w:val="none"/>
              </w:rPr>
              <w:t>；</w:t>
            </w:r>
          </w:p>
        </w:tc>
      </w:tr>
    </w:tbl>
    <w:p>
      <w:pPr>
        <w:spacing w:line="360" w:lineRule="exact"/>
        <w:ind w:left="632" w:hanging="632" w:hangingChars="350"/>
        <w:rPr>
          <w:b/>
          <w:bCs/>
          <w:sz w:val="18"/>
          <w:szCs w:val="18"/>
          <w:highlight w:val="none"/>
        </w:rPr>
      </w:pPr>
      <w:r>
        <w:rPr>
          <w:rFonts w:hint="eastAsia"/>
          <w:b/>
          <w:bCs/>
          <w:sz w:val="18"/>
          <w:szCs w:val="18"/>
          <w:highlight w:val="none"/>
        </w:rPr>
        <w:t>注</w:t>
      </w:r>
      <w:r>
        <w:rPr>
          <w:rFonts w:hint="eastAsia" w:ascii="宋体" w:hAnsi="宋体"/>
          <w:b/>
          <w:sz w:val="24"/>
          <w:highlight w:val="none"/>
        </w:rPr>
        <w:t>：</w:t>
      </w:r>
      <w:r>
        <w:rPr>
          <w:rFonts w:hint="eastAsia" w:ascii="宋体" w:hAnsi="宋体"/>
          <w:b/>
          <w:bCs/>
          <w:sz w:val="18"/>
          <w:szCs w:val="18"/>
          <w:highlight w:val="none"/>
        </w:rPr>
        <w:t>投标人若为联合体投标，仅审查联合体牵头单位财务报告。流动比=</w:t>
      </w:r>
      <w:r>
        <w:rPr>
          <w:highlight w:val="none"/>
        </w:rPr>
        <w:fldChar w:fldCharType="begin"/>
      </w:r>
      <w:r>
        <w:rPr>
          <w:highlight w:val="none"/>
        </w:rPr>
        <w:instrText xml:space="preserve"> HYPERLINK "https://baike.so.com/doc/5004931-5229715.html" \t "https://baike.so.com/doc/_blank" </w:instrText>
      </w:r>
      <w:r>
        <w:rPr>
          <w:highlight w:val="none"/>
        </w:rPr>
        <w:fldChar w:fldCharType="separate"/>
      </w:r>
      <w:r>
        <w:rPr>
          <w:rFonts w:hint="eastAsia" w:ascii="宋体" w:hAnsi="宋体"/>
          <w:b/>
          <w:bCs/>
          <w:sz w:val="18"/>
          <w:szCs w:val="18"/>
          <w:highlight w:val="none"/>
        </w:rPr>
        <w:t>流动资产</w:t>
      </w:r>
      <w:r>
        <w:rPr>
          <w:rFonts w:hint="eastAsia" w:ascii="宋体" w:hAnsi="宋体"/>
          <w:b/>
          <w:bCs/>
          <w:sz w:val="18"/>
          <w:szCs w:val="18"/>
          <w:highlight w:val="none"/>
        </w:rPr>
        <w:fldChar w:fldCharType="end"/>
      </w:r>
      <w:r>
        <w:rPr>
          <w:rFonts w:hint="eastAsia" w:ascii="宋体" w:hAnsi="宋体"/>
          <w:b/>
          <w:bCs/>
          <w:sz w:val="18"/>
          <w:szCs w:val="18"/>
          <w:highlight w:val="none"/>
        </w:rPr>
        <w:t>/流动负债。</w:t>
      </w:r>
    </w:p>
    <w:p>
      <w:pPr>
        <w:spacing w:line="360" w:lineRule="exact"/>
        <w:ind w:left="632" w:hanging="632" w:hangingChars="350"/>
        <w:rPr>
          <w:b/>
          <w:bCs/>
          <w:sz w:val="18"/>
          <w:szCs w:val="18"/>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pStyle w:val="2"/>
        <w:rPr>
          <w:highlight w:val="none"/>
        </w:rPr>
      </w:pPr>
    </w:p>
    <w:p>
      <w:pPr>
        <w:jc w:val="center"/>
        <w:rPr>
          <w:rFonts w:ascii="宋体" w:hAnsi="宋体"/>
          <w:b/>
          <w:sz w:val="30"/>
          <w:szCs w:val="30"/>
          <w:highlight w:val="none"/>
        </w:rPr>
      </w:pPr>
    </w:p>
    <w:p>
      <w:pPr>
        <w:jc w:val="center"/>
        <w:rPr>
          <w:rFonts w:ascii="宋体" w:hAnsi="宋体"/>
          <w:b/>
          <w:sz w:val="30"/>
          <w:szCs w:val="30"/>
          <w:highlight w:val="none"/>
        </w:rPr>
      </w:pPr>
      <w:r>
        <w:rPr>
          <w:rFonts w:hint="eastAsia" w:ascii="宋体" w:hAnsi="宋体"/>
          <w:b/>
          <w:sz w:val="30"/>
          <w:szCs w:val="30"/>
          <w:highlight w:val="none"/>
        </w:rPr>
        <w:t>附录</w:t>
      </w:r>
      <w:r>
        <w:rPr>
          <w:rFonts w:ascii="宋体" w:hAnsi="宋体"/>
          <w:b/>
          <w:sz w:val="30"/>
          <w:szCs w:val="30"/>
          <w:highlight w:val="none"/>
        </w:rPr>
        <w:t xml:space="preserve">3  </w:t>
      </w:r>
      <w:r>
        <w:rPr>
          <w:rFonts w:hint="eastAsia" w:ascii="宋体" w:hAnsi="宋体"/>
          <w:b/>
          <w:sz w:val="30"/>
          <w:szCs w:val="30"/>
          <w:highlight w:val="none"/>
        </w:rPr>
        <w:t>资格审查条件（业绩最低要求）</w:t>
      </w:r>
    </w:p>
    <w:tbl>
      <w:tblPr>
        <w:tblStyle w:val="7"/>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2857" w:type="dxa"/>
            <w:vAlign w:val="center"/>
          </w:tcPr>
          <w:p>
            <w:pPr>
              <w:snapToGrid w:val="0"/>
              <w:spacing w:line="360" w:lineRule="auto"/>
              <w:jc w:val="center"/>
              <w:rPr>
                <w:b/>
                <w:sz w:val="24"/>
                <w:highlight w:val="none"/>
              </w:rPr>
            </w:pPr>
            <w:r>
              <w:rPr>
                <w:rFonts w:hint="eastAsia"/>
                <w:b/>
                <w:sz w:val="24"/>
                <w:highlight w:val="none"/>
              </w:rPr>
              <w:t>类型</w:t>
            </w:r>
          </w:p>
        </w:tc>
        <w:tc>
          <w:tcPr>
            <w:tcW w:w="6540" w:type="dxa"/>
            <w:vAlign w:val="center"/>
          </w:tcPr>
          <w:p>
            <w:pPr>
              <w:snapToGrid w:val="0"/>
              <w:spacing w:line="360" w:lineRule="auto"/>
              <w:ind w:firstLine="482" w:firstLineChars="200"/>
              <w:jc w:val="center"/>
              <w:rPr>
                <w:b/>
                <w:sz w:val="24"/>
                <w:highlight w:val="none"/>
              </w:rPr>
            </w:pPr>
            <w:r>
              <w:rPr>
                <w:rFonts w:hint="eastAsia"/>
                <w:b/>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857" w:type="dxa"/>
            <w:vAlign w:val="center"/>
          </w:tcPr>
          <w:p>
            <w:pPr>
              <w:snapToGrid w:val="0"/>
              <w:spacing w:line="360" w:lineRule="auto"/>
              <w:jc w:val="center"/>
              <w:rPr>
                <w:sz w:val="24"/>
                <w:highlight w:val="none"/>
              </w:rPr>
            </w:pPr>
            <w:r>
              <w:rPr>
                <w:rFonts w:hint="eastAsia"/>
                <w:sz w:val="24"/>
                <w:highlight w:val="none"/>
              </w:rPr>
              <w:t>施工业绩</w:t>
            </w:r>
          </w:p>
        </w:tc>
        <w:tc>
          <w:tcPr>
            <w:tcW w:w="6540" w:type="dxa"/>
            <w:vAlign w:val="center"/>
          </w:tcPr>
          <w:p>
            <w:pPr>
              <w:snapToGrid w:val="0"/>
              <w:spacing w:line="360" w:lineRule="auto"/>
              <w:ind w:firstLine="602" w:firstLineChars="200"/>
              <w:jc w:val="center"/>
              <w:rPr>
                <w:rFonts w:ascii="宋体" w:hAnsi="宋体"/>
                <w:b/>
                <w:sz w:val="30"/>
                <w:highlight w:val="none"/>
              </w:rPr>
            </w:pPr>
            <w:r>
              <w:rPr>
                <w:rFonts w:hint="eastAsia" w:ascii="宋体" w:hAnsi="宋体"/>
                <w:b/>
                <w:sz w:val="30"/>
                <w:szCs w:val="30"/>
                <w:highlight w:val="none"/>
              </w:rPr>
              <w:t>无业绩最低要求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857" w:type="dxa"/>
            <w:vAlign w:val="center"/>
          </w:tcPr>
          <w:p>
            <w:pPr>
              <w:snapToGrid w:val="0"/>
              <w:spacing w:line="360" w:lineRule="auto"/>
              <w:jc w:val="center"/>
              <w:rPr>
                <w:sz w:val="24"/>
                <w:highlight w:val="none"/>
              </w:rPr>
            </w:pPr>
            <w:r>
              <w:rPr>
                <w:rFonts w:hint="eastAsia"/>
                <w:sz w:val="24"/>
                <w:highlight w:val="none"/>
              </w:rPr>
              <w:t>设计业绩</w:t>
            </w:r>
          </w:p>
        </w:tc>
        <w:tc>
          <w:tcPr>
            <w:tcW w:w="6540" w:type="dxa"/>
            <w:vAlign w:val="center"/>
          </w:tcPr>
          <w:p>
            <w:pPr>
              <w:snapToGrid w:val="0"/>
              <w:spacing w:line="360" w:lineRule="auto"/>
              <w:ind w:firstLine="602" w:firstLineChars="200"/>
              <w:jc w:val="center"/>
              <w:rPr>
                <w:rFonts w:ascii="宋体" w:hAnsi="宋体"/>
                <w:b/>
                <w:sz w:val="30"/>
                <w:highlight w:val="none"/>
              </w:rPr>
            </w:pPr>
            <w:r>
              <w:rPr>
                <w:rFonts w:hint="eastAsia" w:ascii="宋体" w:hAnsi="宋体"/>
                <w:b/>
                <w:sz w:val="30"/>
                <w:szCs w:val="30"/>
                <w:highlight w:val="none"/>
              </w:rPr>
              <w:t>无业绩最低要求</w:t>
            </w:r>
          </w:p>
        </w:tc>
      </w:tr>
    </w:tbl>
    <w:p>
      <w:pPr>
        <w:rPr>
          <w:rFonts w:ascii="宋体" w:hAnsi="宋体"/>
          <w:szCs w:val="21"/>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r>
        <w:rPr>
          <w:rFonts w:hint="eastAsia" w:ascii="宋体" w:hAnsi="宋体"/>
          <w:b/>
          <w:sz w:val="30"/>
          <w:szCs w:val="30"/>
          <w:highlight w:val="none"/>
        </w:rPr>
        <w:t>附录</w:t>
      </w:r>
      <w:r>
        <w:rPr>
          <w:rFonts w:ascii="宋体" w:hAnsi="宋体"/>
          <w:b/>
          <w:sz w:val="30"/>
          <w:szCs w:val="30"/>
          <w:highlight w:val="none"/>
        </w:rPr>
        <w:t xml:space="preserve">4  </w:t>
      </w:r>
      <w:r>
        <w:rPr>
          <w:rFonts w:hint="eastAsia" w:ascii="宋体" w:hAnsi="宋体"/>
          <w:b/>
          <w:sz w:val="30"/>
          <w:szCs w:val="30"/>
          <w:highlight w:val="none"/>
        </w:rPr>
        <w:t>资格审查条件（信誉最低要求）</w:t>
      </w:r>
    </w:p>
    <w:p>
      <w:pPr>
        <w:spacing w:line="480" w:lineRule="auto"/>
        <w:jc w:val="center"/>
        <w:textAlignment w:val="baseline"/>
        <w:rPr>
          <w:rFonts w:ascii="宋体" w:hAnsi="宋体"/>
          <w:sz w:val="24"/>
          <w:highlight w:val="none"/>
          <w:vertAlign w:val="superscript"/>
        </w:rPr>
      </w:pPr>
    </w:p>
    <w:tbl>
      <w:tblPr>
        <w:tblStyle w:val="7"/>
        <w:tblW w:w="97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09" w:type="dxa"/>
            <w:vAlign w:val="center"/>
          </w:tcPr>
          <w:p>
            <w:pPr>
              <w:spacing w:line="480" w:lineRule="auto"/>
              <w:jc w:val="center"/>
              <w:textAlignment w:val="baseline"/>
              <w:rPr>
                <w:rFonts w:ascii="宋体" w:hAnsi="宋体"/>
                <w:sz w:val="24"/>
                <w:highlight w:val="none"/>
              </w:rPr>
            </w:pPr>
            <w:r>
              <w:rPr>
                <w:rFonts w:hint="eastAsia" w:ascii="宋体" w:hAnsi="宋体"/>
                <w:sz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9709" w:type="dxa"/>
            <w:vAlign w:val="center"/>
          </w:tcPr>
          <w:p>
            <w:pPr>
              <w:spacing w:line="420" w:lineRule="exact"/>
              <w:rPr>
                <w:rFonts w:ascii="宋体" w:hAnsi="宋体"/>
                <w:highlight w:val="none"/>
              </w:rPr>
            </w:pPr>
            <w:r>
              <w:rPr>
                <w:rFonts w:asciiTheme="minorEastAsia" w:hAnsiTheme="minorEastAsia" w:eastAsiaTheme="minorEastAsia"/>
                <w:sz w:val="24"/>
                <w:szCs w:val="24"/>
                <w:highlight w:val="none"/>
              </w:rPr>
              <w:t>1． 投标人在最新贵州省交通建设市场从业单位信用评价的综合考核定级中，未被评价为D级；未进行评价的企业按</w:t>
            </w:r>
            <w:r>
              <w:rPr>
                <w:rFonts w:hint="eastAsia" w:asciiTheme="minorEastAsia" w:hAnsiTheme="minorEastAsia" w:eastAsiaTheme="minorEastAsia"/>
                <w:sz w:val="24"/>
                <w:szCs w:val="24"/>
                <w:highlight w:val="none"/>
              </w:rPr>
              <w:t>《贵州省高速公路设计施工企业信用评价实施细则（试行）》的通知</w:t>
            </w:r>
            <w:r>
              <w:rPr>
                <w:rFonts w:asciiTheme="minorEastAsia" w:hAnsiTheme="minorEastAsia" w:eastAsiaTheme="minorEastAsia"/>
                <w:sz w:val="24"/>
                <w:szCs w:val="24"/>
                <w:highlight w:val="none"/>
              </w:rPr>
              <w:t>（黔交建设〔2016〕279</w:t>
            </w:r>
            <w:r>
              <w:rPr>
                <w:rFonts w:hint="eastAsia" w:asciiTheme="minorEastAsia" w:hAnsiTheme="minorEastAsia" w:eastAsiaTheme="minorEastAsia"/>
                <w:sz w:val="24"/>
                <w:szCs w:val="24"/>
                <w:highlight w:val="none"/>
              </w:rPr>
              <w:t>号文件）和《关于高速公路设计施工企业信用评价结果引用的补充通知》（黔交建设</w:t>
            </w:r>
            <w:r>
              <w:rPr>
                <w:rFonts w:asciiTheme="minorEastAsia" w:hAnsiTheme="minorEastAsia" w:eastAsiaTheme="minorEastAsia"/>
                <w:sz w:val="24"/>
                <w:szCs w:val="24"/>
                <w:highlight w:val="none"/>
              </w:rPr>
              <w:t>〔2016〕291号文件）（可在贵州省交通运输厅网站http://jt.guizhou.gov.cn/上查询）规定确定的最新信用</w:t>
            </w:r>
            <w:r>
              <w:rPr>
                <w:rFonts w:hint="eastAsia" w:cs="Arial" w:asciiTheme="minorEastAsia" w:hAnsiTheme="minorEastAsia" w:eastAsiaTheme="minorEastAsia"/>
                <w:kern w:val="0"/>
                <w:sz w:val="24"/>
                <w:szCs w:val="21"/>
                <w:highlight w:val="none"/>
              </w:rPr>
              <w:t>（</w:t>
            </w:r>
            <w:r>
              <w:rPr>
                <w:rFonts w:hint="eastAsia" w:hAnsi="宋体"/>
                <w:sz w:val="24"/>
                <w:szCs w:val="24"/>
                <w:highlight w:val="none"/>
              </w:rPr>
              <w:t>本项目</w:t>
            </w:r>
            <w:r>
              <w:rPr>
                <w:rFonts w:hint="eastAsia" w:ascii="宋体" w:hAnsi="宋体"/>
                <w:sz w:val="24"/>
                <w:szCs w:val="24"/>
                <w:highlight w:val="none"/>
              </w:rPr>
              <w:t>设计单位投标专业为附属工程专业，施工单位本项目投标专业</w:t>
            </w:r>
            <w:r>
              <w:rPr>
                <w:rFonts w:hint="eastAsia"/>
                <w:sz w:val="24"/>
                <w:highlight w:val="none"/>
              </w:rPr>
              <w:t>为机电专业</w:t>
            </w:r>
            <w:r>
              <w:rPr>
                <w:rFonts w:hint="eastAsia" w:cs="Arial" w:asciiTheme="minorEastAsia" w:hAnsiTheme="minorEastAsia" w:eastAsiaTheme="minorEastAsia"/>
                <w:kern w:val="0"/>
                <w:sz w:val="24"/>
                <w:szCs w:val="21"/>
                <w:highlight w:val="none"/>
              </w:rPr>
              <w:t>）</w:t>
            </w:r>
            <w:r>
              <w:rPr>
                <w:rFonts w:asciiTheme="minorEastAsia" w:hAnsiTheme="minorEastAsia" w:eastAsiaTheme="minorEastAsia"/>
                <w:sz w:val="24"/>
                <w:szCs w:val="24"/>
                <w:highlight w:val="none"/>
              </w:rPr>
              <w:t>等级不为D级；</w:t>
            </w:r>
          </w:p>
        </w:tc>
      </w:tr>
    </w:tbl>
    <w:p>
      <w:pPr>
        <w:spacing w:line="360" w:lineRule="auto"/>
        <w:rPr>
          <w:rFonts w:ascii="宋体" w:hAnsi="宋体"/>
          <w:sz w:val="24"/>
          <w:highlight w:val="none"/>
          <w:vertAlign w:val="superscript"/>
        </w:rPr>
      </w:pPr>
    </w:p>
    <w:p>
      <w:pPr>
        <w:rPr>
          <w:rFonts w:ascii="宋体" w:hAnsi="宋体"/>
          <w:highlight w:val="none"/>
        </w:rPr>
      </w:pPr>
    </w:p>
    <w:p>
      <w:pPr>
        <w:jc w:val="center"/>
        <w:rPr>
          <w:rFonts w:ascii="宋体" w:hAnsi="宋体"/>
          <w:b/>
          <w:sz w:val="30"/>
          <w:szCs w:val="30"/>
          <w:highlight w:val="none"/>
        </w:rPr>
      </w:pPr>
      <w:r>
        <w:rPr>
          <w:rFonts w:hint="eastAsia" w:ascii="宋体" w:hAnsi="宋体"/>
          <w:b/>
          <w:sz w:val="30"/>
          <w:szCs w:val="30"/>
          <w:highlight w:val="none"/>
        </w:rPr>
        <w:t>附录</w:t>
      </w:r>
      <w:r>
        <w:rPr>
          <w:rFonts w:ascii="宋体" w:hAnsi="宋体"/>
          <w:b/>
          <w:sz w:val="30"/>
          <w:szCs w:val="30"/>
          <w:highlight w:val="none"/>
        </w:rPr>
        <w:t xml:space="preserve">5 </w:t>
      </w:r>
      <w:r>
        <w:rPr>
          <w:rFonts w:hint="eastAsia" w:ascii="宋体" w:hAnsi="宋体"/>
          <w:b/>
          <w:sz w:val="30"/>
          <w:szCs w:val="30"/>
          <w:highlight w:val="none"/>
        </w:rPr>
        <w:t>资格审查条件（</w:t>
      </w:r>
      <w:r>
        <w:rPr>
          <w:rFonts w:hint="eastAsia" w:eastAsia="黑体"/>
          <w:sz w:val="30"/>
          <w:szCs w:val="30"/>
          <w:highlight w:val="none"/>
        </w:rPr>
        <w:t>项目经理、总工、设计负责人资格要求</w:t>
      </w:r>
      <w:r>
        <w:rPr>
          <w:rFonts w:hint="eastAsia" w:ascii="宋体" w:hAnsi="宋体"/>
          <w:b/>
          <w:sz w:val="30"/>
          <w:szCs w:val="30"/>
          <w:highlight w:val="none"/>
        </w:rPr>
        <w:t>）</w:t>
      </w:r>
    </w:p>
    <w:p>
      <w:pPr>
        <w:spacing w:line="480" w:lineRule="auto"/>
        <w:ind w:firstLine="360" w:firstLineChars="150"/>
        <w:textAlignment w:val="baseline"/>
        <w:rPr>
          <w:rFonts w:ascii="宋体" w:hAnsi="宋体"/>
          <w:sz w:val="24"/>
          <w:highlight w:val="none"/>
          <w:vertAlign w:val="superscript"/>
        </w:rPr>
      </w:pPr>
    </w:p>
    <w:p>
      <w:pPr>
        <w:autoSpaceDE w:val="0"/>
        <w:autoSpaceDN w:val="0"/>
        <w:adjustRightInd w:val="0"/>
        <w:jc w:val="left"/>
        <w:rPr>
          <w:rFonts w:cs="宋体" w:asciiTheme="minorEastAsia" w:hAnsiTheme="minorEastAsia" w:eastAsiaTheme="minorEastAsia"/>
          <w:kern w:val="0"/>
          <w:sz w:val="18"/>
          <w:szCs w:val="18"/>
          <w:highlight w:val="none"/>
        </w:rPr>
      </w:pPr>
      <w:bookmarkStart w:id="0" w:name="_Toc296369546"/>
      <w:bookmarkStart w:id="1" w:name="_Toc268213355"/>
    </w:p>
    <w:tbl>
      <w:tblPr>
        <w:tblStyle w:val="7"/>
        <w:tblW w:w="964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300"/>
        <w:gridCol w:w="579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557" w:type="dxa"/>
            <w:tcBorders>
              <w:tl2br w:val="nil"/>
              <w:tr2bl w:val="nil"/>
            </w:tcBorders>
            <w:vAlign w:val="center"/>
          </w:tcPr>
          <w:p>
            <w:pPr>
              <w:jc w:val="center"/>
              <w:textAlignment w:val="baseline"/>
              <w:rPr>
                <w:rFonts w:ascii="宋体" w:hAnsi="宋体"/>
                <w:sz w:val="24"/>
                <w:highlight w:val="none"/>
              </w:rPr>
            </w:pPr>
            <w:r>
              <w:rPr>
                <w:rFonts w:hint="eastAsia" w:ascii="宋体" w:hAnsi="宋体"/>
                <w:sz w:val="24"/>
                <w:highlight w:val="none"/>
              </w:rPr>
              <w:t>人员</w:t>
            </w:r>
          </w:p>
        </w:tc>
        <w:tc>
          <w:tcPr>
            <w:tcW w:w="1300" w:type="dxa"/>
            <w:tcBorders>
              <w:tl2br w:val="nil"/>
              <w:tr2bl w:val="nil"/>
            </w:tcBorders>
            <w:vAlign w:val="center"/>
          </w:tcPr>
          <w:p>
            <w:pPr>
              <w:jc w:val="center"/>
              <w:textAlignment w:val="baseline"/>
              <w:rPr>
                <w:rFonts w:ascii="宋体" w:hAnsi="宋体"/>
                <w:sz w:val="24"/>
                <w:highlight w:val="none"/>
              </w:rPr>
            </w:pPr>
            <w:r>
              <w:rPr>
                <w:rFonts w:hint="eastAsia" w:ascii="宋体" w:hAnsi="宋体"/>
                <w:sz w:val="24"/>
                <w:highlight w:val="none"/>
              </w:rPr>
              <w:t>数量</w:t>
            </w:r>
          </w:p>
        </w:tc>
        <w:tc>
          <w:tcPr>
            <w:tcW w:w="5791" w:type="dxa"/>
            <w:tcBorders>
              <w:tl2br w:val="nil"/>
              <w:tr2bl w:val="nil"/>
            </w:tcBorders>
            <w:vAlign w:val="center"/>
          </w:tcPr>
          <w:p>
            <w:pPr>
              <w:jc w:val="center"/>
              <w:textAlignment w:val="baseline"/>
              <w:rPr>
                <w:rFonts w:ascii="宋体" w:hAnsi="宋体"/>
                <w:sz w:val="24"/>
                <w:highlight w:val="none"/>
              </w:rPr>
            </w:pPr>
            <w:r>
              <w:rPr>
                <w:rFonts w:hint="eastAsia" w:ascii="宋体" w:hAnsi="宋体"/>
                <w:sz w:val="24"/>
                <w:highlight w:val="none"/>
              </w:rPr>
              <w:t>资格要求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557" w:type="dxa"/>
            <w:tcBorders>
              <w:tl2br w:val="nil"/>
              <w:tr2bl w:val="nil"/>
            </w:tcBorders>
            <w:vAlign w:val="center"/>
          </w:tcPr>
          <w:p>
            <w:pPr>
              <w:jc w:val="center"/>
              <w:rPr>
                <w:rFonts w:ascii="宋体" w:hAnsi="宋体"/>
                <w:sz w:val="24"/>
                <w:highlight w:val="none"/>
              </w:rPr>
            </w:pPr>
            <w:r>
              <w:rPr>
                <w:rFonts w:hint="eastAsia" w:ascii="宋体" w:hAnsi="宋体"/>
                <w:sz w:val="24"/>
                <w:szCs w:val="21"/>
                <w:highlight w:val="none"/>
              </w:rPr>
              <w:t>项目经理</w:t>
            </w:r>
          </w:p>
        </w:tc>
        <w:tc>
          <w:tcPr>
            <w:tcW w:w="1300" w:type="dxa"/>
            <w:tcBorders>
              <w:tl2br w:val="nil"/>
              <w:tr2bl w:val="nil"/>
            </w:tcBorders>
            <w:vAlign w:val="center"/>
          </w:tcPr>
          <w:p>
            <w:pPr>
              <w:jc w:val="center"/>
              <w:rPr>
                <w:rFonts w:ascii="宋体" w:hAnsi="宋体"/>
                <w:sz w:val="24"/>
                <w:highlight w:val="none"/>
              </w:rPr>
            </w:pPr>
            <w:r>
              <w:rPr>
                <w:rFonts w:ascii="宋体" w:hAnsi="宋体"/>
                <w:sz w:val="24"/>
                <w:highlight w:val="none"/>
              </w:rPr>
              <w:t>1</w:t>
            </w:r>
          </w:p>
        </w:tc>
        <w:tc>
          <w:tcPr>
            <w:tcW w:w="5791" w:type="dxa"/>
            <w:tcBorders>
              <w:tl2br w:val="nil"/>
              <w:tr2bl w:val="nil"/>
            </w:tcBorders>
            <w:vAlign w:val="center"/>
          </w:tcPr>
          <w:p>
            <w:pPr>
              <w:ind w:firstLine="480" w:firstLineChars="200"/>
              <w:rPr>
                <w:kern w:val="0"/>
                <w:sz w:val="24"/>
                <w:highlight w:val="none"/>
              </w:rPr>
            </w:pPr>
            <w:r>
              <w:rPr>
                <w:rFonts w:hint="eastAsia"/>
                <w:kern w:val="0"/>
                <w:sz w:val="24"/>
                <w:szCs w:val="24"/>
                <w:highlight w:val="none"/>
              </w:rPr>
              <w:t>机电工程相关专业或公路工程相关专业工程师或以上专业技术职称，持有住房和城乡建设主管部门颁发的一级建造师注册证书（</w:t>
            </w:r>
            <w:r>
              <w:rPr>
                <w:rFonts w:hint="eastAsia"/>
                <w:bCs/>
                <w:kern w:val="0"/>
                <w:sz w:val="24"/>
                <w:szCs w:val="24"/>
                <w:highlight w:val="none"/>
              </w:rPr>
              <w:t>机电工程</w:t>
            </w:r>
            <w:r>
              <w:rPr>
                <w:rFonts w:hint="eastAsia"/>
                <w:kern w:val="0"/>
                <w:sz w:val="24"/>
                <w:szCs w:val="24"/>
                <w:highlight w:val="none"/>
              </w:rPr>
              <w:t>专业），注册单位名称应与投标人的名称一致），持有有效的建设或交通主管部门颁发的安全生产考核合格证书（</w:t>
            </w:r>
            <w:r>
              <w:rPr>
                <w:kern w:val="0"/>
                <w:sz w:val="24"/>
                <w:szCs w:val="24"/>
                <w:highlight w:val="none"/>
              </w:rPr>
              <w:t>B</w:t>
            </w:r>
            <w:r>
              <w:rPr>
                <w:rFonts w:hint="eastAsia"/>
                <w:kern w:val="0"/>
                <w:sz w:val="24"/>
                <w:szCs w:val="24"/>
                <w:highlight w:val="none"/>
              </w:rPr>
              <w:t>类，注册单位名称应与投标人的名称一致）。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57" w:type="dxa"/>
            <w:tcBorders>
              <w:tl2br w:val="nil"/>
              <w:tr2bl w:val="nil"/>
            </w:tcBorders>
            <w:vAlign w:val="center"/>
          </w:tcPr>
          <w:p>
            <w:pPr>
              <w:jc w:val="center"/>
              <w:rPr>
                <w:rFonts w:ascii="宋体" w:hAnsi="宋体"/>
                <w:sz w:val="24"/>
                <w:highlight w:val="none"/>
              </w:rPr>
            </w:pPr>
            <w:r>
              <w:rPr>
                <w:rFonts w:hint="eastAsia"/>
                <w:sz w:val="24"/>
                <w:szCs w:val="21"/>
                <w:highlight w:val="none"/>
              </w:rPr>
              <w:t>设计负责人</w:t>
            </w:r>
          </w:p>
        </w:tc>
        <w:tc>
          <w:tcPr>
            <w:tcW w:w="1300" w:type="dxa"/>
            <w:tcBorders>
              <w:tl2br w:val="nil"/>
              <w:tr2bl w:val="nil"/>
            </w:tcBorders>
            <w:vAlign w:val="center"/>
          </w:tcPr>
          <w:p>
            <w:pPr>
              <w:jc w:val="center"/>
              <w:rPr>
                <w:rFonts w:ascii="宋体" w:hAnsi="宋体"/>
                <w:sz w:val="24"/>
                <w:highlight w:val="none"/>
              </w:rPr>
            </w:pPr>
            <w:r>
              <w:rPr>
                <w:rFonts w:ascii="宋体" w:hAnsi="宋体"/>
                <w:sz w:val="24"/>
                <w:highlight w:val="none"/>
              </w:rPr>
              <w:t>1</w:t>
            </w:r>
          </w:p>
        </w:tc>
        <w:tc>
          <w:tcPr>
            <w:tcW w:w="5791" w:type="dxa"/>
            <w:tcBorders>
              <w:tl2br w:val="nil"/>
              <w:tr2bl w:val="nil"/>
            </w:tcBorders>
            <w:vAlign w:val="center"/>
          </w:tcPr>
          <w:p>
            <w:pPr>
              <w:jc w:val="left"/>
              <w:rPr>
                <w:rFonts w:ascii="宋体" w:hAnsi="宋体"/>
                <w:sz w:val="24"/>
                <w:highlight w:val="none"/>
              </w:rPr>
            </w:pPr>
            <w:r>
              <w:rPr>
                <w:rFonts w:hint="eastAsia"/>
                <w:kern w:val="0"/>
                <w:sz w:val="24"/>
                <w:szCs w:val="24"/>
                <w:highlight w:val="none"/>
              </w:rPr>
              <w:t>机电工程相关专业或公路工程相关专业高级工程师或以上职称。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557" w:type="dxa"/>
            <w:tcBorders>
              <w:tl2br w:val="nil"/>
              <w:tr2bl w:val="nil"/>
            </w:tcBorders>
            <w:vAlign w:val="center"/>
          </w:tcPr>
          <w:p>
            <w:pPr>
              <w:jc w:val="center"/>
              <w:rPr>
                <w:sz w:val="24"/>
                <w:highlight w:val="none"/>
              </w:rPr>
            </w:pPr>
            <w:r>
              <w:rPr>
                <w:rFonts w:hint="eastAsia"/>
                <w:sz w:val="24"/>
                <w:szCs w:val="21"/>
                <w:highlight w:val="none"/>
              </w:rPr>
              <w:t>项目总工</w:t>
            </w:r>
          </w:p>
          <w:p>
            <w:pPr>
              <w:jc w:val="center"/>
              <w:rPr>
                <w:sz w:val="24"/>
                <w:highlight w:val="none"/>
              </w:rPr>
            </w:pPr>
            <w:r>
              <w:rPr>
                <w:rFonts w:hint="eastAsia"/>
                <w:sz w:val="24"/>
                <w:szCs w:val="21"/>
                <w:highlight w:val="none"/>
              </w:rPr>
              <w:t>（施工技术负责人）</w:t>
            </w:r>
          </w:p>
        </w:tc>
        <w:tc>
          <w:tcPr>
            <w:tcW w:w="1300" w:type="dxa"/>
            <w:tcBorders>
              <w:tl2br w:val="nil"/>
              <w:tr2bl w:val="nil"/>
            </w:tcBorders>
            <w:vAlign w:val="center"/>
          </w:tcPr>
          <w:p>
            <w:pPr>
              <w:jc w:val="center"/>
              <w:rPr>
                <w:rFonts w:ascii="宋体" w:hAnsi="宋体"/>
                <w:sz w:val="24"/>
                <w:highlight w:val="none"/>
              </w:rPr>
            </w:pPr>
            <w:r>
              <w:rPr>
                <w:rFonts w:ascii="宋体" w:hAnsi="宋体"/>
                <w:sz w:val="24"/>
                <w:highlight w:val="none"/>
              </w:rPr>
              <w:t>1</w:t>
            </w:r>
          </w:p>
        </w:tc>
        <w:tc>
          <w:tcPr>
            <w:tcW w:w="5791" w:type="dxa"/>
            <w:tcBorders>
              <w:tl2br w:val="nil"/>
              <w:tr2bl w:val="nil"/>
            </w:tcBorders>
            <w:vAlign w:val="center"/>
          </w:tcPr>
          <w:p>
            <w:pPr>
              <w:ind w:firstLine="360" w:firstLineChars="150"/>
              <w:rPr>
                <w:kern w:val="0"/>
                <w:sz w:val="24"/>
                <w:highlight w:val="none"/>
              </w:rPr>
            </w:pPr>
            <w:r>
              <w:rPr>
                <w:rFonts w:hint="eastAsia"/>
                <w:kern w:val="0"/>
                <w:sz w:val="24"/>
                <w:szCs w:val="24"/>
                <w:highlight w:val="none"/>
              </w:rPr>
              <w:t>机电工程相关专业或公路工程相关专业高级工程师或以上专业技术职称，持有有效的建设或交通主管部门颁发的安全生产考核合格证书（</w:t>
            </w:r>
            <w:r>
              <w:rPr>
                <w:kern w:val="0"/>
                <w:sz w:val="24"/>
                <w:szCs w:val="24"/>
                <w:highlight w:val="none"/>
              </w:rPr>
              <w:t>B</w:t>
            </w:r>
            <w:r>
              <w:rPr>
                <w:rFonts w:hint="eastAsia"/>
                <w:kern w:val="0"/>
                <w:sz w:val="24"/>
                <w:szCs w:val="24"/>
                <w:highlight w:val="none"/>
              </w:rPr>
              <w:t>类，注册单位名称应与投标人的名称一致）。</w:t>
            </w:r>
          </w:p>
        </w:tc>
      </w:tr>
    </w:tbl>
    <w:p>
      <w:pPr>
        <w:spacing w:beforeLines="50" w:line="300" w:lineRule="exact"/>
        <w:rPr>
          <w:rFonts w:cs="宋体" w:asciiTheme="minorEastAsia" w:hAnsiTheme="minorEastAsia" w:eastAsiaTheme="minorEastAsia"/>
          <w:kern w:val="0"/>
          <w:sz w:val="18"/>
          <w:szCs w:val="18"/>
          <w:highlight w:val="none"/>
        </w:rPr>
      </w:pPr>
    </w:p>
    <w:p>
      <w:pPr>
        <w:spacing w:beforeLines="50" w:line="300" w:lineRule="exact"/>
        <w:rPr>
          <w:rFonts w:cs="Arial"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注：</w:t>
      </w:r>
      <w:r>
        <w:rPr>
          <w:rFonts w:cs="Arial" w:asciiTheme="minorEastAsia" w:hAnsiTheme="minorEastAsia" w:eastAsiaTheme="minorEastAsia"/>
          <w:sz w:val="18"/>
          <w:szCs w:val="18"/>
          <w:highlight w:val="none"/>
        </w:rPr>
        <w:t>1、建造师注册证书的注册单位、安全生产考核合格证书的持证单位必须与投标单位名称一致，正在办理变更的必须提供发证机关出具的证明文件</w:t>
      </w:r>
      <w:r>
        <w:rPr>
          <w:rFonts w:hint="eastAsia" w:cs="Arial" w:asciiTheme="minorEastAsia" w:hAnsiTheme="minorEastAsia" w:eastAsiaTheme="minorEastAsia"/>
          <w:sz w:val="18"/>
          <w:szCs w:val="18"/>
          <w:highlight w:val="none"/>
        </w:rPr>
        <w:t>（其它证明无效）</w:t>
      </w:r>
      <w:r>
        <w:rPr>
          <w:rFonts w:cs="Arial" w:asciiTheme="minorEastAsia" w:hAnsiTheme="minorEastAsia" w:eastAsiaTheme="minorEastAsia"/>
          <w:sz w:val="18"/>
          <w:szCs w:val="18"/>
          <w:highlight w:val="none"/>
        </w:rPr>
        <w:t>。</w:t>
      </w:r>
      <w:r>
        <w:rPr>
          <w:rFonts w:hint="eastAsia" w:cs="Arial" w:asciiTheme="minorEastAsia" w:hAnsiTheme="minorEastAsia" w:eastAsiaTheme="minorEastAsia"/>
          <w:sz w:val="18"/>
          <w:szCs w:val="18"/>
          <w:highlight w:val="none"/>
        </w:rPr>
        <w:t>项目经理和项目总工（施工技术负责人）的安全生产考核合格证应可从交通运输部</w:t>
      </w:r>
      <w:r>
        <w:rPr>
          <w:rFonts w:cs="Arial" w:asciiTheme="minorEastAsia" w:hAnsiTheme="minorEastAsia" w:eastAsiaTheme="minorEastAsia"/>
          <w:sz w:val="18"/>
          <w:szCs w:val="18"/>
          <w:highlight w:val="none"/>
        </w:rPr>
        <w:t>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spacing w:line="300" w:lineRule="exact"/>
        <w:ind w:firstLine="360"/>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2、根据《交通运输部办公厅关于做好公路水运工程施工企业主要负责人和安全生产管理人员考核管理相关工作的通知》（交办安监函〔2016〕816号）的规定，项目经理</w:t>
      </w:r>
      <w:r>
        <w:rPr>
          <w:rFonts w:hint="eastAsia" w:cs="Arial" w:asciiTheme="minorEastAsia" w:hAnsiTheme="minorEastAsia" w:eastAsiaTheme="minorEastAsia"/>
          <w:sz w:val="18"/>
          <w:szCs w:val="18"/>
          <w:highlight w:val="none"/>
        </w:rPr>
        <w:t>、项目总工（施工技术负责人）提供的</w:t>
      </w:r>
      <w:r>
        <w:rPr>
          <w:rFonts w:cs="Arial" w:asciiTheme="minorEastAsia" w:hAnsiTheme="minorEastAsia" w:eastAsiaTheme="minorEastAsia"/>
          <w:sz w:val="18"/>
          <w:szCs w:val="18"/>
          <w:highlight w:val="none"/>
        </w:rPr>
        <w:t>安全生产考核合格证书（B类证书）必须为新证</w:t>
      </w:r>
      <w:r>
        <w:rPr>
          <w:rFonts w:hint="eastAsia" w:cs="Arial" w:asciiTheme="minorEastAsia" w:hAnsiTheme="minorEastAsia" w:eastAsiaTheme="minorEastAsia"/>
          <w:sz w:val="18"/>
          <w:szCs w:val="18"/>
          <w:highlight w:val="none"/>
        </w:rPr>
        <w:t>。</w:t>
      </w:r>
    </w:p>
    <w:p>
      <w:pPr>
        <w:spacing w:line="300" w:lineRule="exact"/>
        <w:ind w:firstLine="360"/>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3如项目经理或项目总工</w:t>
      </w:r>
      <w:r>
        <w:rPr>
          <w:rFonts w:hint="eastAsia" w:cs="Arial" w:asciiTheme="minorEastAsia" w:hAnsiTheme="minorEastAsia" w:eastAsiaTheme="minorEastAsia"/>
          <w:sz w:val="18"/>
          <w:szCs w:val="18"/>
          <w:highlight w:val="none"/>
        </w:rPr>
        <w:t>（施工技术负责人）、设计负责人</w:t>
      </w:r>
      <w:r>
        <w:rPr>
          <w:rFonts w:cs="Arial" w:asciiTheme="minorEastAsia" w:hAnsiTheme="minorEastAsia" w:eastAsiaTheme="minorEastAsia"/>
          <w:sz w:val="18"/>
          <w:szCs w:val="18"/>
          <w:highlight w:val="none"/>
        </w:rPr>
        <w:t>目前仍在其他项目上任职，</w:t>
      </w:r>
      <w:r>
        <w:rPr>
          <w:rFonts w:hint="eastAsia" w:cs="Arial" w:asciiTheme="minorEastAsia" w:hAnsiTheme="minorEastAsia" w:eastAsiaTheme="minorEastAsia"/>
          <w:sz w:val="18"/>
          <w:szCs w:val="18"/>
          <w:highlight w:val="none"/>
        </w:rPr>
        <w:t>或目前虽未在其他项目上任职，但处于其他招标项目中标公示期或中标公示期已满但尚未签署合同，则投标人应提供上述人员能够从该项目撤离的书面承诺。</w:t>
      </w:r>
    </w:p>
    <w:p>
      <w:pPr>
        <w:ind w:firstLine="270" w:firstLineChars="150"/>
        <w:rPr>
          <w:rFonts w:ascii="宋体" w:hAnsi="宋体" w:cs="Arial"/>
          <w:sz w:val="18"/>
          <w:szCs w:val="18"/>
          <w:highlight w:val="none"/>
        </w:rPr>
      </w:pPr>
      <w:r>
        <w:rPr>
          <w:rFonts w:ascii="宋体" w:hAnsi="宋体" w:cs="Arial"/>
          <w:sz w:val="18"/>
          <w:szCs w:val="18"/>
          <w:highlight w:val="none"/>
        </w:rPr>
        <w:t>4、</w:t>
      </w:r>
      <w:r>
        <w:rPr>
          <w:rFonts w:hint="eastAsia" w:ascii="宋体" w:hAnsi="宋体" w:cs="Arial"/>
          <w:sz w:val="18"/>
          <w:szCs w:val="18"/>
          <w:highlight w:val="none"/>
        </w:rPr>
        <w:t>投标人（含联合体各成员）从社保系统打印的，拟委任的项目经理、项目设计负责人、项目总工（施工技术负责人）从</w:t>
      </w:r>
      <w:r>
        <w:rPr>
          <w:rFonts w:ascii="宋体" w:hAnsi="宋体" w:cs="Arial"/>
          <w:sz w:val="18"/>
          <w:szCs w:val="18"/>
          <w:highlight w:val="none"/>
        </w:rPr>
        <w:t xml:space="preserve">2021 </w:t>
      </w:r>
      <w:r>
        <w:rPr>
          <w:rFonts w:hint="eastAsia" w:ascii="宋体" w:hAnsi="宋体" w:cs="Arial"/>
          <w:sz w:val="18"/>
          <w:szCs w:val="18"/>
          <w:highlight w:val="none"/>
        </w:rPr>
        <w:t>年</w:t>
      </w:r>
      <w:r>
        <w:rPr>
          <w:rFonts w:ascii="宋体" w:hAnsi="宋体" w:cs="Arial"/>
          <w:sz w:val="18"/>
          <w:szCs w:val="18"/>
          <w:highlight w:val="none"/>
        </w:rPr>
        <w:t>6</w:t>
      </w:r>
      <w:r>
        <w:rPr>
          <w:rFonts w:hint="eastAsia" w:ascii="宋体" w:hAnsi="宋体" w:cs="Arial"/>
          <w:sz w:val="18"/>
          <w:szCs w:val="18"/>
          <w:highlight w:val="none"/>
        </w:rPr>
        <w:t>月</w:t>
      </w:r>
      <w:r>
        <w:rPr>
          <w:rFonts w:ascii="宋体" w:hAnsi="宋体" w:cs="Arial"/>
          <w:sz w:val="18"/>
          <w:szCs w:val="18"/>
          <w:highlight w:val="none"/>
        </w:rPr>
        <w:t xml:space="preserve"> 1 </w:t>
      </w:r>
      <w:r>
        <w:rPr>
          <w:rFonts w:hint="eastAsia" w:ascii="宋体" w:hAnsi="宋体" w:cs="Arial"/>
          <w:sz w:val="18"/>
          <w:szCs w:val="18"/>
          <w:highlight w:val="none"/>
        </w:rPr>
        <w:t>日以来至投标截止日的缴费明细或社保局出具的证明。</w:t>
      </w:r>
    </w:p>
    <w:p>
      <w:pPr>
        <w:ind w:firstLine="270" w:firstLineChars="150"/>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5、</w:t>
      </w:r>
      <w:r>
        <w:rPr>
          <w:rFonts w:hint="eastAsia" w:cs="Arial" w:asciiTheme="minorEastAsia" w:hAnsiTheme="minorEastAsia" w:eastAsiaTheme="minorEastAsia"/>
          <w:sz w:val="18"/>
          <w:szCs w:val="18"/>
          <w:highlight w:val="none"/>
        </w:rPr>
        <w:t>本项目对项目经理、项目设计负责人、项目总工（施工技术负责人）无业绩资格要求，但业绩将作为评标给分项。</w:t>
      </w:r>
      <w:r>
        <w:rPr>
          <w:rFonts w:hint="eastAsia" w:ascii="宋体" w:hAnsi="宋体"/>
          <w:sz w:val="18"/>
          <w:szCs w:val="18"/>
          <w:highlight w:val="none"/>
        </w:rPr>
        <w:t>须提供投标人须知</w:t>
      </w:r>
      <w:r>
        <w:rPr>
          <w:rFonts w:ascii="宋体" w:hAnsi="宋体"/>
          <w:sz w:val="18"/>
          <w:szCs w:val="18"/>
          <w:highlight w:val="none"/>
        </w:rPr>
        <w:t>3.5.8款规定的业绩证明材料</w:t>
      </w:r>
      <w:r>
        <w:rPr>
          <w:rFonts w:hint="eastAsia"/>
          <w:sz w:val="18"/>
          <w:szCs w:val="18"/>
          <w:highlight w:val="none"/>
        </w:rPr>
        <w:t>，</w:t>
      </w:r>
      <w:r>
        <w:rPr>
          <w:rFonts w:hint="eastAsia" w:ascii="宋体" w:hAnsi="宋体" w:cs="Arial"/>
          <w:sz w:val="18"/>
          <w:szCs w:val="18"/>
          <w:highlight w:val="none"/>
        </w:rPr>
        <w:t>如投标人提供证明文件信息无法证实投标人拟派</w:t>
      </w:r>
      <w:r>
        <w:rPr>
          <w:rFonts w:ascii="宋体" w:hAnsi="宋体"/>
          <w:sz w:val="18"/>
          <w:szCs w:val="18"/>
          <w:highlight w:val="none"/>
        </w:rPr>
        <w:t>项目经理</w:t>
      </w:r>
      <w:r>
        <w:rPr>
          <w:rFonts w:hint="eastAsia" w:ascii="宋体" w:hAnsi="宋体"/>
          <w:sz w:val="18"/>
          <w:szCs w:val="18"/>
          <w:highlight w:val="none"/>
        </w:rPr>
        <w:t>、项目设计负责人、项目总工</w:t>
      </w:r>
      <w:r>
        <w:rPr>
          <w:rFonts w:hint="eastAsia" w:cs="Arial" w:asciiTheme="minorEastAsia" w:hAnsiTheme="minorEastAsia" w:eastAsiaTheme="minorEastAsia"/>
          <w:sz w:val="18"/>
          <w:szCs w:val="18"/>
          <w:highlight w:val="none"/>
        </w:rPr>
        <w:t>（施工技术负责人）</w:t>
      </w:r>
      <w:r>
        <w:rPr>
          <w:rFonts w:hint="eastAsia" w:ascii="宋体" w:hAnsi="宋体" w:cs="Arial"/>
          <w:sz w:val="18"/>
          <w:szCs w:val="18"/>
          <w:highlight w:val="none"/>
        </w:rPr>
        <w:t>满足评标办法中人员业绩给分要求的，其业绩不予认定。</w:t>
      </w:r>
    </w:p>
    <w:p>
      <w:pPr>
        <w:spacing w:line="300" w:lineRule="auto"/>
        <w:ind w:firstLine="360" w:firstLineChars="200"/>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6、</w:t>
      </w:r>
      <w:r>
        <w:rPr>
          <w:rFonts w:hint="eastAsia" w:cs="Arial" w:asciiTheme="minorEastAsia" w:hAnsiTheme="minorEastAsia" w:eastAsiaTheme="minorEastAsia"/>
          <w:sz w:val="18"/>
          <w:szCs w:val="18"/>
          <w:highlight w:val="none"/>
        </w:rPr>
        <w:t>若为联合体投标，项目经理应为联合体牵头单位拟派人员。</w:t>
      </w:r>
      <w:bookmarkEnd w:id="0"/>
      <w:bookmarkEnd w:id="1"/>
    </w:p>
    <w:p>
      <w:pPr>
        <w:spacing w:line="300" w:lineRule="auto"/>
        <w:ind w:firstLine="360" w:firstLineChars="200"/>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7、根据交通运输部《关于疫情防控期间公路水运工程施工企业主要负责人和安全生产管理人员考核管理有关工作的说明》规定，疫情防控期间安全生产管理人员考核合格证书有效期到期的，有效期自动顺延至疫情防控结束</w:t>
      </w:r>
      <w:r>
        <w:rPr>
          <w:rFonts w:hint="eastAsia" w:cs="Arial" w:asciiTheme="minorEastAsia" w:hAnsiTheme="minorEastAsia" w:eastAsiaTheme="minorEastAsia"/>
          <w:sz w:val="18"/>
          <w:szCs w:val="18"/>
          <w:highlight w:val="none"/>
        </w:rPr>
        <w:t>，若在递交投标文件截止日期前有新规定，从其规定</w:t>
      </w:r>
      <w:r>
        <w:rPr>
          <w:rFonts w:cs="Arial" w:asciiTheme="minorEastAsia" w:hAnsiTheme="minorEastAsia" w:eastAsiaTheme="minorEastAsia"/>
          <w:sz w:val="18"/>
          <w:szCs w:val="18"/>
          <w:highlight w:val="none"/>
        </w:rPr>
        <w:t>。</w:t>
      </w:r>
    </w:p>
    <w:p>
      <w:pPr>
        <w:pStyle w:val="2"/>
        <w:spacing w:line="300" w:lineRule="auto"/>
        <w:ind w:firstLine="360" w:firstLineChars="200"/>
        <w:rPr>
          <w:highlight w:val="none"/>
        </w:rPr>
      </w:pPr>
    </w:p>
    <w:p>
      <w:pPr>
        <w:pStyle w:val="6"/>
        <w:spacing w:before="0" w:after="0" w:line="420" w:lineRule="atLeast"/>
        <w:jc w:val="center"/>
        <w:rPr>
          <w:rFonts w:cs="Arial" w:asciiTheme="minorEastAsia" w:hAnsiTheme="minorEastAsia" w:eastAsiaTheme="minorEastAsia"/>
          <w:b/>
          <w:color w:val="auto"/>
          <w:sz w:val="24"/>
          <w:szCs w:val="24"/>
          <w:highlight w:val="none"/>
        </w:rPr>
      </w:pPr>
      <w:r>
        <w:rPr>
          <w:rFonts w:cs="Arial" w:asciiTheme="minorEastAsia" w:hAnsiTheme="minorEastAsia" w:eastAsiaTheme="minorEastAsia"/>
          <w:color w:val="auto"/>
          <w:sz w:val="24"/>
          <w:szCs w:val="24"/>
          <w:highlight w:val="none"/>
        </w:rPr>
        <w:t>附录</w:t>
      </w:r>
      <w:r>
        <w:rPr>
          <w:rFonts w:hint="eastAsia" w:cs="Arial" w:asciiTheme="minorEastAsia" w:hAnsiTheme="minorEastAsia" w:eastAsiaTheme="minorEastAsia"/>
          <w:color w:val="auto"/>
          <w:sz w:val="24"/>
          <w:szCs w:val="24"/>
          <w:highlight w:val="none"/>
        </w:rPr>
        <w:t>六</w:t>
      </w:r>
      <w:r>
        <w:rPr>
          <w:rFonts w:cs="Arial" w:asciiTheme="minorEastAsia" w:hAnsiTheme="minorEastAsia" w:eastAsiaTheme="minorEastAsia"/>
          <w:color w:val="auto"/>
          <w:sz w:val="24"/>
          <w:szCs w:val="24"/>
          <w:highlight w:val="none"/>
        </w:rPr>
        <w:t xml:space="preserve"> 其他管理和技术人员</w:t>
      </w:r>
      <w:r>
        <w:rPr>
          <w:rFonts w:hint="eastAsia" w:cs="Arial" w:asciiTheme="minorEastAsia" w:hAnsiTheme="minorEastAsia" w:eastAsiaTheme="minorEastAsia"/>
          <w:color w:val="auto"/>
          <w:sz w:val="24"/>
          <w:szCs w:val="24"/>
          <w:highlight w:val="none"/>
        </w:rPr>
        <w:t>最低</w:t>
      </w:r>
      <w:r>
        <w:rPr>
          <w:rFonts w:cs="Arial" w:asciiTheme="minorEastAsia" w:hAnsiTheme="minorEastAsia" w:eastAsiaTheme="minorEastAsia"/>
          <w:color w:val="auto"/>
          <w:sz w:val="24"/>
          <w:szCs w:val="24"/>
          <w:highlight w:val="none"/>
        </w:rPr>
        <w:t>要求</w:t>
      </w:r>
    </w:p>
    <w:p>
      <w:pPr>
        <w:rPr>
          <w:rFonts w:cs="Arial" w:asciiTheme="minorEastAsia" w:hAnsiTheme="minorEastAsia" w:eastAsiaTheme="minorEastAsia"/>
          <w:highlight w:val="none"/>
        </w:rPr>
      </w:pP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268" w:type="dxa"/>
            <w:tcBorders>
              <w:top w:val="single" w:color="auto" w:sz="4" w:space="0"/>
              <w:left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cs="Arial" w:asciiTheme="minorEastAsia" w:hAnsiTheme="minorEastAsia" w:eastAsiaTheme="minorEastAsia"/>
                <w:szCs w:val="21"/>
                <w:highlight w:val="none"/>
              </w:rPr>
              <w:t>人 员</w:t>
            </w:r>
          </w:p>
        </w:tc>
        <w:tc>
          <w:tcPr>
            <w:tcW w:w="1843" w:type="dxa"/>
            <w:tcBorders>
              <w:top w:val="single" w:color="auto" w:sz="4" w:space="0"/>
              <w:left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cs="Arial" w:asciiTheme="minorEastAsia" w:hAnsiTheme="minorEastAsia" w:eastAsiaTheme="minorEastAsia"/>
                <w:szCs w:val="21"/>
                <w:highlight w:val="none"/>
              </w:rPr>
              <w:t>数 量</w:t>
            </w:r>
          </w:p>
        </w:tc>
        <w:tc>
          <w:tcPr>
            <w:tcW w:w="4961" w:type="dxa"/>
            <w:tcBorders>
              <w:top w:val="single" w:color="auto" w:sz="4" w:space="0"/>
              <w:left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cs="Arial" w:asciiTheme="minorEastAsia" w:hAnsiTheme="minorEastAsia" w:eastAsiaTheme="minorEastAsia"/>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268" w:type="dxa"/>
            <w:tcBorders>
              <w:top w:val="single" w:color="auto" w:sz="4" w:space="0"/>
              <w:left w:val="single" w:color="auto" w:sz="4" w:space="0"/>
              <w:right w:val="single" w:color="auto" w:sz="4" w:space="0"/>
            </w:tcBorders>
            <w:vAlign w:val="center"/>
          </w:tcPr>
          <w:p>
            <w:pPr>
              <w:ind w:left="-59" w:leftChars="-28" w:right="-44" w:rightChars="-21"/>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贵阳片区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不少于18人</w:t>
            </w:r>
          </w:p>
        </w:tc>
        <w:tc>
          <w:tcPr>
            <w:tcW w:w="4961" w:type="dxa"/>
            <w:tcBorders>
              <w:top w:val="single" w:color="auto" w:sz="4" w:space="0"/>
              <w:left w:val="single" w:color="auto" w:sz="4" w:space="0"/>
              <w:right w:val="single" w:color="auto" w:sz="4" w:space="0"/>
            </w:tcBorders>
            <w:vAlign w:val="center"/>
          </w:tcPr>
          <w:p>
            <w:pPr>
              <w:rPr>
                <w:rFonts w:cs="Arial" w:asciiTheme="minorEastAsia" w:hAnsiTheme="minorEastAsia" w:eastAsiaTheme="minorEastAsia"/>
                <w:highlight w:val="none"/>
              </w:rPr>
            </w:pPr>
            <w:r>
              <w:rPr>
                <w:rFonts w:hint="eastAsia" w:cs="Arial" w:asciiTheme="minorEastAsia" w:hAnsiTheme="minorEastAsia" w:eastAsiaTheme="minorEastAsia"/>
                <w:highlight w:val="none"/>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268" w:type="dxa"/>
            <w:tcBorders>
              <w:top w:val="single" w:color="auto" w:sz="4" w:space="0"/>
              <w:left w:val="single" w:color="auto" w:sz="4" w:space="0"/>
              <w:right w:val="single" w:color="auto" w:sz="4" w:space="0"/>
            </w:tcBorders>
            <w:vAlign w:val="center"/>
          </w:tcPr>
          <w:p>
            <w:pPr>
              <w:ind w:left="-59" w:leftChars="-28" w:right="-44" w:rightChars="-21"/>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毕节片区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不少于24人</w:t>
            </w:r>
          </w:p>
        </w:tc>
        <w:tc>
          <w:tcPr>
            <w:tcW w:w="4961" w:type="dxa"/>
            <w:tcBorders>
              <w:top w:val="single" w:color="auto" w:sz="4" w:space="0"/>
              <w:left w:val="single" w:color="auto" w:sz="4" w:space="0"/>
              <w:right w:val="single" w:color="auto" w:sz="4" w:space="0"/>
            </w:tcBorders>
            <w:vAlign w:val="center"/>
          </w:tcPr>
          <w:p>
            <w:pPr>
              <w:rPr>
                <w:rFonts w:cs="Arial" w:asciiTheme="minorEastAsia" w:hAnsiTheme="minorEastAsia" w:eastAsiaTheme="minorEastAsia"/>
                <w:highlight w:val="none"/>
              </w:rPr>
            </w:pPr>
            <w:r>
              <w:rPr>
                <w:rFonts w:hint="eastAsia" w:cs="Arial" w:asciiTheme="minorEastAsia" w:hAnsiTheme="minorEastAsia" w:eastAsiaTheme="minorEastAsia"/>
                <w:highlight w:val="none"/>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268" w:type="dxa"/>
            <w:tcBorders>
              <w:top w:val="single" w:color="auto" w:sz="4" w:space="0"/>
              <w:left w:val="single" w:color="auto" w:sz="4" w:space="0"/>
              <w:right w:val="single" w:color="auto" w:sz="4" w:space="0"/>
            </w:tcBorders>
            <w:vAlign w:val="center"/>
          </w:tcPr>
          <w:p>
            <w:pPr>
              <w:ind w:left="-59" w:leftChars="-28" w:right="-44" w:rightChars="-21"/>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遵义片区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不少于18人</w:t>
            </w:r>
          </w:p>
        </w:tc>
        <w:tc>
          <w:tcPr>
            <w:tcW w:w="4961" w:type="dxa"/>
            <w:tcBorders>
              <w:top w:val="single" w:color="auto" w:sz="4" w:space="0"/>
              <w:left w:val="single" w:color="auto" w:sz="4" w:space="0"/>
              <w:right w:val="single" w:color="auto" w:sz="4" w:space="0"/>
            </w:tcBorders>
            <w:vAlign w:val="center"/>
          </w:tcPr>
          <w:p>
            <w:pPr>
              <w:rPr>
                <w:rFonts w:cs="Arial" w:asciiTheme="minorEastAsia" w:hAnsiTheme="minorEastAsia" w:eastAsiaTheme="minorEastAsia"/>
                <w:highlight w:val="none"/>
              </w:rPr>
            </w:pPr>
            <w:r>
              <w:rPr>
                <w:rFonts w:hint="eastAsia" w:cs="Arial" w:asciiTheme="minorEastAsia" w:hAnsiTheme="minorEastAsia" w:eastAsiaTheme="minorEastAsia"/>
                <w:highlight w:val="none"/>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268" w:type="dxa"/>
            <w:tcBorders>
              <w:top w:val="single" w:color="auto" w:sz="4" w:space="0"/>
              <w:left w:val="single" w:color="auto" w:sz="4" w:space="0"/>
              <w:bottom w:val="single" w:color="auto" w:sz="4" w:space="0"/>
              <w:right w:val="single" w:color="auto" w:sz="4" w:space="0"/>
            </w:tcBorders>
            <w:vAlign w:val="center"/>
          </w:tcPr>
          <w:p>
            <w:pPr>
              <w:ind w:left="-59" w:leftChars="-28" w:right="-44" w:rightChars="-21"/>
              <w:jc w:val="center"/>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毕都段</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highlight w:val="none"/>
              </w:rPr>
            </w:pPr>
            <w:r>
              <w:rPr>
                <w:rFonts w:hint="eastAsia" w:cs="Arial" w:asciiTheme="minorEastAsia" w:hAnsiTheme="minorEastAsia" w:eastAsiaTheme="minorEastAsia"/>
                <w:highlight w:val="none"/>
              </w:rPr>
              <w:t>不少于4人</w:t>
            </w:r>
          </w:p>
        </w:tc>
        <w:tc>
          <w:tcPr>
            <w:tcW w:w="496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highlight w:val="none"/>
              </w:rPr>
            </w:pPr>
            <w:r>
              <w:rPr>
                <w:rFonts w:hint="eastAsia" w:cs="Arial" w:asciiTheme="minorEastAsia" w:hAnsiTheme="minorEastAsia" w:eastAsiaTheme="minorEastAsia"/>
                <w:highlight w:val="none"/>
              </w:rPr>
              <w:t>技术人员</w:t>
            </w:r>
          </w:p>
        </w:tc>
      </w:tr>
    </w:tbl>
    <w:p>
      <w:pPr>
        <w:spacing w:beforeLines="50" w:line="300" w:lineRule="auto"/>
        <w:rPr>
          <w:rFonts w:cs="Arial" w:asciiTheme="minorEastAsia" w:hAnsiTheme="minorEastAsia" w:eastAsiaTheme="minorEastAsia"/>
          <w:sz w:val="18"/>
          <w:szCs w:val="18"/>
          <w:highlight w:val="none"/>
        </w:rPr>
      </w:pPr>
      <w:r>
        <w:rPr>
          <w:rFonts w:cs="Arial" w:asciiTheme="minorEastAsia" w:hAnsiTheme="minorEastAsia" w:eastAsiaTheme="minorEastAsia"/>
          <w:sz w:val="18"/>
          <w:szCs w:val="18"/>
          <w:highlight w:val="none"/>
        </w:rPr>
        <w:t>注：投标阶段不对附录六人员进行审查</w:t>
      </w:r>
      <w:r>
        <w:rPr>
          <w:rFonts w:hint="eastAsia" w:cs="Arial" w:asciiTheme="minorEastAsia" w:hAnsiTheme="minorEastAsia" w:eastAsiaTheme="minorEastAsia"/>
          <w:sz w:val="18"/>
          <w:szCs w:val="18"/>
          <w:highlight w:val="none"/>
        </w:rPr>
        <w:t>，投标人一旦中标，上述人员的具体人选由招标人和中标人在合同谈判阶段确定，且经招标人审批后作为派驻本标段的项目管理机构主要人员，上述人员必须为投标人自有员工。如中标人拟派驻的人员数量和资格条件不满足本表要求，招标人将取消其中标资格。</w:t>
      </w:r>
    </w:p>
    <w:p>
      <w:pPr>
        <w:pStyle w:val="2"/>
        <w:spacing w:line="300" w:lineRule="auto"/>
        <w:ind w:firstLine="360" w:firstLineChars="200"/>
        <w:rPr>
          <w:rFonts w:cs="Arial" w:asciiTheme="minorEastAsia" w:hAnsiTheme="minorEastAsia" w:eastAsiaTheme="minorEastAsia"/>
          <w:szCs w:val="18"/>
          <w:highlight w:val="none"/>
        </w:rPr>
        <w:sectPr>
          <w:headerReference r:id="rId3" w:type="default"/>
          <w:footerReference r:id="rId4" w:type="default"/>
          <w:footnotePr>
            <w:numFmt w:val="decimalEnclosedCircleChinese"/>
            <w:numRestart w:val="eachPage"/>
          </w:footnotePr>
          <w:pgSz w:w="11906" w:h="16838"/>
          <w:pgMar w:top="1418" w:right="1418" w:bottom="1134" w:left="1418" w:header="851" w:footer="851" w:gutter="0"/>
          <w:cols w:space="720" w:num="1"/>
          <w:docGrid w:linePitch="312" w:charSpace="0"/>
        </w:sectPr>
      </w:pPr>
    </w:p>
    <w:p>
      <w:pPr>
        <w:spacing w:line="360" w:lineRule="auto"/>
        <w:jc w:val="center"/>
        <w:rPr>
          <w:b/>
          <w:sz w:val="30"/>
          <w:szCs w:val="30"/>
          <w:highlight w:val="none"/>
        </w:rPr>
      </w:pPr>
      <w:r>
        <w:rPr>
          <w:rFonts w:hint="eastAsia"/>
          <w:b/>
          <w:sz w:val="30"/>
          <w:szCs w:val="30"/>
          <w:highlight w:val="none"/>
        </w:rPr>
        <w:t>评标办法（综合评估法）</w:t>
      </w:r>
    </w:p>
    <w:p>
      <w:pPr>
        <w:pStyle w:val="3"/>
        <w:spacing w:before="0" w:after="0" w:line="360" w:lineRule="auto"/>
        <w:rPr>
          <w:color w:val="auto"/>
          <w:highlight w:val="none"/>
        </w:rPr>
      </w:pPr>
      <w:bookmarkStart w:id="2" w:name="_Toc378518161"/>
      <w:bookmarkStart w:id="3" w:name="_Toc235851149"/>
      <w:r>
        <w:rPr>
          <w:rFonts w:hint="eastAsia"/>
          <w:b/>
          <w:color w:val="auto"/>
          <w:sz w:val="24"/>
          <w:szCs w:val="24"/>
          <w:highlight w:val="none"/>
        </w:rPr>
        <w:t>评标办法前附表</w:t>
      </w:r>
      <w:bookmarkEnd w:id="2"/>
      <w:bookmarkEnd w:id="3"/>
      <w:bookmarkStart w:id="4" w:name="_GoBack"/>
      <w:bookmarkEnd w:id="4"/>
    </w:p>
    <w:tbl>
      <w:tblPr>
        <w:tblStyle w:val="7"/>
        <w:tblW w:w="93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
        <w:gridCol w:w="1155"/>
        <w:gridCol w:w="2021"/>
        <w:gridCol w:w="5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right w:val="single" w:color="auto" w:sz="4" w:space="0"/>
            </w:tcBorders>
            <w:vAlign w:val="center"/>
          </w:tcPr>
          <w:p>
            <w:pPr>
              <w:spacing w:line="440" w:lineRule="exact"/>
              <w:jc w:val="center"/>
              <w:rPr>
                <w:b/>
                <w:szCs w:val="21"/>
                <w:highlight w:val="none"/>
              </w:rPr>
            </w:pPr>
            <w:r>
              <w:rPr>
                <w:rFonts w:hint="eastAsia"/>
                <w:b/>
                <w:szCs w:val="21"/>
                <w:highlight w:val="none"/>
              </w:rPr>
              <w:t>条款号</w:t>
            </w: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Cs w:val="21"/>
                <w:highlight w:val="none"/>
              </w:rPr>
            </w:pPr>
            <w:r>
              <w:rPr>
                <w:rFonts w:hint="eastAsia"/>
                <w:b/>
                <w:szCs w:val="21"/>
                <w:highlight w:val="none"/>
              </w:rPr>
              <w:t>评审因素</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szCs w:val="21"/>
                <w:highlight w:val="none"/>
              </w:rPr>
            </w:pPr>
            <w:r>
              <w:rPr>
                <w:rFonts w:hint="eastAsia"/>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b/>
                <w:szCs w:val="21"/>
                <w:highlight w:val="none"/>
              </w:rPr>
            </w:pPr>
            <w:r>
              <w:rPr>
                <w:b/>
                <w:szCs w:val="21"/>
                <w:highlight w:val="none"/>
              </w:rPr>
              <w:t>1</w:t>
            </w:r>
          </w:p>
        </w:tc>
        <w:tc>
          <w:tcPr>
            <w:tcW w:w="1155"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b/>
                <w:szCs w:val="21"/>
                <w:highlight w:val="none"/>
              </w:rPr>
            </w:pPr>
            <w:r>
              <w:rPr>
                <w:rFonts w:hint="eastAsia"/>
                <w:b/>
                <w:szCs w:val="21"/>
                <w:highlight w:val="none"/>
              </w:rPr>
              <w:t>评标办法</w:t>
            </w:r>
          </w:p>
        </w:tc>
        <w:tc>
          <w:tcPr>
            <w:tcW w:w="7288" w:type="dxa"/>
            <w:gridSpan w:val="2"/>
            <w:tcBorders>
              <w:top w:val="single" w:color="auto" w:sz="4" w:space="0"/>
              <w:left w:val="single" w:color="auto" w:sz="4" w:space="0"/>
              <w:bottom w:val="single" w:color="auto" w:sz="4" w:space="0"/>
              <w:right w:val="single" w:color="auto" w:sz="4" w:space="0"/>
            </w:tcBorders>
            <w:vAlign w:val="center"/>
          </w:tcPr>
          <w:p>
            <w:pPr>
              <w:tabs>
                <w:tab w:val="left" w:pos="780"/>
              </w:tabs>
              <w:ind w:firstLine="420"/>
              <w:rPr>
                <w:highlight w:val="none"/>
              </w:rPr>
            </w:pPr>
            <w:r>
              <w:rPr>
                <w:rFonts w:hint="eastAsia"/>
                <w:highlight w:val="none"/>
              </w:rPr>
              <w:t>1.本条修改为：</w:t>
            </w:r>
          </w:p>
          <w:p>
            <w:pPr>
              <w:tabs>
                <w:tab w:val="left" w:pos="780"/>
              </w:tabs>
              <w:ind w:firstLine="420"/>
              <w:rPr>
                <w:highlight w:val="none"/>
              </w:rPr>
            </w:pPr>
            <w:r>
              <w:rPr>
                <w:rFonts w:hint="eastAsia"/>
                <w:highlight w:val="none"/>
              </w:rPr>
              <w:t>本次评标采用综合评估法。评标委员会对满足招标文件实质性要求的投标文件，按照本章第2.2款规定的评分标准进行打分，并按综合评估得分由高到低顺序推荐中标候选人，但投标报价低于其成本的除外。投标人综合评估得分相等时，</w:t>
            </w:r>
            <w:r>
              <w:rPr>
                <w:rFonts w:ascii="宋体" w:hAnsi="宋体" w:cs="Arial"/>
                <w:b/>
                <w:szCs w:val="21"/>
                <w:highlight w:val="none"/>
              </w:rPr>
              <w:t>评标委员会依次按照以下优先顺序推荐中标候选人或确定中标人：</w:t>
            </w:r>
          </w:p>
          <w:p>
            <w:pPr>
              <w:snapToGrid w:val="0"/>
              <w:spacing w:line="300" w:lineRule="auto"/>
              <w:jc w:val="left"/>
              <w:rPr>
                <w:szCs w:val="21"/>
                <w:highlight w:val="none"/>
              </w:rPr>
            </w:pPr>
            <w:r>
              <w:rPr>
                <w:rFonts w:hint="eastAsia"/>
                <w:szCs w:val="21"/>
                <w:highlight w:val="none"/>
              </w:rPr>
              <w:t>（</w:t>
            </w:r>
            <w:r>
              <w:rPr>
                <w:szCs w:val="21"/>
                <w:highlight w:val="none"/>
              </w:rPr>
              <w:t>1</w:t>
            </w:r>
            <w:r>
              <w:rPr>
                <w:rFonts w:hint="eastAsia"/>
                <w:szCs w:val="21"/>
                <w:highlight w:val="none"/>
              </w:rPr>
              <w:t>）评标价低的投标人优先；</w:t>
            </w:r>
          </w:p>
          <w:p>
            <w:pPr>
              <w:snapToGrid w:val="0"/>
              <w:spacing w:line="300" w:lineRule="auto"/>
              <w:jc w:val="left"/>
              <w:rPr>
                <w:szCs w:val="21"/>
                <w:highlight w:val="none"/>
              </w:rPr>
            </w:pPr>
            <w:r>
              <w:rPr>
                <w:szCs w:val="21"/>
                <w:highlight w:val="none"/>
              </w:rPr>
              <w:t>（2）以评标时采用的信用等级较高的的投标人优先</w:t>
            </w:r>
            <w:r>
              <w:rPr>
                <w:rFonts w:hint="eastAsia"/>
                <w:szCs w:val="21"/>
                <w:highlight w:val="none"/>
              </w:rPr>
              <w:t>（信用等级判定参见招标公告）</w:t>
            </w:r>
            <w:r>
              <w:rPr>
                <w:szCs w:val="21"/>
                <w:highlight w:val="none"/>
              </w:rPr>
              <w:t>；</w:t>
            </w:r>
          </w:p>
          <w:p>
            <w:pPr>
              <w:spacing w:line="276" w:lineRule="auto"/>
              <w:ind w:right="113"/>
              <w:rPr>
                <w:szCs w:val="21"/>
                <w:highlight w:val="none"/>
              </w:rPr>
            </w:pPr>
            <w:r>
              <w:rPr>
                <w:szCs w:val="21"/>
                <w:highlight w:val="none"/>
              </w:rPr>
              <w:t>（3）商务和技术得分较高的投标人优先；</w:t>
            </w:r>
          </w:p>
          <w:p>
            <w:pPr>
              <w:spacing w:line="276" w:lineRule="auto"/>
              <w:ind w:right="113"/>
              <w:rPr>
                <w:b/>
                <w:szCs w:val="21"/>
                <w:highlight w:val="none"/>
              </w:rPr>
            </w:pPr>
            <w:r>
              <w:rPr>
                <w:szCs w:val="21"/>
                <w:highlight w:val="none"/>
              </w:rPr>
              <w:t xml:space="preserve">（4）标书款交纳时间较早的优先。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restart"/>
            <w:tcBorders>
              <w:top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2.1.1</w:t>
            </w:r>
          </w:p>
        </w:tc>
        <w:tc>
          <w:tcPr>
            <w:tcW w:w="1155" w:type="dxa"/>
            <w:vMerge w:val="restart"/>
            <w:tcBorders>
              <w:top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形式评审标准</w:t>
            </w: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投标人名称</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与营业执照、资质证书、安全生产许可证一致（联合体除外）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91" w:type="dxa"/>
            <w:vMerge w:val="continue"/>
            <w:tcBorders>
              <w:top w:val="nil"/>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top w:val="nil"/>
              <w:bottom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投标函签字盖章</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top w:val="nil"/>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top w:val="nil"/>
              <w:bottom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投标文件格式</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符合第七章</w:t>
            </w:r>
            <w:r>
              <w:rPr>
                <w:b/>
                <w:bCs/>
                <w:szCs w:val="21"/>
                <w:highlight w:val="none"/>
              </w:rPr>
              <w:t>“</w:t>
            </w:r>
            <w:r>
              <w:rPr>
                <w:rFonts w:hint="eastAsia"/>
                <w:b/>
                <w:bCs/>
                <w:szCs w:val="21"/>
                <w:highlight w:val="none"/>
              </w:rPr>
              <w:t>投标文件格式</w:t>
            </w:r>
            <w:r>
              <w:rPr>
                <w:b/>
                <w:bCs/>
                <w:szCs w:val="21"/>
                <w:highlight w:val="none"/>
              </w:rPr>
              <w:t>”</w:t>
            </w:r>
            <w:r>
              <w:rPr>
                <w:rFonts w:hint="eastAsia"/>
                <w:b/>
                <w:bCs/>
                <w:szCs w:val="21"/>
                <w:highlight w:val="none"/>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top w:val="nil"/>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top w:val="nil"/>
              <w:bottom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联合体投标人</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top w:val="nil"/>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top w:val="nil"/>
              <w:bottom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报价唯一</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restart"/>
            <w:tcBorders>
              <w:top w:val="single" w:color="auto" w:sz="4" w:space="0"/>
              <w:right w:val="single" w:color="auto" w:sz="4" w:space="0"/>
            </w:tcBorders>
            <w:vAlign w:val="center"/>
          </w:tcPr>
          <w:p>
            <w:pPr>
              <w:spacing w:line="440" w:lineRule="exact"/>
              <w:jc w:val="center"/>
              <w:rPr>
                <w:szCs w:val="21"/>
                <w:highlight w:val="none"/>
              </w:rPr>
            </w:pPr>
            <w:r>
              <w:rPr>
                <w:szCs w:val="21"/>
                <w:highlight w:val="none"/>
              </w:rPr>
              <w:t>2.1.2</w:t>
            </w:r>
          </w:p>
        </w:tc>
        <w:tc>
          <w:tcPr>
            <w:tcW w:w="1155" w:type="dxa"/>
            <w:vMerge w:val="restart"/>
            <w:tcBorders>
              <w:top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资格评审标准</w:t>
            </w: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营业执照</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资质等级</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、1.11.1项规定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安全生产许可证</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财务状况</w:t>
            </w:r>
          </w:p>
        </w:tc>
        <w:tc>
          <w:tcPr>
            <w:tcW w:w="5267" w:type="dxa"/>
            <w:tcBorders>
              <w:top w:val="single" w:color="auto" w:sz="4" w:space="0"/>
              <w:left w:val="single" w:color="auto" w:sz="4" w:space="0"/>
              <w:bottom w:val="single" w:color="auto" w:sz="4" w:space="0"/>
              <w:right w:val="single" w:color="auto" w:sz="4" w:space="0"/>
            </w:tcBorders>
          </w:tcPr>
          <w:p>
            <w:pPr>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类似项目业绩</w:t>
            </w:r>
          </w:p>
        </w:tc>
        <w:tc>
          <w:tcPr>
            <w:tcW w:w="5267" w:type="dxa"/>
            <w:tcBorders>
              <w:top w:val="single" w:color="auto" w:sz="4" w:space="0"/>
              <w:left w:val="single" w:color="auto" w:sz="4" w:space="0"/>
              <w:bottom w:val="single" w:color="auto" w:sz="4" w:space="0"/>
              <w:right w:val="single" w:color="auto" w:sz="4" w:space="0"/>
            </w:tcBorders>
          </w:tcPr>
          <w:p>
            <w:pPr>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r>
              <w:rPr>
                <w:rFonts w:hint="eastAsia" w:ascii="宋体" w:hAnsi="宋体"/>
                <w:b/>
                <w:bCs/>
                <w:highlight w:val="none"/>
              </w:rPr>
              <w:t>（</w:t>
            </w:r>
            <w:r>
              <w:rPr>
                <w:rFonts w:hint="eastAsia" w:cs="Arial" w:asciiTheme="minorEastAsia" w:hAnsiTheme="minorEastAsia" w:eastAsiaTheme="minorEastAsia"/>
                <w:b/>
                <w:bCs/>
                <w:szCs w:val="21"/>
                <w:highlight w:val="none"/>
              </w:rPr>
              <w:t>本项目对投标人无业绩最低要求，但业绩将作为评标给分项。）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信誉</w:t>
            </w:r>
          </w:p>
        </w:tc>
        <w:tc>
          <w:tcPr>
            <w:tcW w:w="5267" w:type="dxa"/>
            <w:tcBorders>
              <w:top w:val="single" w:color="auto" w:sz="4" w:space="0"/>
              <w:left w:val="single" w:color="auto" w:sz="4" w:space="0"/>
              <w:bottom w:val="single" w:color="auto" w:sz="4" w:space="0"/>
              <w:right w:val="single" w:color="auto" w:sz="4" w:space="0"/>
            </w:tcBorders>
          </w:tcPr>
          <w:p>
            <w:pPr>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项目经理</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设计负责人</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项目总工（施工技术负责人）</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施工机械设备</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项目管理机构及人员</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其他要求</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联合体投标人</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1.4.2</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bottom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投标人不得存在的情形及关联关系</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符合第二章“投标人须知”第1.4.3、1.4.4项规定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restart"/>
            <w:tcBorders>
              <w:top w:val="single" w:color="auto" w:sz="4" w:space="0"/>
              <w:right w:val="single" w:color="auto" w:sz="4" w:space="0"/>
            </w:tcBorders>
            <w:vAlign w:val="center"/>
          </w:tcPr>
          <w:p>
            <w:pPr>
              <w:spacing w:line="440" w:lineRule="exact"/>
              <w:jc w:val="center"/>
              <w:rPr>
                <w:szCs w:val="21"/>
                <w:highlight w:val="none"/>
              </w:rPr>
            </w:pPr>
            <w:r>
              <w:rPr>
                <w:szCs w:val="21"/>
                <w:highlight w:val="none"/>
              </w:rPr>
              <w:t>2.1.3</w:t>
            </w:r>
          </w:p>
        </w:tc>
        <w:tc>
          <w:tcPr>
            <w:tcW w:w="1155" w:type="dxa"/>
            <w:vMerge w:val="restart"/>
            <w:tcBorders>
              <w:top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响应性评审标准</w:t>
            </w: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投标报价</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符合第二章“投标人须知”第</w:t>
            </w:r>
            <w:r>
              <w:rPr>
                <w:b/>
                <w:bCs/>
                <w:szCs w:val="21"/>
                <w:highlight w:val="none"/>
              </w:rPr>
              <w:t>3.2.</w:t>
            </w:r>
            <w:r>
              <w:rPr>
                <w:rFonts w:hint="eastAsia"/>
                <w:b/>
                <w:bCs/>
                <w:szCs w:val="21"/>
                <w:highlight w:val="none"/>
              </w:rPr>
              <w:t>4项</w:t>
            </w:r>
            <w:r>
              <w:rPr>
                <w:b/>
                <w:bCs/>
                <w:szCs w:val="21"/>
                <w:highlight w:val="none"/>
              </w:rPr>
              <w:t>3.2.</w:t>
            </w:r>
            <w:r>
              <w:rPr>
                <w:rFonts w:hint="eastAsia"/>
                <w:b/>
                <w:bCs/>
                <w:szCs w:val="21"/>
                <w:highlight w:val="none"/>
              </w:rPr>
              <w:t>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top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top w:val="single" w:color="auto" w:sz="4" w:space="0"/>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投标内容</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1.3.1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工期</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1.3.2</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质量标准</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1.3.3</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投标有效期</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3.3.1</w:t>
            </w:r>
            <w:r>
              <w:rPr>
                <w:rFonts w:hint="eastAsia"/>
                <w:b/>
                <w:bCs/>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投标保证金</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符合第二章</w:t>
            </w:r>
            <w:r>
              <w:rPr>
                <w:b/>
                <w:bCs/>
                <w:szCs w:val="21"/>
                <w:highlight w:val="none"/>
              </w:rPr>
              <w:t>“</w:t>
            </w:r>
            <w:r>
              <w:rPr>
                <w:rFonts w:hint="eastAsia"/>
                <w:b/>
                <w:bCs/>
                <w:szCs w:val="21"/>
                <w:highlight w:val="none"/>
              </w:rPr>
              <w:t>投标人须知</w:t>
            </w:r>
            <w:r>
              <w:rPr>
                <w:b/>
                <w:bCs/>
                <w:szCs w:val="21"/>
                <w:highlight w:val="none"/>
              </w:rPr>
              <w:t>”</w:t>
            </w:r>
            <w:r>
              <w:rPr>
                <w:rFonts w:hint="eastAsia"/>
                <w:b/>
                <w:bCs/>
                <w:szCs w:val="21"/>
                <w:highlight w:val="none"/>
              </w:rPr>
              <w:t>第</w:t>
            </w:r>
            <w:r>
              <w:rPr>
                <w:b/>
                <w:bCs/>
                <w:szCs w:val="21"/>
                <w:highlight w:val="none"/>
              </w:rPr>
              <w:t>3.4</w:t>
            </w:r>
            <w:r>
              <w:rPr>
                <w:rFonts w:hint="eastAsia"/>
                <w:b/>
                <w:bCs/>
                <w:szCs w:val="21"/>
                <w:highlight w:val="none"/>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right w:val="single" w:color="auto" w:sz="4" w:space="0"/>
            </w:tcBorders>
            <w:vAlign w:val="center"/>
          </w:tcPr>
          <w:p>
            <w:pPr>
              <w:spacing w:line="440" w:lineRule="exact"/>
              <w:jc w:val="center"/>
              <w:rPr>
                <w:szCs w:val="21"/>
                <w:highlight w:val="none"/>
              </w:rPr>
            </w:pPr>
          </w:p>
        </w:tc>
        <w:tc>
          <w:tcPr>
            <w:tcW w:w="1155" w:type="dxa"/>
            <w:vMerge w:val="continue"/>
            <w:tcBorders>
              <w:right w:val="single" w:color="auto" w:sz="4" w:space="0"/>
            </w:tcBorders>
            <w:vAlign w:val="center"/>
          </w:tcPr>
          <w:p>
            <w:pPr>
              <w:spacing w:line="440" w:lineRule="exact"/>
              <w:jc w:val="center"/>
              <w:rPr>
                <w:b/>
                <w:bCs/>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权利义务</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符合第四章</w:t>
            </w:r>
            <w:r>
              <w:rPr>
                <w:b/>
                <w:bCs/>
                <w:szCs w:val="21"/>
                <w:highlight w:val="none"/>
              </w:rPr>
              <w:t>“</w:t>
            </w:r>
            <w:r>
              <w:rPr>
                <w:rFonts w:hint="eastAsia"/>
                <w:b/>
                <w:bCs/>
                <w:szCs w:val="21"/>
                <w:highlight w:val="none"/>
              </w:rPr>
              <w:t>合同条款及格式</w:t>
            </w:r>
            <w:r>
              <w:rPr>
                <w:b/>
                <w:bCs/>
                <w:szCs w:val="21"/>
                <w:highlight w:val="none"/>
              </w:rPr>
              <w:t>”</w:t>
            </w:r>
            <w:r>
              <w:rPr>
                <w:rFonts w:hint="eastAsia"/>
                <w:b/>
                <w:bCs/>
                <w:szCs w:val="21"/>
                <w:highlight w:val="none"/>
              </w:rPr>
              <w:t>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1" w:type="dxa"/>
            <w:vMerge w:val="continue"/>
            <w:tcBorders>
              <w:bottom w:val="single" w:color="auto" w:sz="4" w:space="0"/>
              <w:right w:val="single" w:color="auto" w:sz="4" w:space="0"/>
            </w:tcBorders>
            <w:vAlign w:val="center"/>
          </w:tcPr>
          <w:p>
            <w:pPr>
              <w:spacing w:line="440" w:lineRule="exact"/>
              <w:jc w:val="center"/>
              <w:rPr>
                <w:szCs w:val="21"/>
                <w:highlight w:val="none"/>
              </w:rPr>
            </w:pPr>
          </w:p>
        </w:tc>
        <w:tc>
          <w:tcPr>
            <w:tcW w:w="1155" w:type="dxa"/>
            <w:vMerge w:val="continue"/>
            <w:tcBorders>
              <w:bottom w:val="single" w:color="auto" w:sz="4" w:space="0"/>
              <w:right w:val="single" w:color="auto" w:sz="4" w:space="0"/>
            </w:tcBorders>
            <w:vAlign w:val="center"/>
          </w:tcPr>
          <w:p>
            <w:pPr>
              <w:spacing w:line="440" w:lineRule="exact"/>
              <w:jc w:val="center"/>
              <w:rPr>
                <w:szCs w:val="21"/>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Cs w:val="21"/>
                <w:highlight w:val="none"/>
              </w:rPr>
            </w:pPr>
            <w:r>
              <w:rPr>
                <w:rFonts w:hint="eastAsia"/>
                <w:b/>
                <w:bCs/>
                <w:szCs w:val="21"/>
                <w:highlight w:val="none"/>
              </w:rPr>
              <w:t>承包人建议</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40" w:lineRule="exact"/>
              <w:rPr>
                <w:b/>
                <w:bCs/>
                <w:szCs w:val="21"/>
                <w:highlight w:val="none"/>
              </w:rPr>
            </w:pPr>
            <w:r>
              <w:rPr>
                <w:rFonts w:hint="eastAsia"/>
                <w:b/>
                <w:bCs/>
                <w:szCs w:val="21"/>
                <w:highlight w:val="none"/>
              </w:rPr>
              <w:t>符合第五章“发包人要求”的规定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b/>
                <w:szCs w:val="21"/>
                <w:highlight w:val="none"/>
              </w:rPr>
            </w:pPr>
            <w:r>
              <w:rPr>
                <w:rFonts w:hint="eastAsia"/>
                <w:b/>
                <w:szCs w:val="21"/>
                <w:highlight w:val="none"/>
              </w:rPr>
              <w:t>条款号</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b/>
                <w:bCs/>
                <w:szCs w:val="21"/>
                <w:highlight w:val="none"/>
              </w:rPr>
              <w:t>条款内容</w:t>
            </w:r>
          </w:p>
        </w:tc>
        <w:tc>
          <w:tcPr>
            <w:tcW w:w="5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b/>
                <w:szCs w:val="21"/>
                <w:highlight w:val="none"/>
              </w:rPr>
            </w:pPr>
            <w:r>
              <w:rPr>
                <w:rFonts w:hint="eastAsia"/>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2046" w:type="dxa"/>
            <w:gridSpan w:val="2"/>
            <w:tcBorders>
              <w:bottom w:val="single" w:color="auto" w:sz="4" w:space="0"/>
              <w:right w:val="single" w:color="auto" w:sz="4" w:space="0"/>
            </w:tcBorders>
            <w:vAlign w:val="center"/>
          </w:tcPr>
          <w:p>
            <w:pPr>
              <w:autoSpaceDE w:val="0"/>
              <w:autoSpaceDN w:val="0"/>
              <w:adjustRightInd w:val="0"/>
              <w:snapToGrid w:val="0"/>
              <w:spacing w:line="440" w:lineRule="exact"/>
              <w:jc w:val="center"/>
              <w:rPr>
                <w:b/>
                <w:bCs/>
                <w:sz w:val="24"/>
                <w:szCs w:val="24"/>
                <w:highlight w:val="none"/>
              </w:rPr>
            </w:pPr>
            <w:r>
              <w:rPr>
                <w:b/>
                <w:bCs/>
                <w:sz w:val="24"/>
                <w:szCs w:val="24"/>
                <w:highlight w:val="none"/>
              </w:rPr>
              <w:t>2.2.1</w:t>
            </w:r>
          </w:p>
        </w:tc>
        <w:tc>
          <w:tcPr>
            <w:tcW w:w="2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40" w:lineRule="exact"/>
              <w:jc w:val="center"/>
              <w:rPr>
                <w:b/>
                <w:bCs/>
                <w:sz w:val="22"/>
                <w:szCs w:val="22"/>
                <w:highlight w:val="none"/>
              </w:rPr>
            </w:pPr>
            <w:r>
              <w:rPr>
                <w:rFonts w:hint="eastAsia"/>
                <w:b/>
                <w:bCs/>
                <w:sz w:val="22"/>
                <w:szCs w:val="22"/>
                <w:highlight w:val="none"/>
              </w:rPr>
              <w:t>分值构成</w:t>
            </w:r>
          </w:p>
          <w:p>
            <w:pPr>
              <w:adjustRightInd w:val="0"/>
              <w:snapToGrid w:val="0"/>
              <w:spacing w:line="440" w:lineRule="exact"/>
              <w:jc w:val="center"/>
              <w:rPr>
                <w:b/>
                <w:bCs/>
                <w:sz w:val="22"/>
                <w:szCs w:val="22"/>
                <w:highlight w:val="none"/>
              </w:rPr>
            </w:pPr>
            <w:r>
              <w:rPr>
                <w:b/>
                <w:bCs/>
                <w:sz w:val="22"/>
                <w:szCs w:val="22"/>
                <w:highlight w:val="none"/>
              </w:rPr>
              <w:t>(</w:t>
            </w:r>
            <w:r>
              <w:rPr>
                <w:rFonts w:hint="eastAsia"/>
                <w:b/>
                <w:bCs/>
                <w:sz w:val="22"/>
                <w:szCs w:val="22"/>
                <w:highlight w:val="none"/>
              </w:rPr>
              <w:t>总分</w:t>
            </w:r>
            <w:r>
              <w:rPr>
                <w:b/>
                <w:bCs/>
                <w:sz w:val="22"/>
                <w:szCs w:val="22"/>
                <w:highlight w:val="none"/>
              </w:rPr>
              <w:t>100</w:t>
            </w:r>
            <w:r>
              <w:rPr>
                <w:rFonts w:hint="eastAsia"/>
                <w:b/>
                <w:bCs/>
                <w:sz w:val="22"/>
                <w:szCs w:val="22"/>
                <w:highlight w:val="none"/>
              </w:rPr>
              <w:t>分</w:t>
            </w:r>
            <w:r>
              <w:rPr>
                <w:b/>
                <w:bCs/>
                <w:sz w:val="22"/>
                <w:szCs w:val="22"/>
                <w:highlight w:val="none"/>
              </w:rPr>
              <w:t>)</w:t>
            </w:r>
          </w:p>
        </w:tc>
        <w:tc>
          <w:tcPr>
            <w:tcW w:w="526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Arial"/>
                <w:b/>
                <w:bCs/>
                <w:szCs w:val="21"/>
                <w:highlight w:val="none"/>
              </w:rPr>
            </w:pPr>
            <w:r>
              <w:rPr>
                <w:rFonts w:hint="eastAsia" w:ascii="宋体" w:hAnsi="宋体" w:cs="Arial"/>
                <w:b/>
                <w:bCs/>
                <w:szCs w:val="21"/>
                <w:highlight w:val="none"/>
              </w:rPr>
              <w:t>（商务及技术文件）评分分值构成：</w:t>
            </w:r>
          </w:p>
          <w:p>
            <w:pPr>
              <w:adjustRightInd w:val="0"/>
              <w:snapToGrid w:val="0"/>
              <w:jc w:val="left"/>
              <w:rPr>
                <w:rFonts w:ascii="宋体" w:hAnsi="宋体" w:cs="宋体"/>
                <w:szCs w:val="21"/>
                <w:highlight w:val="none"/>
              </w:rPr>
            </w:pPr>
            <w:r>
              <w:rPr>
                <w:rFonts w:hint="eastAsia" w:ascii="宋体" w:hAnsi="宋体" w:cs="宋体"/>
                <w:szCs w:val="21"/>
                <w:highlight w:val="none"/>
              </w:rPr>
              <w:t>设计方案（A）：</w:t>
            </w:r>
            <w:r>
              <w:rPr>
                <w:rFonts w:hint="eastAsia" w:ascii="宋体" w:hAnsi="宋体" w:cs="宋体"/>
                <w:szCs w:val="21"/>
                <w:highlight w:val="none"/>
                <w:u w:val="single"/>
              </w:rPr>
              <w:t>5</w:t>
            </w:r>
            <w:r>
              <w:rPr>
                <w:rFonts w:hint="eastAsia" w:ascii="宋体" w:hAnsi="宋体" w:cs="宋体"/>
                <w:szCs w:val="21"/>
                <w:highlight w:val="none"/>
              </w:rPr>
              <w:t>分</w:t>
            </w:r>
          </w:p>
          <w:p>
            <w:pPr>
              <w:rPr>
                <w:rFonts w:ascii="宋体" w:hAnsi="宋体" w:cs="宋体"/>
                <w:kern w:val="0"/>
                <w:szCs w:val="21"/>
                <w:highlight w:val="none"/>
              </w:rPr>
            </w:pPr>
            <w:r>
              <w:rPr>
                <w:rFonts w:hint="eastAsia" w:ascii="宋体" w:hAnsi="宋体" w:cs="宋体"/>
                <w:kern w:val="0"/>
                <w:szCs w:val="21"/>
                <w:highlight w:val="none"/>
              </w:rPr>
              <w:t>承包人实施方案（B）：</w:t>
            </w:r>
            <w:r>
              <w:rPr>
                <w:rFonts w:hint="eastAsia" w:ascii="宋体" w:hAnsi="宋体" w:cs="宋体"/>
                <w:kern w:val="0"/>
                <w:szCs w:val="21"/>
                <w:highlight w:val="none"/>
                <w:u w:val="single"/>
              </w:rPr>
              <w:t>20</w:t>
            </w:r>
            <w:r>
              <w:rPr>
                <w:rFonts w:hint="eastAsia" w:ascii="宋体" w:hAnsi="宋体" w:cs="宋体"/>
                <w:kern w:val="0"/>
                <w:szCs w:val="21"/>
                <w:highlight w:val="none"/>
              </w:rPr>
              <w:t>分</w:t>
            </w:r>
          </w:p>
          <w:p>
            <w:pPr>
              <w:rPr>
                <w:rFonts w:ascii="宋体" w:hAnsi="宋体" w:cs="宋体"/>
                <w:szCs w:val="21"/>
                <w:highlight w:val="none"/>
              </w:rPr>
            </w:pPr>
            <w:r>
              <w:rPr>
                <w:rFonts w:hint="eastAsia" w:ascii="宋体" w:hAnsi="宋体" w:cs="宋体"/>
                <w:szCs w:val="21"/>
                <w:highlight w:val="none"/>
              </w:rPr>
              <w:t>企业业绩、实力、资信 (C)：</w:t>
            </w:r>
            <w:r>
              <w:rPr>
                <w:rFonts w:hint="eastAsia" w:ascii="宋体" w:hAnsi="宋体" w:cs="宋体"/>
                <w:szCs w:val="21"/>
                <w:highlight w:val="none"/>
                <w:u w:val="single"/>
              </w:rPr>
              <w:t>25</w:t>
            </w:r>
            <w:r>
              <w:rPr>
                <w:rFonts w:hint="eastAsia" w:ascii="宋体" w:hAnsi="宋体" w:cs="宋体"/>
                <w:szCs w:val="21"/>
                <w:highlight w:val="none"/>
              </w:rPr>
              <w:t>分</w:t>
            </w:r>
          </w:p>
          <w:p>
            <w:pPr>
              <w:spacing w:line="400" w:lineRule="exact"/>
              <w:rPr>
                <w:rFonts w:ascii="宋体" w:hAnsi="宋体" w:cs="Arial"/>
                <w:b/>
                <w:bCs/>
                <w:szCs w:val="21"/>
                <w:highlight w:val="none"/>
              </w:rPr>
            </w:pPr>
            <w:r>
              <w:rPr>
                <w:rFonts w:hint="eastAsia" w:ascii="宋体" w:hAnsi="宋体" w:cs="Arial"/>
                <w:b/>
                <w:bCs/>
                <w:szCs w:val="21"/>
                <w:highlight w:val="none"/>
              </w:rPr>
              <w:t>（报价文件）评分分值构成：</w:t>
            </w:r>
          </w:p>
          <w:p>
            <w:pPr>
              <w:tabs>
                <w:tab w:val="center" w:pos="4153"/>
                <w:tab w:val="right" w:pos="8306"/>
              </w:tabs>
              <w:spacing w:line="360" w:lineRule="auto"/>
              <w:rPr>
                <w:b/>
                <w:bCs/>
                <w:sz w:val="22"/>
                <w:szCs w:val="22"/>
                <w:highlight w:val="none"/>
              </w:rPr>
            </w:pPr>
            <w:r>
              <w:rPr>
                <w:rFonts w:hint="eastAsia" w:ascii="宋体" w:hAnsi="宋体" w:cs="Arial"/>
                <w:szCs w:val="21"/>
                <w:highlight w:val="none"/>
              </w:rPr>
              <w:t>评标价 ：</w:t>
            </w:r>
            <w:r>
              <w:rPr>
                <w:rFonts w:hint="eastAsia" w:ascii="宋体" w:hAnsi="宋体" w:cs="Arial"/>
                <w:szCs w:val="21"/>
                <w:highlight w:val="none"/>
                <w:u w:val="single"/>
              </w:rPr>
              <w:t xml:space="preserve"> 50 </w:t>
            </w:r>
            <w:r>
              <w:rPr>
                <w:rFonts w:hint="eastAsia" w:ascii="宋体" w:hAnsi="宋体" w:cs="Arial"/>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2.2.2</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评标基准价计算方法</w:t>
            </w:r>
          </w:p>
        </w:tc>
        <w:tc>
          <w:tcPr>
            <w:tcW w:w="5267" w:type="dxa"/>
            <w:tcBorders>
              <w:top w:val="single" w:color="auto" w:sz="4" w:space="0"/>
              <w:left w:val="single" w:color="auto" w:sz="4" w:space="0"/>
              <w:bottom w:val="single" w:color="auto" w:sz="4" w:space="0"/>
              <w:right w:val="single" w:color="auto" w:sz="4" w:space="0"/>
            </w:tcBorders>
            <w:vAlign w:val="center"/>
          </w:tcPr>
          <w:p>
            <w:pPr>
              <w:pStyle w:val="2"/>
              <w:adjustRightInd w:val="0"/>
              <w:spacing w:line="500" w:lineRule="atLeast"/>
              <w:rPr>
                <w:rFonts w:ascii="宋体" w:hAnsi="宋体" w:cs="宋体"/>
                <w:sz w:val="21"/>
                <w:szCs w:val="21"/>
                <w:highlight w:val="none"/>
              </w:rPr>
            </w:pPr>
            <w:r>
              <w:rPr>
                <w:rFonts w:hint="eastAsia" w:ascii="宋体" w:hAnsi="宋体" w:cs="宋体"/>
                <w:sz w:val="21"/>
                <w:szCs w:val="21"/>
                <w:highlight w:val="none"/>
              </w:rPr>
              <w:t>在开标现场，招标人将当场计算并宣布评标基准价。</w:t>
            </w:r>
          </w:p>
          <w:p>
            <w:pPr>
              <w:pStyle w:val="2"/>
              <w:adjustRightInd w:val="0"/>
              <w:spacing w:line="500" w:lineRule="atLeast"/>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1）评标价的确定：</w:t>
            </w:r>
          </w:p>
          <w:p>
            <w:pPr>
              <w:pStyle w:val="2"/>
              <w:adjustRightInd w:val="0"/>
              <w:spacing w:line="500" w:lineRule="atLeast"/>
              <w:rPr>
                <w:rFonts w:ascii="宋体" w:hAnsi="宋体" w:cs="宋体"/>
                <w:sz w:val="21"/>
                <w:szCs w:val="21"/>
                <w:highlight w:val="none"/>
              </w:rPr>
            </w:pPr>
            <w:r>
              <w:rPr>
                <w:rFonts w:hint="eastAsia" w:ascii="宋体" w:hAnsi="宋体" w:cs="宋体"/>
                <w:sz w:val="21"/>
                <w:szCs w:val="21"/>
                <w:highlight w:val="none"/>
              </w:rPr>
              <w:t>评标价＝投标函文字报价</w:t>
            </w:r>
          </w:p>
          <w:p>
            <w:pPr>
              <w:pStyle w:val="2"/>
              <w:adjustRightInd w:val="0"/>
              <w:spacing w:line="500" w:lineRule="atLeast"/>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 xml:space="preserve">2）评标基准价的计算： </w:t>
            </w:r>
          </w:p>
          <w:p>
            <w:pPr>
              <w:pStyle w:val="2"/>
              <w:adjustRightInd w:val="0"/>
              <w:spacing w:line="500" w:lineRule="atLeast"/>
              <w:ind w:firstLine="315" w:firstLineChars="150"/>
              <w:rPr>
                <w:rFonts w:ascii="宋体" w:hAnsi="宋体" w:cs="Arial"/>
                <w:b/>
                <w:szCs w:val="21"/>
                <w:highlight w:val="none"/>
              </w:rPr>
            </w:pPr>
            <w:r>
              <w:rPr>
                <w:rFonts w:hint="eastAsia" w:ascii="宋体" w:hAnsi="宋体" w:cs="宋体"/>
                <w:sz w:val="21"/>
                <w:szCs w:val="21"/>
                <w:highlight w:val="none"/>
              </w:rPr>
              <w:t>评标基准价</w:t>
            </w:r>
            <w:r>
              <w:rPr>
                <w:rFonts w:ascii="宋体" w:hAnsi="宋体" w:cs="宋体"/>
                <w:sz w:val="21"/>
                <w:szCs w:val="21"/>
                <w:highlight w:val="none"/>
              </w:rPr>
              <w:t>=</w:t>
            </w:r>
            <w:r>
              <w:rPr>
                <w:rFonts w:hint="eastAsia" w:ascii="Arial" w:hAnsi="Arial" w:cs="Arial"/>
                <w:sz w:val="21"/>
                <w:szCs w:val="21"/>
                <w:highlight w:val="none"/>
              </w:rPr>
              <w:t>B</w:t>
            </w:r>
          </w:p>
          <w:p>
            <w:pPr>
              <w:pStyle w:val="2"/>
              <w:adjustRightInd w:val="0"/>
              <w:spacing w:line="500" w:lineRule="atLeast"/>
              <w:ind w:firstLine="315" w:firstLineChars="150"/>
              <w:rPr>
                <w:rFonts w:ascii="宋体" w:hAnsi="宋体" w:cs="宋体"/>
                <w:sz w:val="21"/>
                <w:szCs w:val="21"/>
                <w:highlight w:val="none"/>
              </w:rPr>
            </w:pPr>
            <w:r>
              <w:rPr>
                <w:rFonts w:hint="eastAsia" w:ascii="Arial" w:hAnsi="Arial" w:cs="Arial"/>
                <w:sz w:val="21"/>
                <w:szCs w:val="21"/>
                <w:highlight w:val="none"/>
              </w:rPr>
              <w:t>B</w:t>
            </w:r>
            <w:r>
              <w:rPr>
                <w:rFonts w:ascii="宋体" w:hAnsi="宋体" w:cs="宋体"/>
                <w:sz w:val="21"/>
                <w:szCs w:val="21"/>
                <w:highlight w:val="none"/>
              </w:rPr>
              <w:t xml:space="preserve">为按以下方式计算得出的值： </w:t>
            </w:r>
          </w:p>
          <w:p>
            <w:pPr>
              <w:pStyle w:val="2"/>
              <w:adjustRightInd w:val="0"/>
              <w:spacing w:line="500" w:lineRule="atLeast"/>
              <w:rPr>
                <w:rFonts w:ascii="宋体" w:hAnsi="宋体" w:cs="宋体"/>
                <w:sz w:val="21"/>
                <w:highlight w:val="none"/>
              </w:rPr>
            </w:pPr>
            <w:r>
              <w:rPr>
                <w:rFonts w:hint="eastAsia" w:ascii="宋体" w:hAnsi="宋体" w:cs="宋体"/>
                <w:sz w:val="21"/>
                <w:szCs w:val="21"/>
                <w:highlight w:val="none"/>
              </w:rPr>
              <w:t>有效投标价：除按招标文件第二章“投标人须知前附表”中第</w:t>
            </w:r>
            <w:r>
              <w:rPr>
                <w:rFonts w:ascii="宋体" w:hAnsi="宋体" w:cs="宋体"/>
                <w:sz w:val="21"/>
                <w:szCs w:val="21"/>
                <w:highlight w:val="none"/>
              </w:rPr>
              <w:t xml:space="preserve"> 5.2.2 </w:t>
            </w:r>
            <w:r>
              <w:rPr>
                <w:rFonts w:hint="eastAsia" w:ascii="宋体" w:hAnsi="宋体" w:cs="宋体"/>
                <w:sz w:val="21"/>
                <w:szCs w:val="21"/>
                <w:highlight w:val="none"/>
              </w:rPr>
              <w:t>条规定的开标现场不参与评标基准价计算的投标报价之外的投标报价（投标函文字报价）。</w:t>
            </w:r>
          </w:p>
          <w:p>
            <w:pPr>
              <w:pStyle w:val="2"/>
              <w:adjustRightInd w:val="0"/>
              <w:spacing w:line="500" w:lineRule="atLeast"/>
              <w:ind w:firstLine="420" w:firstLineChars="200"/>
              <w:rPr>
                <w:rFonts w:ascii="宋体" w:hAnsi="宋体" w:cs="宋体"/>
                <w:sz w:val="21"/>
                <w:szCs w:val="21"/>
                <w:highlight w:val="none"/>
              </w:rPr>
            </w:pPr>
            <w:r>
              <w:rPr>
                <w:rFonts w:hint="eastAsia" w:ascii="宋体" w:hAnsi="宋体" w:cs="宋体"/>
                <w:sz w:val="21"/>
                <w:szCs w:val="21"/>
                <w:highlight w:val="none"/>
              </w:rPr>
              <w:t>将上述有效投标报价从高到低划分为（有效投标报价个数的</w:t>
            </w:r>
            <w:r>
              <w:rPr>
                <w:rFonts w:ascii="宋体" w:hAnsi="宋体" w:cs="宋体"/>
                <w:sz w:val="21"/>
                <w:szCs w:val="21"/>
                <w:highlight w:val="none"/>
              </w:rPr>
              <w:t>1/3，向上取整，如 2.3333 取整为 3）个等差报价区间，对各个区间内的投标报价进行第一次算术平均（保留小数点后</w:t>
            </w:r>
            <w:r>
              <w:rPr>
                <w:rFonts w:hint="eastAsia" w:ascii="宋体" w:hAnsi="宋体" w:cs="宋体"/>
                <w:sz w:val="21"/>
                <w:szCs w:val="21"/>
                <w:highlight w:val="none"/>
                <w:lang w:eastAsia="zh-CN"/>
              </w:rPr>
              <w:t>四</w:t>
            </w:r>
            <w:r>
              <w:rPr>
                <w:rFonts w:ascii="宋体" w:hAnsi="宋体" w:cs="宋体"/>
                <w:sz w:val="21"/>
                <w:szCs w:val="21"/>
                <w:highlight w:val="none"/>
              </w:rPr>
              <w:t>位，小数点后第</w:t>
            </w:r>
            <w:r>
              <w:rPr>
                <w:rFonts w:hint="eastAsia" w:ascii="宋体" w:hAnsi="宋体" w:cs="宋体"/>
                <w:sz w:val="21"/>
                <w:szCs w:val="21"/>
                <w:highlight w:val="none"/>
                <w:lang w:eastAsia="zh-CN"/>
              </w:rPr>
              <w:t>五</w:t>
            </w:r>
            <w:r>
              <w:rPr>
                <w:rFonts w:ascii="宋体" w:hAnsi="宋体" w:cs="宋体"/>
                <w:sz w:val="21"/>
                <w:szCs w:val="21"/>
                <w:highlight w:val="none"/>
              </w:rPr>
              <w:t xml:space="preserve">位“四舍五入”，当投标人的投标报价等于区间临界值时，列入较低 一个区间计算平均值，最低投标报价列入较高一个区间计算平均值）， 然后再对各区间的第一次算术平均值进行第二次平均，所得出的平均值即为 </w:t>
            </w:r>
            <w:r>
              <w:rPr>
                <w:rFonts w:hint="eastAsia" w:ascii="Arial" w:hAnsi="Arial" w:cs="Arial"/>
                <w:sz w:val="21"/>
                <w:szCs w:val="21"/>
                <w:highlight w:val="none"/>
              </w:rPr>
              <w:t>B</w:t>
            </w:r>
            <w:r>
              <w:rPr>
                <w:rFonts w:ascii="宋体" w:hAnsi="宋体" w:cs="宋体"/>
                <w:sz w:val="21"/>
                <w:szCs w:val="21"/>
                <w:highlight w:val="none"/>
              </w:rPr>
              <w:t xml:space="preserve"> 值（若某区间没有对应投标人的报价，则进行第二次算术平均时扣除相应区间的个数）。 </w:t>
            </w:r>
          </w:p>
          <w:p>
            <w:pPr>
              <w:tabs>
                <w:tab w:val="left" w:pos="510"/>
              </w:tabs>
              <w:adjustRightInd w:val="0"/>
              <w:snapToGrid w:val="0"/>
              <w:spacing w:line="500" w:lineRule="atLeast"/>
              <w:ind w:firstLine="315" w:firstLineChars="150"/>
              <w:rPr>
                <w:rFonts w:ascii="宋体" w:hAnsi="宋体" w:cs="宋体"/>
                <w:szCs w:val="21"/>
                <w:highlight w:val="none"/>
              </w:rPr>
            </w:pPr>
            <w:r>
              <w:rPr>
                <w:rFonts w:hint="eastAsia" w:ascii="宋体" w:hAnsi="宋体" w:cs="宋体"/>
                <w:szCs w:val="21"/>
                <w:highlight w:val="none"/>
              </w:rPr>
              <w:t xml:space="preserve">在评标过程中，评标委员会应对招标人计算的评标基准价进行复核，存在计算错误的应予以修正并在评标报告中作出说明。除此之外，评标基准价在整个评标期间保持不变，不随任何因素发生变化。                                                                                                                                                                                                                                                                                                                                                                                                                                                                                                                                                                                                                                                                                                                                                                                                                                                                                                                                                                                                                                                                                                                                                                                                                                                                                                                                                                                                                                                                                                                         </w:t>
            </w:r>
          </w:p>
          <w:p>
            <w:pPr>
              <w:pStyle w:val="2"/>
              <w:rPr>
                <w:rFonts w:ascii="宋体" w:hAnsi="宋体" w:cs="宋体"/>
                <w:sz w:val="21"/>
                <w:szCs w:val="21"/>
                <w:highlight w:val="none"/>
              </w:rPr>
            </w:pPr>
          </w:p>
          <w:p>
            <w:pPr>
              <w:pStyle w:val="2"/>
              <w:adjustRightInd w:val="0"/>
              <w:spacing w:line="500" w:lineRule="atLeast"/>
              <w:rPr>
                <w:highlight w:val="none"/>
              </w:rPr>
            </w:pPr>
            <w:r>
              <w:rPr>
                <w:rFonts w:hint="eastAsia" w:ascii="宋体" w:hAnsi="宋体" w:cs="宋体"/>
                <w:sz w:val="21"/>
                <w:szCs w:val="21"/>
                <w:highlight w:val="none"/>
              </w:rPr>
              <w:t>注：本项目四项报价评标基准价均采用上述计算方法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046"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2.2.3</w:t>
            </w:r>
          </w:p>
        </w:tc>
        <w:tc>
          <w:tcPr>
            <w:tcW w:w="2021"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投标报价的偏差率计算公式</w:t>
            </w:r>
          </w:p>
        </w:tc>
        <w:tc>
          <w:tcPr>
            <w:tcW w:w="5267" w:type="dxa"/>
            <w:tcBorders>
              <w:top w:val="single" w:color="auto" w:sz="4" w:space="0"/>
              <w:left w:val="single" w:color="auto" w:sz="4" w:space="0"/>
              <w:right w:val="single" w:color="auto" w:sz="4" w:space="0"/>
            </w:tcBorders>
            <w:vAlign w:val="center"/>
          </w:tcPr>
          <w:p>
            <w:pPr>
              <w:adjustRightInd w:val="0"/>
              <w:snapToGrid w:val="0"/>
              <w:spacing w:line="440" w:lineRule="exact"/>
              <w:rPr>
                <w:szCs w:val="21"/>
                <w:highlight w:val="none"/>
              </w:rPr>
            </w:pPr>
            <w:r>
              <w:rPr>
                <w:rFonts w:hint="eastAsia"/>
                <w:szCs w:val="21"/>
                <w:highlight w:val="none"/>
              </w:rPr>
              <w:t>偏差率</w:t>
            </w:r>
            <w:r>
              <w:rPr>
                <w:szCs w:val="21"/>
                <w:highlight w:val="none"/>
              </w:rPr>
              <w:t xml:space="preserve">=100% </w:t>
            </w:r>
            <w:r>
              <w:rPr>
                <w:rFonts w:ascii="Calibri" w:hAnsi="Calibri" w:cs="Calibri"/>
                <w:szCs w:val="21"/>
                <w:highlight w:val="none"/>
              </w:rPr>
              <w:t>X</w:t>
            </w:r>
            <w:r>
              <w:rPr>
                <w:rFonts w:hint="eastAsia"/>
                <w:szCs w:val="21"/>
                <w:highlight w:val="none"/>
              </w:rPr>
              <w:t>|投标人评标</w:t>
            </w:r>
            <w:r>
              <w:rPr>
                <w:rFonts w:ascii="宋体" w:hAnsi="宋体"/>
                <w:szCs w:val="21"/>
                <w:highlight w:val="none"/>
              </w:rPr>
              <w:t>价</w:t>
            </w:r>
            <w:r>
              <w:rPr>
                <w:rFonts w:hint="eastAsia" w:ascii="宋体" w:hAnsi="宋体"/>
                <w:szCs w:val="21"/>
                <w:highlight w:val="none"/>
              </w:rPr>
              <w:t>－</w:t>
            </w:r>
            <w:r>
              <w:rPr>
                <w:rFonts w:hint="eastAsia"/>
                <w:szCs w:val="21"/>
                <w:highlight w:val="none"/>
              </w:rPr>
              <w:t>评标基准价|</w:t>
            </w:r>
            <w:r>
              <w:rPr>
                <w:szCs w:val="21"/>
                <w:highlight w:val="none"/>
              </w:rPr>
              <w:t>/</w:t>
            </w:r>
            <w:r>
              <w:rPr>
                <w:rFonts w:hint="eastAsia"/>
                <w:szCs w:val="21"/>
                <w:highlight w:val="none"/>
              </w:rPr>
              <w:t xml:space="preserve">评标基准价  </w:t>
            </w:r>
            <w:r>
              <w:rPr>
                <w:szCs w:val="21"/>
                <w:highlight w:val="none"/>
              </w:rPr>
              <w:t xml:space="preserve"> </w:t>
            </w:r>
            <w:r>
              <w:rPr>
                <w:rFonts w:hint="eastAsia" w:ascii="宋体" w:hAnsi="宋体" w:cs="Arial"/>
                <w:highlight w:val="none"/>
              </w:rPr>
              <w:t>（</w:t>
            </w:r>
            <w:r>
              <w:rPr>
                <w:rFonts w:hint="eastAsia"/>
                <w:szCs w:val="21"/>
                <w:highlight w:val="none"/>
              </w:rPr>
              <w:t>偏差率</w:t>
            </w:r>
            <w:r>
              <w:rPr>
                <w:rFonts w:hint="eastAsia"/>
                <w:szCs w:val="21"/>
                <w:highlight w:val="none"/>
                <w:lang w:eastAsia="zh-CN"/>
              </w:rPr>
              <w:t>取</w:t>
            </w:r>
            <w:r>
              <w:rPr>
                <w:rFonts w:hint="eastAsia"/>
                <w:szCs w:val="21"/>
                <w:highlight w:val="none"/>
              </w:rPr>
              <w:t>绝对值</w:t>
            </w:r>
            <w:r>
              <w:rPr>
                <w:rFonts w:hint="eastAsia" w:ascii="宋体" w:hAnsi="宋体" w:cs="Arial"/>
                <w:highlight w:val="none"/>
              </w:rPr>
              <w:t>计</w:t>
            </w:r>
            <w:r>
              <w:rPr>
                <w:rFonts w:hint="eastAsia" w:ascii="宋体" w:hAnsi="宋体" w:cs="Arial"/>
                <w:highlight w:val="none"/>
              </w:rPr>
              <w:t>算结果</w:t>
            </w:r>
            <w:r>
              <w:rPr>
                <w:rFonts w:ascii="宋体" w:hAnsi="宋体" w:cs="Arial"/>
                <w:highlight w:val="none"/>
              </w:rPr>
              <w:t>保留</w:t>
            </w:r>
            <w:r>
              <w:rPr>
                <w:rFonts w:ascii="宋体" w:hAnsi="宋体" w:cs="Arial"/>
                <w:highlight w:val="none"/>
                <w:u w:val="single"/>
              </w:rPr>
              <w:t xml:space="preserve"> 2 </w:t>
            </w:r>
            <w:r>
              <w:rPr>
                <w:rFonts w:ascii="宋体" w:hAnsi="宋体" w:cs="Arial"/>
                <w:highlight w:val="none"/>
              </w:rPr>
              <w:t>位小数</w:t>
            </w:r>
            <w:r>
              <w:rPr>
                <w:rFonts w:hint="eastAsia" w:ascii="宋体" w:hAnsi="宋体" w:cs="Arial"/>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nil"/>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2.2.4</w:t>
            </w:r>
            <w:r>
              <w:rPr>
                <w:rFonts w:hint="eastAsia"/>
                <w:szCs w:val="21"/>
                <w:highlight w:val="none"/>
              </w:rPr>
              <w:t>（</w:t>
            </w:r>
            <w:r>
              <w:rPr>
                <w:szCs w:val="21"/>
                <w:highlight w:val="none"/>
              </w:rPr>
              <w:t>1</w:t>
            </w:r>
            <w:r>
              <w:rPr>
                <w:rFonts w:hint="eastAsia"/>
                <w:szCs w:val="21"/>
                <w:highlight w:val="none"/>
              </w:rPr>
              <w:t>）</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承包人建议书评分标准</w:t>
            </w:r>
          </w:p>
        </w:tc>
        <w:tc>
          <w:tcPr>
            <w:tcW w:w="5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highlight w:val="none"/>
              </w:rPr>
            </w:pPr>
            <w:r>
              <w:rPr>
                <w:rFonts w:hint="eastAsia"/>
                <w:szCs w:val="21"/>
                <w:highlight w:val="none"/>
              </w:rPr>
              <w:t>见附件</w:t>
            </w:r>
            <w:r>
              <w:rPr>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nil"/>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2.2.4</w:t>
            </w:r>
            <w:r>
              <w:rPr>
                <w:rFonts w:hint="eastAsia"/>
                <w:szCs w:val="21"/>
                <w:highlight w:val="none"/>
              </w:rPr>
              <w:t>（</w:t>
            </w:r>
            <w:r>
              <w:rPr>
                <w:szCs w:val="21"/>
                <w:highlight w:val="none"/>
              </w:rPr>
              <w:t>2</w:t>
            </w:r>
            <w:r>
              <w:rPr>
                <w:rFonts w:hint="eastAsia"/>
                <w:szCs w:val="21"/>
                <w:highlight w:val="none"/>
              </w:rPr>
              <w:t>）</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资信业绩评分标准</w:t>
            </w:r>
          </w:p>
        </w:tc>
        <w:tc>
          <w:tcPr>
            <w:tcW w:w="5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highlight w:val="none"/>
              </w:rPr>
            </w:pPr>
            <w:r>
              <w:rPr>
                <w:rFonts w:hint="eastAsia"/>
                <w:szCs w:val="21"/>
                <w:highlight w:val="none"/>
              </w:rPr>
              <w:t>见附件</w:t>
            </w:r>
            <w:r>
              <w:rPr>
                <w:szCs w:val="21"/>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2.2.4</w:t>
            </w:r>
            <w:r>
              <w:rPr>
                <w:rFonts w:hint="eastAsia"/>
                <w:szCs w:val="21"/>
                <w:highlight w:val="none"/>
              </w:rPr>
              <w:t>（</w:t>
            </w:r>
            <w:r>
              <w:rPr>
                <w:szCs w:val="21"/>
                <w:highlight w:val="none"/>
              </w:rPr>
              <w:t>3</w:t>
            </w:r>
            <w:r>
              <w:rPr>
                <w:rFonts w:hint="eastAsia"/>
                <w:szCs w:val="21"/>
                <w:highlight w:val="none"/>
              </w:rPr>
              <w:t>）</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承包人实施方案</w:t>
            </w:r>
          </w:p>
        </w:tc>
        <w:tc>
          <w:tcPr>
            <w:tcW w:w="5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tLeast"/>
              <w:rPr>
                <w:szCs w:val="21"/>
                <w:highlight w:val="none"/>
              </w:rPr>
            </w:pPr>
            <w:r>
              <w:rPr>
                <w:rFonts w:hint="eastAsia"/>
                <w:szCs w:val="21"/>
                <w:highlight w:val="none"/>
              </w:rPr>
              <w:t>见附件</w:t>
            </w:r>
            <w:r>
              <w:rPr>
                <w:szCs w:val="21"/>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szCs w:val="21"/>
                <w:highlight w:val="none"/>
              </w:rPr>
              <w:t>2.2.4</w:t>
            </w:r>
            <w:r>
              <w:rPr>
                <w:rFonts w:hint="eastAsia"/>
                <w:szCs w:val="21"/>
                <w:highlight w:val="none"/>
              </w:rPr>
              <w:t>（</w:t>
            </w:r>
            <w:r>
              <w:rPr>
                <w:szCs w:val="21"/>
                <w:highlight w:val="none"/>
              </w:rPr>
              <w:t>4</w:t>
            </w:r>
            <w:r>
              <w:rPr>
                <w:rFonts w:hint="eastAsia"/>
                <w:szCs w:val="21"/>
                <w:highlight w:val="none"/>
              </w:rPr>
              <w:t>）</w:t>
            </w:r>
          </w:p>
        </w:tc>
        <w:tc>
          <w:tcPr>
            <w:tcW w:w="2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highlight w:val="none"/>
              </w:rPr>
            </w:pPr>
            <w:r>
              <w:rPr>
                <w:rFonts w:hint="eastAsia"/>
                <w:szCs w:val="21"/>
                <w:highlight w:val="none"/>
              </w:rPr>
              <w:t>投标报价评分标准</w:t>
            </w:r>
          </w:p>
        </w:tc>
        <w:tc>
          <w:tcPr>
            <w:tcW w:w="5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tLeast"/>
              <w:rPr>
                <w:szCs w:val="21"/>
                <w:highlight w:val="none"/>
              </w:rPr>
            </w:pPr>
            <w:r>
              <w:rPr>
                <w:rFonts w:hint="eastAsia"/>
                <w:szCs w:val="21"/>
                <w:highlight w:val="none"/>
              </w:rPr>
              <w:t>见附件</w:t>
            </w:r>
            <w:r>
              <w:rPr>
                <w:szCs w:val="21"/>
                <w:highlight w:val="none"/>
              </w:rPr>
              <w:t>4</w:t>
            </w:r>
          </w:p>
        </w:tc>
      </w:tr>
    </w:tbl>
    <w:p>
      <w:pPr>
        <w:pStyle w:val="2"/>
        <w:rPr>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p>
    <w:p>
      <w:pPr>
        <w:spacing w:line="360" w:lineRule="auto"/>
        <w:jc w:val="left"/>
        <w:rPr>
          <w:b/>
          <w:sz w:val="28"/>
          <w:szCs w:val="28"/>
          <w:highlight w:val="none"/>
        </w:rPr>
      </w:pPr>
      <w:r>
        <w:rPr>
          <w:rFonts w:hint="eastAsia"/>
          <w:b/>
          <w:sz w:val="28"/>
          <w:szCs w:val="28"/>
          <w:highlight w:val="none"/>
        </w:rPr>
        <w:t>附件</w:t>
      </w:r>
      <w:r>
        <w:rPr>
          <w:b/>
          <w:sz w:val="28"/>
          <w:szCs w:val="28"/>
          <w:highlight w:val="none"/>
        </w:rPr>
        <w:t>1</w:t>
      </w:r>
      <w:r>
        <w:rPr>
          <w:rFonts w:hint="eastAsia"/>
          <w:b/>
          <w:sz w:val="28"/>
          <w:szCs w:val="28"/>
          <w:highlight w:val="none"/>
        </w:rPr>
        <w:t>：</w:t>
      </w:r>
    </w:p>
    <w:p>
      <w:pPr>
        <w:spacing w:line="360" w:lineRule="auto"/>
        <w:jc w:val="center"/>
        <w:rPr>
          <w:b/>
          <w:sz w:val="32"/>
          <w:szCs w:val="32"/>
          <w:highlight w:val="none"/>
        </w:rPr>
      </w:pPr>
      <w:r>
        <w:rPr>
          <w:b/>
          <w:sz w:val="32"/>
          <w:szCs w:val="32"/>
          <w:highlight w:val="none"/>
        </w:rPr>
        <w:t>2.2.4</w:t>
      </w:r>
      <w:r>
        <w:rPr>
          <w:rFonts w:hint="eastAsia"/>
          <w:b/>
          <w:sz w:val="32"/>
          <w:szCs w:val="32"/>
          <w:highlight w:val="none"/>
        </w:rPr>
        <w:t>（</w:t>
      </w:r>
      <w:r>
        <w:rPr>
          <w:b/>
          <w:sz w:val="32"/>
          <w:szCs w:val="32"/>
          <w:highlight w:val="none"/>
        </w:rPr>
        <w:t>1</w:t>
      </w:r>
      <w:r>
        <w:rPr>
          <w:rFonts w:hint="eastAsia"/>
          <w:b/>
          <w:sz w:val="32"/>
          <w:szCs w:val="32"/>
          <w:highlight w:val="none"/>
        </w:rPr>
        <w:t>）承包人建议书评分标准（</w:t>
      </w:r>
      <w:r>
        <w:rPr>
          <w:b/>
          <w:sz w:val="32"/>
          <w:szCs w:val="32"/>
          <w:highlight w:val="none"/>
        </w:rPr>
        <w:t>A</w:t>
      </w:r>
      <w:r>
        <w:rPr>
          <w:rFonts w:hint="eastAsia"/>
          <w:b/>
          <w:sz w:val="32"/>
          <w:szCs w:val="32"/>
          <w:highlight w:val="none"/>
        </w:rPr>
        <w:t>）</w:t>
      </w:r>
    </w:p>
    <w:p>
      <w:pPr>
        <w:spacing w:line="360" w:lineRule="auto"/>
        <w:jc w:val="right"/>
        <w:rPr>
          <w:highlight w:val="none"/>
        </w:rPr>
      </w:pPr>
      <w:r>
        <w:rPr>
          <w:rFonts w:hint="eastAsia"/>
          <w:highlight w:val="none"/>
        </w:rPr>
        <w:t>满分5分</w:t>
      </w:r>
    </w:p>
    <w:tbl>
      <w:tblPr>
        <w:tblStyle w:val="7"/>
        <w:tblW w:w="985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3"/>
        <w:gridCol w:w="2700"/>
        <w:gridCol w:w="950"/>
        <w:gridCol w:w="41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0"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条款号</w:t>
            </w:r>
          </w:p>
        </w:tc>
        <w:tc>
          <w:tcPr>
            <w:tcW w:w="1183"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评分因素</w:t>
            </w:r>
          </w:p>
        </w:tc>
        <w:tc>
          <w:tcPr>
            <w:tcW w:w="2700"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各细分评分因素</w:t>
            </w:r>
          </w:p>
        </w:tc>
        <w:tc>
          <w:tcPr>
            <w:tcW w:w="950"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分值</w:t>
            </w:r>
          </w:p>
        </w:tc>
        <w:tc>
          <w:tcPr>
            <w:tcW w:w="4120" w:type="dxa"/>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评分标准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900" w:type="dxa"/>
            <w:vMerge w:val="restart"/>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2.2.4（1）</w:t>
            </w:r>
          </w:p>
        </w:tc>
        <w:tc>
          <w:tcPr>
            <w:tcW w:w="1183" w:type="dxa"/>
            <w:vMerge w:val="restart"/>
            <w:tcBorders>
              <w:tl2br w:val="nil"/>
              <w:tr2bl w:val="nil"/>
            </w:tcBorders>
            <w:vAlign w:val="center"/>
          </w:tcPr>
          <w:p>
            <w:pPr>
              <w:jc w:val="left"/>
              <w:rPr>
                <w:rFonts w:ascii="宋体" w:hAnsi="宋体" w:cs="宋体"/>
                <w:b/>
                <w:bCs/>
                <w:szCs w:val="21"/>
                <w:highlight w:val="none"/>
              </w:rPr>
            </w:pPr>
            <w:r>
              <w:rPr>
                <w:rFonts w:hint="eastAsia" w:ascii="宋体" w:hAnsi="宋体" w:cs="宋体"/>
                <w:b/>
                <w:bCs/>
                <w:szCs w:val="21"/>
                <w:highlight w:val="none"/>
              </w:rPr>
              <w:t>承包人建议书评审标准</w:t>
            </w:r>
          </w:p>
          <w:p>
            <w:pPr>
              <w:jc w:val="left"/>
              <w:rPr>
                <w:rFonts w:ascii="宋体" w:hAnsi="宋体" w:cs="宋体"/>
                <w:szCs w:val="21"/>
                <w:highlight w:val="none"/>
              </w:rPr>
            </w:pPr>
            <w:r>
              <w:rPr>
                <w:rFonts w:hint="eastAsia" w:ascii="宋体" w:hAnsi="宋体" w:cs="宋体"/>
                <w:b/>
                <w:bCs/>
                <w:szCs w:val="21"/>
                <w:highlight w:val="none"/>
              </w:rPr>
              <w:t>（5分）</w:t>
            </w:r>
          </w:p>
        </w:tc>
        <w:tc>
          <w:tcPr>
            <w:tcW w:w="2700" w:type="dxa"/>
            <w:tcBorders>
              <w:tl2br w:val="nil"/>
              <w:tr2bl w:val="nil"/>
            </w:tcBorders>
            <w:vAlign w:val="center"/>
          </w:tcPr>
          <w:p>
            <w:pPr>
              <w:jc w:val="left"/>
              <w:rPr>
                <w:rFonts w:ascii="宋体" w:hAnsi="宋体" w:cs="宋体"/>
                <w:szCs w:val="21"/>
                <w:highlight w:val="none"/>
                <w:lang w:val="zh-CN"/>
              </w:rPr>
            </w:pPr>
            <w:r>
              <w:rPr>
                <w:rFonts w:hint="eastAsia" w:ascii="宋体" w:hAnsi="宋体" w:cs="宋体"/>
                <w:szCs w:val="21"/>
                <w:highlight w:val="none"/>
              </w:rPr>
              <w:t>对招标项目的理解和总体设计思路</w:t>
            </w:r>
          </w:p>
        </w:tc>
        <w:tc>
          <w:tcPr>
            <w:tcW w:w="950" w:type="dxa"/>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2分</w:t>
            </w:r>
          </w:p>
        </w:tc>
        <w:tc>
          <w:tcPr>
            <w:tcW w:w="4120" w:type="dxa"/>
            <w:vMerge w:val="restart"/>
            <w:tcBorders>
              <w:tl2br w:val="nil"/>
              <w:tr2bl w:val="nil"/>
            </w:tcBorders>
            <w:vAlign w:val="center"/>
          </w:tcPr>
          <w:p>
            <w:pPr>
              <w:pStyle w:val="2"/>
              <w:adjustRightInd w:val="0"/>
              <w:rPr>
                <w:rFonts w:ascii="宋体" w:hAnsi="宋体" w:cs="宋体"/>
                <w:sz w:val="21"/>
                <w:szCs w:val="21"/>
                <w:highlight w:val="none"/>
              </w:rPr>
            </w:pPr>
            <w:r>
              <w:rPr>
                <w:rFonts w:hint="eastAsia" w:ascii="宋体" w:hAnsi="宋体" w:cs="宋体"/>
                <w:sz w:val="21"/>
                <w:szCs w:val="21"/>
                <w:highlight w:val="none"/>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投标人设计方案予以适当扣分。</w:t>
            </w:r>
          </w:p>
          <w:p>
            <w:pPr>
              <w:pStyle w:val="2"/>
              <w:adjustRightInd w:val="0"/>
              <w:rPr>
                <w:rFonts w:ascii="宋体" w:hAnsi="宋体" w:cs="宋体"/>
                <w:sz w:val="21"/>
                <w:szCs w:val="21"/>
                <w:highlight w:val="none"/>
              </w:rPr>
            </w:pPr>
            <w:r>
              <w:rPr>
                <w:rFonts w:hint="eastAsia" w:ascii="宋体" w:hAnsi="宋体" w:cs="宋体"/>
                <w:sz w:val="21"/>
                <w:szCs w:val="21"/>
                <w:highlight w:val="none"/>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900" w:type="dxa"/>
            <w:vMerge w:val="continue"/>
            <w:tcBorders>
              <w:tl2br w:val="nil"/>
              <w:tr2bl w:val="nil"/>
            </w:tcBorders>
            <w:vAlign w:val="center"/>
          </w:tcPr>
          <w:p>
            <w:pPr>
              <w:keepNext/>
              <w:keepLines/>
              <w:numPr>
                <w:ilvl w:val="2"/>
                <w:numId w:val="1"/>
              </w:numPr>
              <w:jc w:val="center"/>
              <w:outlineLvl w:val="2"/>
              <w:rPr>
                <w:rFonts w:ascii="宋体" w:hAnsi="宋体" w:cs="宋体"/>
                <w:szCs w:val="21"/>
                <w:highlight w:val="none"/>
              </w:rPr>
            </w:pPr>
          </w:p>
        </w:tc>
        <w:tc>
          <w:tcPr>
            <w:tcW w:w="1183" w:type="dxa"/>
            <w:vMerge w:val="continue"/>
            <w:tcBorders>
              <w:tl2br w:val="nil"/>
              <w:tr2bl w:val="nil"/>
            </w:tcBorders>
            <w:vAlign w:val="center"/>
          </w:tcPr>
          <w:p>
            <w:pPr>
              <w:keepNext/>
              <w:keepLines/>
              <w:numPr>
                <w:ilvl w:val="2"/>
                <w:numId w:val="1"/>
              </w:numPr>
              <w:jc w:val="left"/>
              <w:outlineLvl w:val="2"/>
              <w:rPr>
                <w:rFonts w:ascii="宋体" w:hAnsi="宋体" w:cs="宋体"/>
                <w:szCs w:val="21"/>
                <w:highlight w:val="none"/>
              </w:rPr>
            </w:pPr>
          </w:p>
        </w:tc>
        <w:tc>
          <w:tcPr>
            <w:tcW w:w="2700" w:type="dxa"/>
            <w:tcBorders>
              <w:tl2br w:val="nil"/>
              <w:tr2bl w:val="nil"/>
            </w:tcBorders>
            <w:vAlign w:val="center"/>
          </w:tcPr>
          <w:p>
            <w:pPr>
              <w:jc w:val="left"/>
              <w:rPr>
                <w:rFonts w:ascii="宋体" w:hAnsi="宋体" w:cs="宋体"/>
                <w:szCs w:val="21"/>
                <w:highlight w:val="none"/>
              </w:rPr>
            </w:pPr>
            <w:r>
              <w:rPr>
                <w:rFonts w:hint="eastAsia" w:ascii="宋体" w:hAnsi="宋体" w:cs="宋体"/>
                <w:szCs w:val="21"/>
                <w:highlight w:val="none"/>
              </w:rPr>
              <w:t>招标项目设计的特点、关键技术问题的认识及其对策措施；设计工作量和计划安排、质量和保证措施、后续服务安排及保证措施。</w:t>
            </w:r>
          </w:p>
        </w:tc>
        <w:tc>
          <w:tcPr>
            <w:tcW w:w="950" w:type="dxa"/>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3分</w:t>
            </w:r>
          </w:p>
        </w:tc>
        <w:tc>
          <w:tcPr>
            <w:tcW w:w="4120" w:type="dxa"/>
            <w:vMerge w:val="continue"/>
            <w:tcBorders>
              <w:tl2br w:val="nil"/>
              <w:tr2bl w:val="nil"/>
            </w:tcBorders>
            <w:vAlign w:val="center"/>
          </w:tcPr>
          <w:p>
            <w:pPr>
              <w:keepNext/>
              <w:keepLines/>
              <w:numPr>
                <w:ilvl w:val="0"/>
                <w:numId w:val="1"/>
              </w:numPr>
              <w:jc w:val="center"/>
              <w:outlineLvl w:val="0"/>
              <w:rPr>
                <w:rFonts w:ascii="宋体" w:hAnsi="宋体" w:cs="宋体"/>
                <w:spacing w:val="-6"/>
                <w:szCs w:val="21"/>
                <w:highlight w:val="none"/>
              </w:rPr>
            </w:pPr>
          </w:p>
        </w:tc>
      </w:tr>
    </w:tbl>
    <w:p>
      <w:pPr>
        <w:pStyle w:val="2"/>
        <w:spacing w:line="360" w:lineRule="auto"/>
        <w:rPr>
          <w:highlight w:val="none"/>
        </w:rPr>
      </w:pPr>
    </w:p>
    <w:p>
      <w:pPr>
        <w:widowControl/>
        <w:spacing w:line="360" w:lineRule="auto"/>
        <w:jc w:val="left"/>
        <w:rPr>
          <w:sz w:val="18"/>
          <w:highlight w:val="none"/>
        </w:rPr>
      </w:pPr>
      <w:r>
        <w:rPr>
          <w:highlight w:val="none"/>
        </w:rPr>
        <w:br w:type="page"/>
      </w:r>
    </w:p>
    <w:p>
      <w:pPr>
        <w:widowControl/>
        <w:spacing w:line="360" w:lineRule="auto"/>
        <w:ind w:left="1606" w:hanging="1606" w:hangingChars="500"/>
        <w:jc w:val="left"/>
        <w:rPr>
          <w:rFonts w:asciiTheme="minorEastAsia" w:hAnsiTheme="minorEastAsia" w:eastAsiaTheme="minorEastAsia"/>
          <w:b/>
          <w:sz w:val="28"/>
          <w:szCs w:val="28"/>
          <w:highlight w:val="none"/>
        </w:rPr>
      </w:pPr>
      <w:r>
        <w:rPr>
          <w:rFonts w:hint="eastAsia"/>
          <w:b/>
          <w:sz w:val="32"/>
          <w:szCs w:val="32"/>
          <w:highlight w:val="none"/>
        </w:rPr>
        <w:t>附件</w:t>
      </w:r>
      <w:r>
        <w:rPr>
          <w:b/>
          <w:sz w:val="32"/>
          <w:szCs w:val="32"/>
          <w:highlight w:val="none"/>
        </w:rPr>
        <w:t>2</w:t>
      </w:r>
      <w:r>
        <w:rPr>
          <w:rFonts w:hint="eastAsia"/>
          <w:b/>
          <w:sz w:val="32"/>
          <w:szCs w:val="32"/>
          <w:highlight w:val="none"/>
        </w:rPr>
        <w:t>：</w:t>
      </w:r>
      <w:r>
        <w:rPr>
          <w:rFonts w:asciiTheme="minorEastAsia" w:hAnsiTheme="minorEastAsia" w:eastAsiaTheme="minorEastAsia"/>
          <w:b/>
          <w:sz w:val="28"/>
          <w:szCs w:val="28"/>
          <w:highlight w:val="none"/>
        </w:rPr>
        <w:t>2.2.4</w:t>
      </w:r>
      <w:r>
        <w:rPr>
          <w:rFonts w:hint="eastAsia" w:asciiTheme="minorEastAsia" w:hAnsiTheme="minorEastAsia" w:eastAsiaTheme="minorEastAsia"/>
          <w:b/>
          <w:sz w:val="28"/>
          <w:szCs w:val="28"/>
          <w:highlight w:val="none"/>
        </w:rPr>
        <w:t>（2）资信业绩评分标准（B）</w:t>
      </w:r>
    </w:p>
    <w:p>
      <w:pPr>
        <w:spacing w:line="360" w:lineRule="auto"/>
        <w:ind w:firstLine="6930" w:firstLineChars="3300"/>
        <w:jc w:val="right"/>
        <w:rPr>
          <w:highlight w:val="none"/>
        </w:rPr>
      </w:pPr>
      <w:r>
        <w:rPr>
          <w:rFonts w:hint="eastAsia"/>
          <w:highlight w:val="none"/>
        </w:rPr>
        <w:t>满分25分</w:t>
      </w:r>
    </w:p>
    <w:tbl>
      <w:tblPr>
        <w:tblStyle w:val="7"/>
        <w:tblW w:w="970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88"/>
        <w:gridCol w:w="1162"/>
        <w:gridCol w:w="638"/>
        <w:gridCol w:w="593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83" w:type="dxa"/>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条款号</w:t>
            </w:r>
          </w:p>
        </w:tc>
        <w:tc>
          <w:tcPr>
            <w:tcW w:w="1088"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评分因素</w:t>
            </w:r>
          </w:p>
        </w:tc>
        <w:tc>
          <w:tcPr>
            <w:tcW w:w="1162" w:type="dxa"/>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各细分评分因素</w:t>
            </w:r>
          </w:p>
        </w:tc>
        <w:tc>
          <w:tcPr>
            <w:tcW w:w="638"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分值</w:t>
            </w:r>
          </w:p>
        </w:tc>
        <w:tc>
          <w:tcPr>
            <w:tcW w:w="5932"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83" w:type="dxa"/>
            <w:vMerge w:val="restart"/>
            <w:tcBorders>
              <w:tl2br w:val="nil"/>
              <w:tr2bl w:val="nil"/>
            </w:tcBorders>
            <w:vAlign w:val="center"/>
          </w:tcPr>
          <w:p>
            <w:pPr>
              <w:adjustRightInd w:val="0"/>
              <w:snapToGrid w:val="0"/>
              <w:jc w:val="center"/>
              <w:rPr>
                <w:rFonts w:ascii="宋体" w:hAnsi="宋体" w:cs="宋体"/>
                <w:b/>
                <w:szCs w:val="21"/>
                <w:highlight w:val="none"/>
              </w:rPr>
            </w:pPr>
            <w:r>
              <w:rPr>
                <w:rFonts w:hint="eastAsia" w:ascii="宋体" w:hAnsi="宋体" w:cs="宋体"/>
                <w:b/>
                <w:szCs w:val="21"/>
                <w:highlight w:val="none"/>
              </w:rPr>
              <w:t>2.2.4（3）</w:t>
            </w:r>
          </w:p>
          <w:p>
            <w:pPr>
              <w:keepNext/>
              <w:keepLines/>
              <w:numPr>
                <w:ilvl w:val="0"/>
                <w:numId w:val="1"/>
              </w:numPr>
              <w:autoSpaceDE w:val="0"/>
              <w:autoSpaceDN w:val="0"/>
              <w:adjustRightInd w:val="0"/>
              <w:jc w:val="center"/>
              <w:outlineLvl w:val="0"/>
              <w:rPr>
                <w:rFonts w:ascii="宋体" w:hAnsi="宋体" w:cs="宋体"/>
                <w:szCs w:val="21"/>
                <w:highlight w:val="none"/>
              </w:rPr>
            </w:pPr>
          </w:p>
          <w:p>
            <w:pPr>
              <w:keepNext/>
              <w:keepLines/>
              <w:numPr>
                <w:ilvl w:val="0"/>
                <w:numId w:val="1"/>
              </w:numPr>
              <w:autoSpaceDE w:val="0"/>
              <w:autoSpaceDN w:val="0"/>
              <w:adjustRightInd w:val="0"/>
              <w:jc w:val="center"/>
              <w:outlineLvl w:val="0"/>
              <w:rPr>
                <w:rFonts w:ascii="宋体" w:hAnsi="宋体" w:cs="宋体"/>
                <w:szCs w:val="21"/>
                <w:highlight w:val="none"/>
              </w:rPr>
            </w:pPr>
          </w:p>
          <w:p>
            <w:pPr>
              <w:keepNext/>
              <w:keepLines/>
              <w:numPr>
                <w:ilvl w:val="0"/>
                <w:numId w:val="1"/>
              </w:numPr>
              <w:jc w:val="center"/>
              <w:outlineLvl w:val="0"/>
              <w:rPr>
                <w:rFonts w:ascii="宋体" w:hAnsi="宋体" w:cs="宋体"/>
                <w:szCs w:val="21"/>
                <w:highlight w:val="none"/>
              </w:rPr>
            </w:pPr>
          </w:p>
        </w:tc>
        <w:tc>
          <w:tcPr>
            <w:tcW w:w="1088" w:type="dxa"/>
            <w:vMerge w:val="restart"/>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企业业绩（17分）</w:t>
            </w:r>
          </w:p>
        </w:tc>
        <w:tc>
          <w:tcPr>
            <w:tcW w:w="1162"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color w:val="auto"/>
                <w:szCs w:val="21"/>
                <w:highlight w:val="none"/>
              </w:rPr>
              <w:t>施工业</w:t>
            </w:r>
            <w:r>
              <w:rPr>
                <w:rFonts w:hint="eastAsia" w:ascii="宋体" w:hAnsi="宋体" w:cs="宋体"/>
                <w:szCs w:val="21"/>
                <w:highlight w:val="none"/>
              </w:rPr>
              <w:t>绩</w:t>
            </w:r>
          </w:p>
        </w:tc>
        <w:tc>
          <w:tcPr>
            <w:tcW w:w="638"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16分</w:t>
            </w:r>
          </w:p>
        </w:tc>
        <w:tc>
          <w:tcPr>
            <w:tcW w:w="5932" w:type="dxa"/>
            <w:tcBorders>
              <w:tl2br w:val="nil"/>
              <w:tr2bl w:val="nil"/>
            </w:tcBorders>
            <w:vAlign w:val="center"/>
          </w:tcPr>
          <w:p>
            <w:pPr>
              <w:pStyle w:val="2"/>
              <w:ind w:left="0" w:firstLine="420" w:firstLineChars="200"/>
              <w:rPr>
                <w:rFonts w:ascii="宋体" w:hAnsi="宋体" w:cs="宋体"/>
                <w:szCs w:val="21"/>
                <w:highlight w:val="none"/>
              </w:rPr>
            </w:pPr>
            <w:r>
              <w:rPr>
                <w:rFonts w:ascii="宋体" w:hAnsi="宋体" w:cs="宋体"/>
                <w:sz w:val="21"/>
                <w:szCs w:val="21"/>
                <w:highlight w:val="none"/>
              </w:rPr>
              <w:t>投标人近3年内（2019年1月1日至今，以交工时间为准）独立完成业绩（非联合体业绩）满足下列条件将进行加分（不包含建设项目缺陷责任期的养护）。1、高速公路隧道机电系统维护或预防性养护工程类业绩（满分8分）</w:t>
            </w:r>
          </w:p>
          <w:p>
            <w:pPr>
              <w:pStyle w:val="2"/>
              <w:ind w:left="0" w:firstLine="0" w:firstLineChars="0"/>
              <w:rPr>
                <w:rFonts w:ascii="宋体" w:hAnsi="宋体" w:cs="宋体"/>
                <w:szCs w:val="21"/>
                <w:highlight w:val="none"/>
              </w:rPr>
            </w:pPr>
            <w:r>
              <w:rPr>
                <w:rFonts w:ascii="宋体" w:hAnsi="宋体" w:cs="宋体"/>
                <w:sz w:val="21"/>
                <w:szCs w:val="21"/>
                <w:highlight w:val="none"/>
              </w:rPr>
              <w:t> ① 每提供1个同时满足以下条件的高速公路隧道机电系统维护或预防性养护工程类业绩，加1分，否则不加分，最多加5分</w:t>
            </w:r>
          </w:p>
          <w:p>
            <w:pPr>
              <w:pStyle w:val="2"/>
              <w:ind w:left="0" w:firstLine="0" w:firstLineChars="0"/>
              <w:rPr>
                <w:rFonts w:ascii="宋体" w:hAnsi="宋体" w:cs="宋体"/>
                <w:szCs w:val="21"/>
                <w:highlight w:val="none"/>
              </w:rPr>
            </w:pPr>
            <w:r>
              <w:rPr>
                <w:rFonts w:hint="eastAsia" w:ascii="宋体" w:hAnsi="宋体" w:cs="宋体"/>
                <w:sz w:val="21"/>
                <w:szCs w:val="21"/>
                <w:highlight w:val="none"/>
                <w:lang w:val="en-US" w:eastAsia="zh-CN"/>
              </w:rPr>
              <w:t xml:space="preserve"> </w:t>
            </w:r>
            <w:r>
              <w:rPr>
                <w:rFonts w:ascii="宋体" w:hAnsi="宋体" w:cs="宋体"/>
                <w:sz w:val="21"/>
                <w:szCs w:val="21"/>
                <w:highlight w:val="none"/>
              </w:rPr>
              <w:t>业绩须同时满足：至少包含20座隧道；隧道总长累计不低于40km；至少包含1座单座长（或左右幅均值）在2km及以上隧道；包含监控、通风、消防、照明、供配电系统或设施的维护、养护内容。</w:t>
            </w:r>
          </w:p>
          <w:p>
            <w:pPr>
              <w:pStyle w:val="2"/>
              <w:ind w:left="0" w:firstLine="210" w:firstLineChars="100"/>
              <w:rPr>
                <w:rFonts w:ascii="宋体" w:hAnsi="宋体" w:cs="宋体"/>
                <w:szCs w:val="21"/>
                <w:highlight w:val="none"/>
              </w:rPr>
            </w:pPr>
            <w:r>
              <w:rPr>
                <w:rFonts w:ascii="宋体" w:hAnsi="宋体" w:cs="宋体"/>
                <w:sz w:val="21"/>
                <w:szCs w:val="21"/>
                <w:highlight w:val="none"/>
              </w:rPr>
              <w:t>② 在满足①款的业绩中每包含1座左、右幅均为4km及以上隧道（已用于①款计分的隧道不得重复计算）加1分，最多加3分。</w:t>
            </w:r>
          </w:p>
          <w:p>
            <w:pPr>
              <w:pStyle w:val="2"/>
              <w:ind w:left="0" w:firstLine="0" w:firstLineChars="0"/>
              <w:rPr>
                <w:rFonts w:ascii="宋体" w:hAnsi="宋体" w:cs="宋体"/>
                <w:szCs w:val="21"/>
                <w:highlight w:val="none"/>
              </w:rPr>
            </w:pPr>
            <w:r>
              <w:rPr>
                <w:rFonts w:hint="eastAsia" w:ascii="宋体" w:hAnsi="宋体" w:cs="宋体"/>
                <w:sz w:val="21"/>
                <w:szCs w:val="21"/>
                <w:highlight w:val="none"/>
              </w:rPr>
              <w:t xml:space="preserve"> </w:t>
            </w:r>
            <w:r>
              <w:rPr>
                <w:rFonts w:ascii="宋体" w:hAnsi="宋体" w:cs="宋体"/>
                <w:sz w:val="21"/>
                <w:szCs w:val="21"/>
                <w:highlight w:val="none"/>
              </w:rPr>
              <w:t>2、高速公路三大系统机电系统维护或预防性养护工程类业绩（满分4分）</w:t>
            </w:r>
          </w:p>
          <w:p>
            <w:pPr>
              <w:pStyle w:val="2"/>
              <w:ind w:left="0" w:firstLine="0" w:firstLineChars="0"/>
              <w:rPr>
                <w:rFonts w:ascii="宋体" w:hAnsi="宋体" w:cs="宋体"/>
                <w:color w:val="0000FF"/>
                <w:szCs w:val="21"/>
                <w:highlight w:val="none"/>
              </w:rPr>
            </w:pPr>
            <w:r>
              <w:rPr>
                <w:rFonts w:ascii="宋体" w:hAnsi="宋体" w:cs="宋体"/>
                <w:sz w:val="21"/>
                <w:szCs w:val="21"/>
                <w:highlight w:val="none"/>
              </w:rPr>
              <w:t>每提供1个高速公路三大系统机电系统维护或预防性养护工程类业绩（须同时满足以下条件：里程长度不低于140KM；不少于10座收费站，含监控、收费、通信系统或设施的维护、养护内容）加1分，最多加4分。</w:t>
            </w:r>
          </w:p>
          <w:p>
            <w:pPr>
              <w:pStyle w:val="2"/>
              <w:numPr>
                <w:ilvl w:val="255"/>
                <w:numId w:val="0"/>
              </w:numPr>
              <w:autoSpaceDE w:val="0"/>
              <w:autoSpaceDN w:val="0"/>
              <w:adjustRightInd w:val="0"/>
              <w:ind w:left="0" w:firstLine="210" w:firstLineChars="100"/>
              <w:jc w:val="left"/>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、高速公路</w:t>
            </w:r>
            <w:r>
              <w:rPr>
                <w:rFonts w:ascii="宋体" w:hAnsi="宋体" w:cs="宋体"/>
                <w:color w:val="auto"/>
                <w:sz w:val="21"/>
                <w:szCs w:val="21"/>
                <w:highlight w:val="none"/>
              </w:rPr>
              <w:t>视频云</w:t>
            </w:r>
            <w:r>
              <w:rPr>
                <w:rFonts w:hint="eastAsia" w:ascii="宋体" w:hAnsi="宋体" w:cs="宋体"/>
                <w:color w:val="auto"/>
                <w:sz w:val="21"/>
                <w:szCs w:val="21"/>
                <w:highlight w:val="none"/>
              </w:rPr>
              <w:t>联网工程类业绩（满分</w:t>
            </w:r>
            <w:r>
              <w:rPr>
                <w:rFonts w:ascii="宋体" w:hAnsi="宋体" w:cs="宋体"/>
                <w:color w:val="auto"/>
                <w:sz w:val="21"/>
                <w:szCs w:val="21"/>
                <w:highlight w:val="none"/>
              </w:rPr>
              <w:t>4</w:t>
            </w:r>
            <w:r>
              <w:rPr>
                <w:rFonts w:hint="eastAsia" w:ascii="宋体" w:hAnsi="宋体" w:cs="宋体"/>
                <w:color w:val="auto"/>
                <w:sz w:val="21"/>
                <w:szCs w:val="21"/>
                <w:highlight w:val="none"/>
              </w:rPr>
              <w:t>分）</w:t>
            </w:r>
          </w:p>
          <w:p>
            <w:pPr>
              <w:pStyle w:val="2"/>
              <w:numPr>
                <w:ilvl w:val="255"/>
                <w:numId w:val="0"/>
              </w:numPr>
              <w:autoSpaceDE w:val="0"/>
              <w:autoSpaceDN w:val="0"/>
              <w:adjustRightInd w:val="0"/>
              <w:ind w:left="0" w:firstLine="210" w:firstLineChars="100"/>
              <w:jc w:val="left"/>
              <w:rPr>
                <w:rFonts w:ascii="宋体" w:hAnsi="宋体" w:cs="宋体"/>
                <w:color w:val="auto"/>
                <w:szCs w:val="21"/>
                <w:highlight w:val="none"/>
              </w:rPr>
            </w:pPr>
            <w:r>
              <w:rPr>
                <w:rFonts w:hint="eastAsia" w:ascii="宋体" w:hAnsi="宋体" w:cs="宋体"/>
                <w:color w:val="auto"/>
                <w:sz w:val="21"/>
                <w:szCs w:val="21"/>
                <w:highlight w:val="none"/>
              </w:rPr>
              <w:t>①</w:t>
            </w:r>
            <w:r>
              <w:rPr>
                <w:rFonts w:ascii="宋体" w:hAnsi="宋体" w:cs="宋体"/>
                <w:color w:val="auto"/>
                <w:sz w:val="21"/>
                <w:szCs w:val="21"/>
                <w:highlight w:val="none"/>
              </w:rPr>
              <w:t>投标牵头单位独立完成过交通行业省级及以上视频云联网工程的系统建设</w:t>
            </w:r>
            <w:r>
              <w:rPr>
                <w:rFonts w:hint="eastAsia" w:ascii="宋体" w:hAnsi="宋体" w:cs="宋体"/>
                <w:color w:val="auto"/>
                <w:sz w:val="21"/>
                <w:szCs w:val="21"/>
                <w:highlight w:val="none"/>
              </w:rPr>
              <w:t>工作</w:t>
            </w:r>
            <w:r>
              <w:rPr>
                <w:rFonts w:ascii="宋体" w:hAnsi="宋体" w:cs="宋体"/>
                <w:color w:val="auto"/>
                <w:sz w:val="21"/>
                <w:szCs w:val="21"/>
                <w:highlight w:val="none"/>
              </w:rPr>
              <w:t xml:space="preserve">。提供1个上述工程业绩加2分，最多加2分。 </w:t>
            </w:r>
          </w:p>
          <w:p>
            <w:pPr>
              <w:pStyle w:val="2"/>
              <w:numPr>
                <w:ilvl w:val="255"/>
                <w:numId w:val="0"/>
              </w:numPr>
              <w:autoSpaceDE w:val="0"/>
              <w:autoSpaceDN w:val="0"/>
              <w:adjustRightInd w:val="0"/>
              <w:ind w:firstLine="0" w:firstLineChars="0"/>
              <w:rPr>
                <w:rFonts w:ascii="宋体" w:hAnsi="宋体" w:cs="宋体"/>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②投标牵头单位独立完成过交通行业省级及以上视频云联网工程系统运维工作（或独立完成的交通行业省级及以上视频云联网工程内容中包含系统运维工作）。提供1个上述工程业绩加2分，最多加2分。</w:t>
            </w:r>
          </w:p>
          <w:p>
            <w:pPr>
              <w:pStyle w:val="2"/>
              <w:ind w:firstLine="420" w:firstLineChars="200"/>
              <w:jc w:val="left"/>
              <w:rPr>
                <w:rFonts w:ascii="宋体" w:hAnsi="宋体" w:cs="宋体"/>
                <w:szCs w:val="21"/>
                <w:highlight w:val="none"/>
              </w:rPr>
            </w:pPr>
            <w:r>
              <w:rPr>
                <w:rFonts w:ascii="宋体" w:hAnsi="宋体" w:cs="宋体"/>
                <w:sz w:val="21"/>
                <w:szCs w:val="21"/>
                <w:highlight w:val="none"/>
              </w:rPr>
              <w:t>（须提供投标人须知3.5.3款规定的业绩证明材料，否则不予计分）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3" w:type="dxa"/>
            <w:vMerge w:val="continue"/>
            <w:tcBorders>
              <w:tl2br w:val="nil"/>
              <w:tr2bl w:val="nil"/>
            </w:tcBorders>
            <w:vAlign w:val="center"/>
          </w:tcPr>
          <w:p>
            <w:pPr>
              <w:keepNext/>
              <w:keepLines/>
              <w:numPr>
                <w:ilvl w:val="0"/>
                <w:numId w:val="1"/>
              </w:numPr>
              <w:jc w:val="center"/>
              <w:outlineLvl w:val="0"/>
              <w:rPr>
                <w:rFonts w:ascii="宋体" w:hAnsi="宋体" w:cs="宋体"/>
                <w:szCs w:val="21"/>
                <w:highlight w:val="none"/>
              </w:rPr>
            </w:pPr>
          </w:p>
        </w:tc>
        <w:tc>
          <w:tcPr>
            <w:tcW w:w="1088" w:type="dxa"/>
            <w:vMerge w:val="continue"/>
            <w:tcBorders>
              <w:tl2br w:val="nil"/>
              <w:tr2bl w:val="nil"/>
            </w:tcBorders>
            <w:vAlign w:val="center"/>
          </w:tcPr>
          <w:p>
            <w:pPr>
              <w:autoSpaceDE w:val="0"/>
              <w:autoSpaceDN w:val="0"/>
              <w:adjustRightInd w:val="0"/>
              <w:jc w:val="center"/>
              <w:rPr>
                <w:rFonts w:ascii="宋体" w:hAnsi="宋体" w:cs="宋体"/>
                <w:szCs w:val="21"/>
                <w:highlight w:val="none"/>
              </w:rPr>
            </w:pPr>
          </w:p>
        </w:tc>
        <w:tc>
          <w:tcPr>
            <w:tcW w:w="1162"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设计业绩</w:t>
            </w:r>
          </w:p>
        </w:tc>
        <w:tc>
          <w:tcPr>
            <w:tcW w:w="638"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1分</w:t>
            </w:r>
          </w:p>
        </w:tc>
        <w:tc>
          <w:tcPr>
            <w:tcW w:w="5932" w:type="dxa"/>
            <w:tcBorders>
              <w:tl2br w:val="nil"/>
              <w:tr2bl w:val="nil"/>
            </w:tcBorders>
            <w:vAlign w:val="center"/>
          </w:tcPr>
          <w:p>
            <w:pPr>
              <w:widowControl/>
              <w:ind w:firstLine="420" w:firstLineChars="200"/>
              <w:jc w:val="left"/>
              <w:rPr>
                <w:rFonts w:ascii="宋体" w:hAnsi="宋体" w:cs="宋体"/>
                <w:szCs w:val="21"/>
                <w:highlight w:val="none"/>
              </w:rPr>
            </w:pPr>
            <w:r>
              <w:rPr>
                <w:rFonts w:hint="eastAsia" w:ascii="宋体" w:hAnsi="宋体" w:cs="宋体"/>
                <w:szCs w:val="21"/>
                <w:highlight w:val="none"/>
              </w:rPr>
              <w:t>投标人近3年内（2019年1月1日至今）每独立完成过1个合同金额1000万元及以上高速公路（含机电工程）勘察设计业绩加1分，最多加1分。</w:t>
            </w:r>
          </w:p>
          <w:p>
            <w:pPr>
              <w:widowControl/>
              <w:jc w:val="left"/>
              <w:rPr>
                <w:rFonts w:ascii="宋体" w:hAnsi="宋体" w:cs="宋体"/>
                <w:spacing w:val="-6"/>
                <w:szCs w:val="21"/>
                <w:highlight w:val="none"/>
              </w:rPr>
            </w:pPr>
            <w:r>
              <w:rPr>
                <w:rFonts w:hint="eastAsia" w:ascii="宋体" w:hAnsi="宋体" w:cs="宋体"/>
                <w:szCs w:val="21"/>
                <w:highlight w:val="none"/>
              </w:rPr>
              <w:t>注：初步设计批复时间或施工图设计批复时间任一时间在范围内均有效；</w:t>
            </w:r>
          </w:p>
          <w:p>
            <w:pPr>
              <w:jc w:val="left"/>
              <w:rPr>
                <w:rFonts w:ascii="宋体" w:hAnsi="宋体" w:cs="宋体"/>
                <w:szCs w:val="21"/>
                <w:highlight w:val="none"/>
              </w:rPr>
            </w:pPr>
            <w:r>
              <w:rPr>
                <w:rFonts w:hint="eastAsia" w:ascii="宋体" w:hAnsi="宋体" w:cs="宋体"/>
                <w:spacing w:val="-6"/>
                <w:szCs w:val="21"/>
                <w:highlight w:val="none"/>
              </w:rPr>
              <w:t>（须提供投标人须知3.5.3款规定的业绩证明材料，否则不予计分）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83" w:type="dxa"/>
            <w:vMerge w:val="continue"/>
            <w:tcBorders>
              <w:tl2br w:val="nil"/>
              <w:tr2bl w:val="nil"/>
            </w:tcBorders>
            <w:vAlign w:val="center"/>
          </w:tcPr>
          <w:p>
            <w:pPr>
              <w:autoSpaceDE w:val="0"/>
              <w:autoSpaceDN w:val="0"/>
              <w:adjustRightInd w:val="0"/>
              <w:jc w:val="center"/>
              <w:rPr>
                <w:rFonts w:ascii="宋体" w:hAnsi="宋体" w:cs="宋体"/>
                <w:szCs w:val="21"/>
                <w:highlight w:val="none"/>
              </w:rPr>
            </w:pPr>
          </w:p>
        </w:tc>
        <w:tc>
          <w:tcPr>
            <w:tcW w:w="2250" w:type="dxa"/>
            <w:gridSpan w:val="2"/>
            <w:tcBorders>
              <w:tl2br w:val="nil"/>
              <w:tr2bl w:val="nil"/>
            </w:tcBorders>
            <w:vAlign w:val="center"/>
          </w:tcPr>
          <w:p>
            <w:pPr>
              <w:tabs>
                <w:tab w:val="left" w:pos="780"/>
              </w:tabs>
              <w:autoSpaceDE w:val="0"/>
              <w:autoSpaceDN w:val="0"/>
              <w:adjustRightInd w:val="0"/>
              <w:jc w:val="center"/>
              <w:rPr>
                <w:highlight w:val="none"/>
              </w:rPr>
            </w:pPr>
            <w:r>
              <w:rPr>
                <w:rFonts w:hint="eastAsia"/>
                <w:highlight w:val="none"/>
              </w:rPr>
              <w:t>安全管理团队</w:t>
            </w:r>
          </w:p>
          <w:p>
            <w:pPr>
              <w:pStyle w:val="2"/>
              <w:jc w:val="center"/>
              <w:rPr>
                <w:highlight w:val="none"/>
              </w:rPr>
            </w:pPr>
            <w:r>
              <w:rPr>
                <w:rFonts w:hint="eastAsia" w:ascii="宋体" w:hAnsi="宋体" w:cs="宋体"/>
                <w:sz w:val="21"/>
                <w:szCs w:val="21"/>
                <w:highlight w:val="none"/>
              </w:rPr>
              <w:t>（1分）</w:t>
            </w:r>
          </w:p>
        </w:tc>
        <w:tc>
          <w:tcPr>
            <w:tcW w:w="638"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1分</w:t>
            </w:r>
          </w:p>
        </w:tc>
        <w:tc>
          <w:tcPr>
            <w:tcW w:w="5932" w:type="dxa"/>
            <w:tcBorders>
              <w:tl2br w:val="nil"/>
              <w:tr2bl w:val="nil"/>
            </w:tcBorders>
            <w:vAlign w:val="center"/>
          </w:tcPr>
          <w:p>
            <w:pPr>
              <w:pStyle w:val="13"/>
              <w:rPr>
                <w:rFonts w:ascii="宋体" w:hAnsi="宋体" w:eastAsia="宋体" w:cs="宋体"/>
                <w:szCs w:val="21"/>
                <w:highlight w:val="none"/>
              </w:rPr>
            </w:pPr>
            <w:r>
              <w:rPr>
                <w:rFonts w:hint="eastAsia" w:ascii="宋体" w:hAnsi="宋体" w:eastAsia="宋体" w:cs="宋体"/>
                <w:szCs w:val="21"/>
                <w:highlight w:val="none"/>
              </w:rPr>
              <w:t>为本项目配备常驻国家注册安全工程师的加1分，</w:t>
            </w:r>
            <w:r>
              <w:rPr>
                <w:rFonts w:hint="eastAsia" w:ascii="宋体" w:hAnsi="宋体" w:eastAsia="宋体" w:cs="宋体"/>
                <w:spacing w:val="-6"/>
                <w:szCs w:val="21"/>
                <w:highlight w:val="none"/>
              </w:rPr>
              <w:t>最多加1分。</w:t>
            </w:r>
          </w:p>
          <w:p>
            <w:pPr>
              <w:widowControl/>
              <w:jc w:val="left"/>
              <w:rPr>
                <w:rFonts w:ascii="宋体" w:hAnsi="宋体" w:cs="宋体"/>
                <w:szCs w:val="21"/>
                <w:highlight w:val="none"/>
              </w:rPr>
            </w:pPr>
            <w:r>
              <w:rPr>
                <w:rFonts w:hint="eastAsia" w:ascii="宋体" w:hAnsi="宋体" w:cs="宋体"/>
                <w:szCs w:val="21"/>
                <w:highlight w:val="none"/>
              </w:rPr>
              <w:t>（注：提供安全工程师身份证复印件、执业资格证复印件、注册证书复印件（注册单位与投标牵头单位名称一致）以及投标牵头单位为其缴纳的</w:t>
            </w:r>
            <w:r>
              <w:rPr>
                <w:rFonts w:hint="eastAsia" w:ascii="宋体" w:hAnsi="宋体" w:cs="Arial"/>
                <w:szCs w:val="21"/>
                <w:highlight w:val="none"/>
              </w:rPr>
              <w:t>从</w:t>
            </w:r>
            <w:r>
              <w:rPr>
                <w:rFonts w:ascii="宋体" w:hAnsi="宋体" w:cs="Arial"/>
                <w:szCs w:val="21"/>
                <w:highlight w:val="none"/>
                <w:u w:val="single"/>
              </w:rPr>
              <w:t xml:space="preserve">2021 </w:t>
            </w:r>
            <w:r>
              <w:rPr>
                <w:rFonts w:hint="eastAsia" w:ascii="宋体" w:hAnsi="宋体" w:cs="Arial"/>
                <w:szCs w:val="21"/>
                <w:highlight w:val="none"/>
              </w:rPr>
              <w:t>年</w:t>
            </w:r>
            <w:r>
              <w:rPr>
                <w:rFonts w:ascii="宋体" w:hAnsi="宋体" w:cs="Arial"/>
                <w:szCs w:val="21"/>
                <w:highlight w:val="none"/>
                <w:u w:val="single"/>
              </w:rPr>
              <w:t>6</w:t>
            </w:r>
            <w:r>
              <w:rPr>
                <w:rFonts w:hint="eastAsia" w:ascii="宋体" w:hAnsi="宋体" w:cs="Arial"/>
                <w:szCs w:val="21"/>
                <w:highlight w:val="none"/>
              </w:rPr>
              <w:t>月</w:t>
            </w:r>
            <w:r>
              <w:rPr>
                <w:rFonts w:ascii="宋体" w:hAnsi="宋体" w:cs="Arial"/>
                <w:szCs w:val="21"/>
                <w:highlight w:val="none"/>
                <w:u w:val="single"/>
              </w:rPr>
              <w:t xml:space="preserve"> 1 </w:t>
            </w:r>
            <w:r>
              <w:rPr>
                <w:rFonts w:hint="eastAsia" w:ascii="宋体" w:hAnsi="宋体" w:cs="Arial"/>
                <w:szCs w:val="21"/>
                <w:highlight w:val="none"/>
              </w:rPr>
              <w:t>日以来至投标截止日的缴费明细或社保局出具的证明</w:t>
            </w:r>
            <w:r>
              <w:rPr>
                <w:rFonts w:hint="eastAsia" w:ascii="宋体" w:hAnsi="宋体" w:cs="宋体"/>
                <w:szCs w:val="21"/>
                <w:highlight w:val="none"/>
              </w:rPr>
              <w:t>，须加盖牵头人单位公章，原件备查）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3" w:type="dxa"/>
            <w:vMerge w:val="continue"/>
            <w:tcBorders>
              <w:tl2br w:val="nil"/>
              <w:tr2bl w:val="nil"/>
            </w:tcBorders>
            <w:vAlign w:val="center"/>
          </w:tcPr>
          <w:p>
            <w:pPr>
              <w:autoSpaceDE w:val="0"/>
              <w:autoSpaceDN w:val="0"/>
              <w:adjustRightInd w:val="0"/>
              <w:jc w:val="center"/>
              <w:rPr>
                <w:rFonts w:ascii="宋体" w:hAnsi="宋体" w:cs="宋体"/>
                <w:szCs w:val="21"/>
                <w:highlight w:val="none"/>
              </w:rPr>
            </w:pPr>
          </w:p>
        </w:tc>
        <w:tc>
          <w:tcPr>
            <w:tcW w:w="2250" w:type="dxa"/>
            <w:gridSpan w:val="2"/>
            <w:vMerge w:val="restart"/>
            <w:tcBorders>
              <w:tl2br w:val="nil"/>
              <w:tr2bl w:val="nil"/>
            </w:tcBorders>
            <w:vAlign w:val="center"/>
          </w:tcPr>
          <w:p>
            <w:pPr>
              <w:tabs>
                <w:tab w:val="left" w:pos="780"/>
              </w:tabs>
              <w:autoSpaceDE w:val="0"/>
              <w:autoSpaceDN w:val="0"/>
              <w:adjustRightInd w:val="0"/>
              <w:jc w:val="center"/>
              <w:rPr>
                <w:highlight w:val="none"/>
              </w:rPr>
            </w:pPr>
            <w:r>
              <w:rPr>
                <w:rFonts w:hint="eastAsia"/>
                <w:highlight w:val="none"/>
              </w:rPr>
              <w:t>企业实力</w:t>
            </w:r>
          </w:p>
          <w:p>
            <w:pPr>
              <w:pStyle w:val="2"/>
              <w:jc w:val="center"/>
              <w:rPr>
                <w:highlight w:val="none"/>
              </w:rPr>
            </w:pPr>
            <w:r>
              <w:rPr>
                <w:rFonts w:hint="eastAsia" w:ascii="宋体" w:hAnsi="宋体" w:cs="宋体"/>
                <w:sz w:val="21"/>
                <w:szCs w:val="21"/>
                <w:highlight w:val="none"/>
              </w:rPr>
              <w:t>（4分）</w:t>
            </w:r>
          </w:p>
        </w:tc>
        <w:tc>
          <w:tcPr>
            <w:tcW w:w="638"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2分</w:t>
            </w:r>
          </w:p>
        </w:tc>
        <w:tc>
          <w:tcPr>
            <w:tcW w:w="5932" w:type="dxa"/>
            <w:tcBorders>
              <w:tl2br w:val="nil"/>
              <w:tr2bl w:val="nil"/>
            </w:tcBorders>
            <w:vAlign w:val="center"/>
          </w:tcPr>
          <w:p>
            <w:pPr>
              <w:widowControl/>
              <w:ind w:firstLine="420" w:firstLineChars="200"/>
              <w:jc w:val="left"/>
              <w:rPr>
                <w:rFonts w:ascii="宋体" w:hAnsi="宋体" w:cs="宋体"/>
                <w:szCs w:val="21"/>
                <w:highlight w:val="none"/>
              </w:rPr>
            </w:pPr>
            <w:r>
              <w:rPr>
                <w:rFonts w:hint="eastAsia" w:ascii="宋体" w:hAnsi="宋体" w:cs="宋体"/>
                <w:szCs w:val="21"/>
                <w:highlight w:val="none"/>
              </w:rPr>
              <w:t>投标牵头单位具备较强</w:t>
            </w:r>
            <w:r>
              <w:rPr>
                <w:rFonts w:hint="eastAsia" w:ascii="宋体" w:hAnsi="宋体" w:cs="宋体"/>
                <w:szCs w:val="21"/>
                <w:highlight w:val="none"/>
                <w:shd w:val="clear" w:color="auto" w:fill="FFFFFF"/>
              </w:rPr>
              <w:t>数据安全能力，</w:t>
            </w:r>
            <w:r>
              <w:rPr>
                <w:rFonts w:hint="eastAsia" w:ascii="宋体" w:hAnsi="宋体" w:cs="宋体"/>
                <w:szCs w:val="21"/>
                <w:highlight w:val="none"/>
              </w:rPr>
              <w:t>获得数据安全能力成熟度二级及以上评估证书</w:t>
            </w:r>
            <w:r>
              <w:rPr>
                <w:rFonts w:ascii="宋体" w:hAnsi="宋体" w:cs="宋体"/>
                <w:szCs w:val="21"/>
                <w:highlight w:val="none"/>
              </w:rPr>
              <w:t>(评估依据为GB/T37988-2019)</w:t>
            </w:r>
            <w:r>
              <w:rPr>
                <w:rFonts w:hint="eastAsia" w:ascii="宋体" w:hAnsi="宋体" w:cs="宋体"/>
                <w:szCs w:val="21"/>
                <w:highlight w:val="none"/>
              </w:rPr>
              <w:t>的加</w:t>
            </w:r>
            <w:r>
              <w:rPr>
                <w:rFonts w:ascii="宋体" w:hAnsi="宋体" w:cs="宋体"/>
                <w:szCs w:val="21"/>
                <w:highlight w:val="none"/>
              </w:rPr>
              <w:t>2</w:t>
            </w:r>
            <w:r>
              <w:rPr>
                <w:rFonts w:hint="eastAsia" w:ascii="宋体" w:hAnsi="宋体" w:cs="宋体"/>
                <w:szCs w:val="21"/>
                <w:highlight w:val="none"/>
              </w:rPr>
              <w:t>分，</w:t>
            </w:r>
            <w:r>
              <w:rPr>
                <w:rFonts w:hint="eastAsia" w:ascii="宋体" w:hAnsi="宋体" w:cs="宋体"/>
                <w:spacing w:val="-6"/>
                <w:szCs w:val="21"/>
                <w:highlight w:val="none"/>
              </w:rPr>
              <w:t>最多加</w:t>
            </w:r>
            <w:r>
              <w:rPr>
                <w:rFonts w:ascii="宋体" w:hAnsi="宋体" w:cs="宋体"/>
                <w:spacing w:val="-6"/>
                <w:szCs w:val="21"/>
                <w:highlight w:val="none"/>
              </w:rPr>
              <w:t>2</w:t>
            </w:r>
            <w:r>
              <w:rPr>
                <w:rFonts w:hint="eastAsia" w:ascii="宋体" w:hAnsi="宋体" w:cs="宋体"/>
                <w:spacing w:val="-6"/>
                <w:szCs w:val="21"/>
                <w:highlight w:val="none"/>
              </w:rPr>
              <w:t>分。</w:t>
            </w:r>
          </w:p>
          <w:p>
            <w:pPr>
              <w:widowControl/>
              <w:jc w:val="left"/>
              <w:rPr>
                <w:rFonts w:ascii="宋体" w:hAnsi="宋体" w:cs="宋体"/>
                <w:szCs w:val="21"/>
                <w:highlight w:val="none"/>
              </w:rPr>
            </w:pPr>
          </w:p>
          <w:p>
            <w:pPr>
              <w:widowControl/>
              <w:jc w:val="left"/>
              <w:rPr>
                <w:rFonts w:ascii="宋体" w:hAnsi="宋体" w:cs="宋体"/>
                <w:szCs w:val="21"/>
                <w:highlight w:val="none"/>
              </w:rPr>
            </w:pPr>
            <w:r>
              <w:rPr>
                <w:rFonts w:hint="eastAsia" w:ascii="宋体" w:hAnsi="宋体" w:cs="宋体"/>
                <w:szCs w:val="21"/>
                <w:highlight w:val="none"/>
              </w:rPr>
              <w:t>（注：①须提供有效评估证书复印件加盖投标牵头单位公章；②提供全国</w:t>
            </w:r>
            <w:r>
              <w:rPr>
                <w:rFonts w:ascii="宋体" w:hAnsi="宋体" w:cs="宋体"/>
                <w:szCs w:val="21"/>
                <w:highlight w:val="none"/>
              </w:rPr>
              <w:t>DSMM公共服务平台网页查询截图加盖投标牵头单位公章</w:t>
            </w:r>
            <w:r>
              <w:rPr>
                <w:rFonts w:hint="eastAsia" w:ascii="宋体" w:hAnsi="宋体" w:cs="宋体"/>
                <w:szCs w:val="21"/>
                <w:highlight w:val="none"/>
              </w:rPr>
              <w:t>，查询网址：</w:t>
            </w:r>
            <w:r>
              <w:rPr>
                <w:rFonts w:ascii="宋体" w:hAnsi="宋体" w:cs="宋体"/>
                <w:szCs w:val="21"/>
                <w:highlight w:val="none"/>
              </w:rPr>
              <w:t>https://system.dsmm.org.cn/#/open/certification）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83" w:type="dxa"/>
            <w:vMerge w:val="continue"/>
            <w:tcBorders>
              <w:tl2br w:val="nil"/>
              <w:tr2bl w:val="nil"/>
            </w:tcBorders>
            <w:vAlign w:val="center"/>
          </w:tcPr>
          <w:p>
            <w:pPr>
              <w:autoSpaceDE w:val="0"/>
              <w:autoSpaceDN w:val="0"/>
              <w:adjustRightInd w:val="0"/>
              <w:jc w:val="center"/>
              <w:rPr>
                <w:rFonts w:ascii="宋体" w:hAnsi="宋体" w:cs="宋体"/>
                <w:szCs w:val="21"/>
                <w:highlight w:val="none"/>
              </w:rPr>
            </w:pPr>
          </w:p>
        </w:tc>
        <w:tc>
          <w:tcPr>
            <w:tcW w:w="2250" w:type="dxa"/>
            <w:gridSpan w:val="2"/>
            <w:vMerge w:val="continue"/>
            <w:tcBorders>
              <w:tl2br w:val="nil"/>
              <w:tr2bl w:val="nil"/>
            </w:tcBorders>
            <w:vAlign w:val="center"/>
          </w:tcPr>
          <w:p>
            <w:pPr>
              <w:pStyle w:val="2"/>
              <w:jc w:val="center"/>
              <w:rPr>
                <w:rFonts w:ascii="宋体" w:hAnsi="宋体" w:cs="宋体"/>
                <w:sz w:val="21"/>
                <w:szCs w:val="21"/>
                <w:highlight w:val="none"/>
              </w:rPr>
            </w:pPr>
          </w:p>
        </w:tc>
        <w:tc>
          <w:tcPr>
            <w:tcW w:w="638" w:type="dxa"/>
            <w:tcBorders>
              <w:tl2br w:val="nil"/>
              <w:tr2bl w:val="nil"/>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2分</w:t>
            </w:r>
          </w:p>
        </w:tc>
        <w:tc>
          <w:tcPr>
            <w:tcW w:w="5932" w:type="dxa"/>
            <w:tcBorders>
              <w:tl2br w:val="nil"/>
              <w:tr2bl w:val="nil"/>
            </w:tcBorders>
            <w:vAlign w:val="center"/>
          </w:tcPr>
          <w:p>
            <w:pPr>
              <w:widowControl/>
              <w:jc w:val="left"/>
              <w:rPr>
                <w:rFonts w:ascii="宋体" w:hAnsi="宋体" w:cs="宋体"/>
                <w:szCs w:val="21"/>
                <w:highlight w:val="none"/>
              </w:rPr>
            </w:pPr>
            <w:r>
              <w:rPr>
                <w:rFonts w:hint="eastAsia" w:ascii="宋体" w:hAnsi="宋体" w:cs="宋体"/>
                <w:szCs w:val="21"/>
                <w:highlight w:val="none"/>
              </w:rPr>
              <w:t>投标牵头单位原始取得过</w:t>
            </w:r>
            <w:r>
              <w:rPr>
                <w:rFonts w:ascii="宋体" w:hAnsi="宋体" w:cs="宋体"/>
                <w:szCs w:val="21"/>
                <w:highlight w:val="none"/>
              </w:rPr>
              <w:t>1个高速公路机电类养护系统计算机软件著作权得2分，最多得2分。（提供中国版权保护中心的</w:t>
            </w:r>
            <w:r>
              <w:rPr>
                <w:rFonts w:hint="eastAsia" w:ascii="宋体" w:hAnsi="宋体" w:cs="宋体"/>
                <w:szCs w:val="21"/>
                <w:highlight w:val="none"/>
              </w:rPr>
              <w:t>网页查询截图加盖投标牵头单位公章，查询网址：</w:t>
            </w:r>
            <w:r>
              <w:rPr>
                <w:rFonts w:ascii="宋体" w:hAnsi="宋体" w:cs="宋体"/>
                <w:szCs w:val="21"/>
                <w:highlight w:val="none"/>
              </w:rPr>
              <w:t>https://www.ccopyright.com.cn/）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83" w:type="dxa"/>
            <w:vMerge w:val="continue"/>
            <w:tcBorders>
              <w:tl2br w:val="nil"/>
              <w:tr2bl w:val="nil"/>
            </w:tcBorders>
            <w:vAlign w:val="center"/>
          </w:tcPr>
          <w:p>
            <w:pPr>
              <w:jc w:val="center"/>
              <w:rPr>
                <w:rFonts w:ascii="宋体" w:hAnsi="宋体" w:cs="宋体"/>
                <w:szCs w:val="21"/>
                <w:highlight w:val="none"/>
              </w:rPr>
            </w:pPr>
          </w:p>
        </w:tc>
        <w:tc>
          <w:tcPr>
            <w:tcW w:w="2250" w:type="dxa"/>
            <w:gridSpan w:val="2"/>
            <w:tcBorders>
              <w:tl2br w:val="nil"/>
              <w:tr2bl w:val="nil"/>
            </w:tcBorders>
            <w:vAlign w:val="center"/>
          </w:tcPr>
          <w:p>
            <w:pPr>
              <w:jc w:val="center"/>
              <w:rPr>
                <w:highlight w:val="none"/>
              </w:rPr>
            </w:pPr>
            <w:r>
              <w:rPr>
                <w:rFonts w:hint="eastAsia"/>
                <w:highlight w:val="none"/>
              </w:rPr>
              <w:t>信用等级</w:t>
            </w:r>
          </w:p>
          <w:p>
            <w:pPr>
              <w:pStyle w:val="2"/>
              <w:jc w:val="center"/>
              <w:rPr>
                <w:highlight w:val="none"/>
              </w:rPr>
            </w:pPr>
            <w:r>
              <w:rPr>
                <w:rFonts w:hint="eastAsia" w:ascii="宋体" w:hAnsi="宋体" w:cs="宋体"/>
                <w:sz w:val="21"/>
                <w:szCs w:val="21"/>
                <w:highlight w:val="none"/>
              </w:rPr>
              <w:t>（3分）</w:t>
            </w:r>
          </w:p>
        </w:tc>
        <w:tc>
          <w:tcPr>
            <w:tcW w:w="638" w:type="dxa"/>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3分</w:t>
            </w:r>
          </w:p>
        </w:tc>
        <w:tc>
          <w:tcPr>
            <w:tcW w:w="5932" w:type="dxa"/>
            <w:tcBorders>
              <w:tl2br w:val="nil"/>
              <w:tr2bl w:val="nil"/>
            </w:tcBorders>
            <w:vAlign w:val="center"/>
          </w:tcPr>
          <w:p>
            <w:pPr>
              <w:snapToGrid w:val="0"/>
              <w:ind w:firstLine="315" w:firstLineChars="150"/>
              <w:rPr>
                <w:rFonts w:ascii="宋体" w:hAnsi="宋体" w:cs="宋体"/>
                <w:szCs w:val="21"/>
                <w:highlight w:val="none"/>
              </w:rPr>
            </w:pPr>
            <w:r>
              <w:rPr>
                <w:rFonts w:hint="eastAsia" w:ascii="宋体" w:hAnsi="宋体" w:cs="宋体"/>
                <w:szCs w:val="21"/>
                <w:highlight w:val="none"/>
              </w:rPr>
              <w:t>对投标人的信用等级的认定条件为：按《贵州省交通运输厅关于印发〈贵州省高速公路设计施工企业信用评价实施细则（试行）〉的通知》（黔交建设〔2016〕279号）及《贵州省交通运输厅关于高速公路设计施工企业信用评价结果引用的补充通知》（黔交建设〔2016〕291号）文件（可在贵州省交通运输厅网站http://jt.guizhou.gov.cn/上查询）规定确定的最新信用等级采用，本项目设计单位投标专业为附属工程专业，施工单位本项目投标专业为机电专业。其中：</w:t>
            </w:r>
          </w:p>
          <w:p>
            <w:pPr>
              <w:overflowPunct w:val="0"/>
              <w:rPr>
                <w:rFonts w:ascii="宋体" w:hAnsi="宋体" w:cs="宋体"/>
                <w:szCs w:val="21"/>
                <w:highlight w:val="none"/>
              </w:rPr>
            </w:pPr>
            <w:r>
              <w:rPr>
                <w:rFonts w:hint="eastAsia" w:ascii="宋体" w:hAnsi="宋体" w:cs="宋体"/>
                <w:szCs w:val="21"/>
                <w:highlight w:val="none"/>
              </w:rPr>
              <w:t>（1）：投标人最新信用等级按以下顺序引用（排序在前的优先，各层级均以最新公布的信用等级为准“在新一年度的信用评价结果公布前，上一年度对应的评价即为最新的信用评价。例如，2016年度贵州省信用评价结果公布后，2016年度交通运输部的信用评价结果尚未公布，此时若从业企业没有2016年贵州省的信用评价，则应引用其2015年度在交通运输部的信用评价结果。引用时请注意评价结果公布的有效期规定。没有明确有效期的，按部评价规则有效期一年的规定认定，即公布日期的次年同一日为截止日”）：</w:t>
            </w:r>
          </w:p>
          <w:p>
            <w:pPr>
              <w:overflowPunct w:val="0"/>
              <w:rPr>
                <w:rFonts w:ascii="宋体" w:hAnsi="宋体" w:cs="宋体"/>
                <w:szCs w:val="21"/>
                <w:highlight w:val="none"/>
              </w:rPr>
            </w:pPr>
            <w:r>
              <w:rPr>
                <w:rFonts w:hint="eastAsia" w:ascii="宋体" w:hAnsi="宋体" w:cs="宋体"/>
                <w:szCs w:val="21"/>
                <w:highlight w:val="none"/>
              </w:rPr>
              <w:t>　　①我省的信用评价等级；</w:t>
            </w:r>
          </w:p>
          <w:p>
            <w:pPr>
              <w:overflowPunct w:val="0"/>
              <w:rPr>
                <w:rFonts w:ascii="宋体" w:hAnsi="宋体" w:cs="宋体"/>
                <w:szCs w:val="21"/>
                <w:highlight w:val="none"/>
              </w:rPr>
            </w:pPr>
            <w:r>
              <w:rPr>
                <w:rFonts w:hint="eastAsia" w:ascii="宋体" w:hAnsi="宋体" w:cs="宋体"/>
                <w:szCs w:val="21"/>
                <w:highlight w:val="none"/>
              </w:rPr>
              <w:t>　　②交通运输部的信用评价等级；</w:t>
            </w:r>
          </w:p>
          <w:p>
            <w:pPr>
              <w:overflowPunct w:val="0"/>
              <w:jc w:val="left"/>
              <w:rPr>
                <w:rFonts w:ascii="宋体" w:hAnsi="宋体" w:cs="宋体"/>
                <w:szCs w:val="21"/>
                <w:highlight w:val="none"/>
              </w:rPr>
            </w:pPr>
            <w:r>
              <w:rPr>
                <w:rFonts w:hint="eastAsia" w:ascii="宋体" w:hAnsi="宋体" w:cs="宋体"/>
                <w:szCs w:val="21"/>
                <w:highlight w:val="none"/>
              </w:rPr>
              <w:t>　　③投标单位注册地交通运输厅（局、委）的信用评价等级（其专业评价包含的实际范围与我省的评价专业范围完全一致的，按照专业评价引用，否则按综合评价引用）。</w:t>
            </w:r>
          </w:p>
          <w:p>
            <w:pPr>
              <w:overflowPunct w:val="0"/>
              <w:ind w:firstLine="420" w:firstLineChars="200"/>
              <w:jc w:val="left"/>
              <w:rPr>
                <w:rFonts w:ascii="宋体" w:hAnsi="宋体" w:cs="宋体"/>
                <w:szCs w:val="21"/>
                <w:highlight w:val="none"/>
              </w:rPr>
            </w:pPr>
            <w:r>
              <w:rPr>
                <w:rFonts w:hint="eastAsia" w:ascii="宋体" w:hAnsi="宋体" w:cs="宋体"/>
                <w:szCs w:val="21"/>
                <w:highlight w:val="none"/>
              </w:rPr>
              <w:t>以上同一优先级中，投标专业对应的专业评价优先于不分专业的综合评价，综合评价优先于非投标专业对应的专业评价（若同一投标人出现多个“非投标专业对应的专业评价”时，按有利于投标人的原则引用，即引用其中等级较高的评价结果）。</w:t>
            </w:r>
          </w:p>
          <w:p>
            <w:pPr>
              <w:overflowPunct w:val="0"/>
              <w:rPr>
                <w:rFonts w:ascii="宋体" w:hAnsi="宋体" w:cs="宋体"/>
                <w:szCs w:val="21"/>
                <w:highlight w:val="none"/>
              </w:rPr>
            </w:pPr>
            <w:r>
              <w:rPr>
                <w:rFonts w:hint="eastAsia" w:ascii="宋体" w:hAnsi="宋体" w:cs="宋体"/>
                <w:szCs w:val="21"/>
                <w:highlight w:val="none"/>
              </w:rPr>
              <w:t xml:space="preserve">       无上述3种信用评价等级时，其信用评价等级按以下原则确定（评价结果视为综合评价结果）：</w:t>
            </w:r>
          </w:p>
          <w:p>
            <w:pPr>
              <w:overflowPunct w:val="0"/>
              <w:rPr>
                <w:rFonts w:ascii="宋体" w:hAnsi="宋体" w:cs="宋体"/>
                <w:szCs w:val="21"/>
                <w:highlight w:val="none"/>
              </w:rPr>
            </w:pPr>
            <w:r>
              <w:rPr>
                <w:rFonts w:hint="eastAsia" w:ascii="宋体" w:hAnsi="宋体" w:cs="宋体"/>
                <w:szCs w:val="21"/>
                <w:highlight w:val="none"/>
              </w:rPr>
              <w:t>　　——没有发现不良信用记录的，按A级对待；</w:t>
            </w:r>
          </w:p>
          <w:p>
            <w:pPr>
              <w:overflowPunct w:val="0"/>
              <w:rPr>
                <w:rFonts w:ascii="宋体" w:hAnsi="宋体" w:cs="宋体"/>
                <w:szCs w:val="21"/>
                <w:highlight w:val="none"/>
              </w:rPr>
            </w:pPr>
            <w:r>
              <w:rPr>
                <w:rFonts w:hint="eastAsia" w:ascii="宋体" w:hAnsi="宋体" w:cs="宋体"/>
                <w:szCs w:val="21"/>
                <w:highlight w:val="none"/>
              </w:rPr>
              <w:t>　　——有一般不良记录的，按B级对待；</w:t>
            </w:r>
          </w:p>
          <w:p>
            <w:pPr>
              <w:overflowPunct w:val="0"/>
              <w:rPr>
                <w:rFonts w:ascii="宋体" w:hAnsi="宋体" w:cs="宋体"/>
                <w:szCs w:val="21"/>
                <w:highlight w:val="none"/>
              </w:rPr>
            </w:pPr>
            <w:r>
              <w:rPr>
                <w:rFonts w:hint="eastAsia" w:ascii="宋体" w:hAnsi="宋体" w:cs="宋体"/>
                <w:szCs w:val="21"/>
                <w:highlight w:val="none"/>
              </w:rPr>
              <w:t>　　——仅有1次达到直接定为D级不良记录的，或仅有2次达到直接定为C级不良记录的，按C级对待；</w:t>
            </w:r>
          </w:p>
          <w:p>
            <w:pPr>
              <w:overflowPunct w:val="0"/>
              <w:ind w:firstLine="420"/>
              <w:rPr>
                <w:rFonts w:ascii="宋体" w:hAnsi="宋体" w:cs="宋体"/>
                <w:szCs w:val="21"/>
                <w:highlight w:val="none"/>
              </w:rPr>
            </w:pPr>
            <w:r>
              <w:rPr>
                <w:rFonts w:hint="eastAsia" w:ascii="宋体" w:hAnsi="宋体" w:cs="宋体"/>
                <w:szCs w:val="21"/>
                <w:highlight w:val="none"/>
              </w:rPr>
              <w:t>——发生直接定为D级不良记录超过1次的，或直接定为C级不良记录超过2次的，或直接定为D、C级不良记录合计2次的，按D级对待。</w:t>
            </w:r>
          </w:p>
          <w:p>
            <w:pPr>
              <w:snapToGrid w:val="0"/>
              <w:ind w:firstLine="105" w:firstLineChars="50"/>
              <w:rPr>
                <w:rFonts w:ascii="宋体" w:hAnsi="宋体" w:cs="宋体"/>
                <w:szCs w:val="21"/>
                <w:highlight w:val="none"/>
              </w:rPr>
            </w:pPr>
            <w:r>
              <w:rPr>
                <w:rFonts w:hint="eastAsia" w:ascii="宋体" w:hAnsi="宋体" w:cs="宋体"/>
                <w:szCs w:val="21"/>
                <w:highlight w:val="none"/>
              </w:rPr>
              <w:t>　　以上不良信用记录的认定，按交通运输部《公路施工企业信用评价规则》（交公路发〔2009〕733号）第十三条的规定执行。</w:t>
            </w:r>
          </w:p>
          <w:p>
            <w:pPr>
              <w:numPr>
                <w:ilvl w:val="0"/>
                <w:numId w:val="2"/>
              </w:numPr>
              <w:overflowPunct w:val="0"/>
              <w:ind w:left="0" w:firstLine="210" w:firstLineChars="100"/>
              <w:rPr>
                <w:rFonts w:ascii="宋体" w:hAnsi="宋体" w:cs="宋体"/>
                <w:szCs w:val="21"/>
                <w:highlight w:val="none"/>
              </w:rPr>
            </w:pPr>
            <w:r>
              <w:rPr>
                <w:rFonts w:hint="eastAsia" w:ascii="宋体" w:hAnsi="宋体" w:cs="宋体"/>
                <w:szCs w:val="21"/>
                <w:highlight w:val="none"/>
              </w:rPr>
              <w:t>（3）投标人未以联合体形式参与投标的，其信用等级按上述规定认定的施工单位信用等级和设计单位信用等级中较低者为其信用等级。</w:t>
            </w:r>
          </w:p>
          <w:p>
            <w:pPr>
              <w:numPr>
                <w:ilvl w:val="0"/>
                <w:numId w:val="2"/>
              </w:numPr>
              <w:snapToGrid w:val="0"/>
              <w:ind w:left="0" w:firstLine="210" w:firstLineChars="100"/>
              <w:rPr>
                <w:rFonts w:ascii="宋体" w:hAnsi="宋体" w:cs="宋体"/>
                <w:szCs w:val="21"/>
                <w:highlight w:val="none"/>
              </w:rPr>
            </w:pPr>
            <w:r>
              <w:rPr>
                <w:rFonts w:hint="eastAsia" w:ascii="宋体" w:hAnsi="宋体" w:cs="宋体"/>
                <w:bCs/>
                <w:szCs w:val="21"/>
                <w:highlight w:val="none"/>
              </w:rPr>
              <w:t>（4）</w:t>
            </w:r>
            <w:r>
              <w:rPr>
                <w:rFonts w:hint="eastAsia" w:ascii="宋体" w:hAnsi="宋体" w:cs="宋体"/>
                <w:szCs w:val="21"/>
                <w:highlight w:val="none"/>
              </w:rPr>
              <w:t>以联合体方式投标的，联合体信用等级按照联合体各成员各自按以上原则认定后的等级中最低的确定，当各自认定后的等级也相同时，评标加、减分分别按下表中给定的评标加分值最低和减分值最多的为准。</w:t>
            </w:r>
          </w:p>
          <w:tbl>
            <w:tblPr>
              <w:tblStyle w:val="7"/>
              <w:tblpPr w:leftFromText="180" w:rightFromText="180" w:vertAnchor="text" w:horzAnchor="page" w:tblpX="318" w:tblpY="117"/>
              <w:tblOverlap w:val="never"/>
              <w:tblW w:w="0" w:type="auto"/>
              <w:tblInd w:w="0" w:type="dxa"/>
              <w:tblLayout w:type="fixed"/>
              <w:tblCellMar>
                <w:top w:w="0" w:type="dxa"/>
                <w:left w:w="108" w:type="dxa"/>
                <w:bottom w:w="0" w:type="dxa"/>
                <w:right w:w="108" w:type="dxa"/>
              </w:tblCellMar>
            </w:tblPr>
            <w:tblGrid>
              <w:gridCol w:w="750"/>
              <w:gridCol w:w="750"/>
              <w:gridCol w:w="694"/>
              <w:gridCol w:w="669"/>
              <w:gridCol w:w="603"/>
              <w:gridCol w:w="723"/>
              <w:gridCol w:w="724"/>
            </w:tblGrid>
            <w:tr>
              <w:tblPrEx>
                <w:tblCellMar>
                  <w:top w:w="0" w:type="dxa"/>
                  <w:left w:w="108" w:type="dxa"/>
                  <w:bottom w:w="0" w:type="dxa"/>
                  <w:right w:w="108" w:type="dxa"/>
                </w:tblCellMar>
              </w:tblPrEx>
              <w:trPr>
                <w:trHeight w:val="321"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AA</w:t>
                  </w:r>
                </w:p>
              </w:tc>
              <w:tc>
                <w:tcPr>
                  <w:tcW w:w="136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A</w:t>
                  </w:r>
                </w:p>
              </w:tc>
              <w:tc>
                <w:tcPr>
                  <w:tcW w:w="603"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B</w:t>
                  </w:r>
                </w:p>
              </w:tc>
              <w:tc>
                <w:tcPr>
                  <w:tcW w:w="144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C</w:t>
                  </w:r>
                </w:p>
              </w:tc>
            </w:tr>
            <w:tr>
              <w:tblPrEx>
                <w:tblCellMar>
                  <w:top w:w="0" w:type="dxa"/>
                  <w:left w:w="108" w:type="dxa"/>
                  <w:bottom w:w="0" w:type="dxa"/>
                  <w:right w:w="108" w:type="dxa"/>
                </w:tblCellMar>
              </w:tblPrEx>
              <w:trPr>
                <w:trHeight w:val="624" w:hRule="atLeast"/>
              </w:trPr>
              <w:tc>
                <w:tcPr>
                  <w:tcW w:w="7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专业评价</w:t>
                  </w:r>
                </w:p>
              </w:tc>
              <w:tc>
                <w:tcPr>
                  <w:tcW w:w="750"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综合评价</w:t>
                  </w:r>
                </w:p>
              </w:tc>
              <w:tc>
                <w:tcPr>
                  <w:tcW w:w="694"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专业评价</w:t>
                  </w:r>
                </w:p>
              </w:tc>
              <w:tc>
                <w:tcPr>
                  <w:tcW w:w="669"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综合评价</w:t>
                  </w:r>
                </w:p>
              </w:tc>
              <w:tc>
                <w:tcPr>
                  <w:tcW w:w="603"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723"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专业评价</w:t>
                  </w:r>
                </w:p>
              </w:tc>
              <w:tc>
                <w:tcPr>
                  <w:tcW w:w="724"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综合评价</w:t>
                  </w:r>
                </w:p>
              </w:tc>
            </w:tr>
            <w:tr>
              <w:tblPrEx>
                <w:tblCellMar>
                  <w:top w:w="0" w:type="dxa"/>
                  <w:left w:w="108" w:type="dxa"/>
                  <w:bottom w:w="0" w:type="dxa"/>
                  <w:right w:w="108" w:type="dxa"/>
                </w:tblCellMar>
              </w:tblPrEx>
              <w:trPr>
                <w:trHeight w:val="477" w:hRule="atLeast"/>
              </w:trPr>
              <w:tc>
                <w:tcPr>
                  <w:tcW w:w="7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+3.0</w:t>
                  </w:r>
                </w:p>
              </w:tc>
              <w:tc>
                <w:tcPr>
                  <w:tcW w:w="750"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+1.5</w:t>
                  </w:r>
                </w:p>
              </w:tc>
              <w:tc>
                <w:tcPr>
                  <w:tcW w:w="694"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+1.5</w:t>
                  </w:r>
                </w:p>
              </w:tc>
              <w:tc>
                <w:tcPr>
                  <w:tcW w:w="669"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+0.8</w:t>
                  </w:r>
                </w:p>
              </w:tc>
              <w:tc>
                <w:tcPr>
                  <w:tcW w:w="603"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0.0</w:t>
                  </w:r>
                </w:p>
              </w:tc>
              <w:tc>
                <w:tcPr>
                  <w:tcW w:w="723"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-3.0</w:t>
                  </w:r>
                </w:p>
              </w:tc>
              <w:tc>
                <w:tcPr>
                  <w:tcW w:w="724"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-1.5</w:t>
                  </w:r>
                </w:p>
              </w:tc>
            </w:tr>
          </w:tbl>
          <w:p>
            <w:pPr>
              <w:ind w:firstLine="105" w:firstLineChars="50"/>
              <w:rPr>
                <w:rFonts w:ascii="宋体" w:hAnsi="宋体" w:cs="宋体"/>
                <w:kern w:val="0"/>
                <w:szCs w:val="21"/>
                <w:highlight w:val="none"/>
              </w:rPr>
            </w:pPr>
          </w:p>
          <w:p>
            <w:pPr>
              <w:ind w:firstLine="105" w:firstLineChars="50"/>
              <w:rPr>
                <w:rFonts w:ascii="宋体" w:hAnsi="宋体" w:cs="宋体"/>
                <w:kern w:val="0"/>
                <w:szCs w:val="21"/>
                <w:highlight w:val="none"/>
              </w:rPr>
            </w:pPr>
          </w:p>
          <w:p>
            <w:pPr>
              <w:ind w:firstLine="105" w:firstLineChars="50"/>
              <w:rPr>
                <w:rFonts w:ascii="宋体" w:hAnsi="宋体" w:cs="宋体"/>
                <w:kern w:val="0"/>
                <w:szCs w:val="21"/>
                <w:highlight w:val="none"/>
              </w:rPr>
            </w:pPr>
          </w:p>
          <w:p>
            <w:pPr>
              <w:ind w:firstLine="105" w:firstLineChars="50"/>
              <w:rPr>
                <w:rFonts w:ascii="宋体" w:hAnsi="宋体" w:cs="宋体"/>
                <w:kern w:val="0"/>
                <w:szCs w:val="21"/>
                <w:highlight w:val="none"/>
              </w:rPr>
            </w:pPr>
          </w:p>
          <w:p>
            <w:pPr>
              <w:ind w:firstLine="105" w:firstLineChars="50"/>
              <w:rPr>
                <w:rFonts w:ascii="宋体" w:hAnsi="宋体" w:cs="宋体"/>
                <w:kern w:val="0"/>
                <w:szCs w:val="21"/>
                <w:highlight w:val="none"/>
              </w:rPr>
            </w:pPr>
          </w:p>
          <w:p>
            <w:pPr>
              <w:ind w:firstLine="105" w:firstLineChars="50"/>
              <w:rPr>
                <w:rFonts w:ascii="宋体" w:hAnsi="宋体" w:cs="宋体"/>
                <w:kern w:val="0"/>
                <w:szCs w:val="21"/>
                <w:highlight w:val="none"/>
              </w:rPr>
            </w:pPr>
          </w:p>
          <w:p>
            <w:pPr>
              <w:ind w:firstLine="105" w:firstLineChars="50"/>
              <w:rPr>
                <w:rFonts w:ascii="宋体" w:hAnsi="宋体" w:cs="宋体"/>
                <w:b/>
                <w:bCs/>
                <w:szCs w:val="21"/>
                <w:highlight w:val="none"/>
              </w:rPr>
            </w:pPr>
            <w:r>
              <w:rPr>
                <w:rFonts w:hint="eastAsia" w:ascii="宋体" w:hAnsi="宋体" w:cs="宋体"/>
                <w:kern w:val="0"/>
                <w:szCs w:val="21"/>
                <w:highlight w:val="none"/>
              </w:rPr>
              <w:t>（5）</w:t>
            </w:r>
            <w:r>
              <w:rPr>
                <w:rFonts w:hint="eastAsia" w:ascii="宋体" w:hAnsi="宋体" w:cs="宋体"/>
                <w:szCs w:val="21"/>
                <w:highlight w:val="none"/>
              </w:rPr>
              <w:t>评标加分或减分标准：</w:t>
            </w:r>
          </w:p>
          <w:p>
            <w:pPr>
              <w:rPr>
                <w:rFonts w:ascii="宋体" w:hAnsi="宋体" w:cs="宋体"/>
                <w:szCs w:val="21"/>
                <w:highlight w:val="none"/>
              </w:rPr>
            </w:pPr>
            <w:r>
              <w:rPr>
                <w:rFonts w:hint="eastAsia" w:ascii="宋体" w:hAnsi="宋体" w:cs="宋体"/>
                <w:szCs w:val="21"/>
                <w:highlight w:val="none"/>
              </w:rPr>
              <w:t>注：在引用上表时，非投标专业对应的专业评价视为综合评价。</w:t>
            </w:r>
          </w:p>
        </w:tc>
      </w:tr>
    </w:tbl>
    <w:p>
      <w:pPr>
        <w:spacing w:line="360" w:lineRule="auto"/>
        <w:rPr>
          <w:b/>
          <w:sz w:val="28"/>
          <w:szCs w:val="28"/>
          <w:highlight w:val="none"/>
        </w:rPr>
      </w:pPr>
    </w:p>
    <w:p>
      <w:pPr>
        <w:spacing w:line="360" w:lineRule="auto"/>
        <w:jc w:val="left"/>
        <w:rPr>
          <w:b/>
          <w:sz w:val="32"/>
          <w:szCs w:val="32"/>
          <w:highlight w:val="none"/>
        </w:rPr>
      </w:pPr>
      <w:r>
        <w:rPr>
          <w:rFonts w:hint="eastAsia"/>
          <w:b/>
          <w:sz w:val="32"/>
          <w:szCs w:val="32"/>
          <w:highlight w:val="none"/>
        </w:rPr>
        <w:t>附件3：</w:t>
      </w:r>
    </w:p>
    <w:p>
      <w:pPr>
        <w:spacing w:line="360" w:lineRule="auto"/>
        <w:rPr>
          <w:highlight w:val="none"/>
        </w:rPr>
      </w:pPr>
    </w:p>
    <w:p>
      <w:pPr>
        <w:spacing w:line="360" w:lineRule="auto"/>
        <w:jc w:val="center"/>
        <w:rPr>
          <w:b/>
          <w:sz w:val="32"/>
          <w:szCs w:val="32"/>
          <w:highlight w:val="none"/>
        </w:rPr>
      </w:pPr>
      <w:r>
        <w:rPr>
          <w:b/>
          <w:sz w:val="32"/>
          <w:szCs w:val="32"/>
          <w:highlight w:val="none"/>
        </w:rPr>
        <w:t>2.2.4</w:t>
      </w:r>
      <w:r>
        <w:rPr>
          <w:rFonts w:hint="eastAsia"/>
          <w:b/>
          <w:sz w:val="32"/>
          <w:szCs w:val="32"/>
          <w:highlight w:val="none"/>
        </w:rPr>
        <w:t>（3）承包人实施方案（C）</w:t>
      </w:r>
    </w:p>
    <w:p>
      <w:pPr>
        <w:spacing w:line="360" w:lineRule="auto"/>
        <w:jc w:val="right"/>
        <w:rPr>
          <w:b/>
          <w:sz w:val="32"/>
          <w:szCs w:val="32"/>
          <w:highlight w:val="none"/>
        </w:rPr>
      </w:pPr>
      <w:r>
        <w:rPr>
          <w:rFonts w:hint="eastAsia"/>
          <w:highlight w:val="none"/>
        </w:rPr>
        <w:t>满分20分</w:t>
      </w:r>
    </w:p>
    <w:tbl>
      <w:tblPr>
        <w:tblStyle w:val="7"/>
        <w:tblW w:w="969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45"/>
        <w:gridCol w:w="2678"/>
        <w:gridCol w:w="689"/>
        <w:gridCol w:w="397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5"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条款号</w:t>
            </w:r>
          </w:p>
        </w:tc>
        <w:tc>
          <w:tcPr>
            <w:tcW w:w="1445"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评分因素</w:t>
            </w:r>
          </w:p>
        </w:tc>
        <w:tc>
          <w:tcPr>
            <w:tcW w:w="2678"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各细分评分因素</w:t>
            </w:r>
          </w:p>
        </w:tc>
        <w:tc>
          <w:tcPr>
            <w:tcW w:w="689" w:type="dxa"/>
            <w:tcBorders>
              <w:tl2br w:val="nil"/>
              <w:tr2bl w:val="nil"/>
            </w:tcBorders>
            <w:vAlign w:val="center"/>
          </w:tcPr>
          <w:p>
            <w:pPr>
              <w:jc w:val="center"/>
              <w:rPr>
                <w:rFonts w:ascii="宋体" w:hAnsi="宋体" w:cs="宋体"/>
                <w:b/>
                <w:szCs w:val="21"/>
                <w:highlight w:val="none"/>
              </w:rPr>
            </w:pPr>
            <w:r>
              <w:rPr>
                <w:rFonts w:hint="eastAsia" w:ascii="宋体" w:hAnsi="宋体" w:cs="宋体"/>
                <w:b/>
                <w:szCs w:val="21"/>
                <w:highlight w:val="none"/>
              </w:rPr>
              <w:t>分值</w:t>
            </w:r>
          </w:p>
        </w:tc>
        <w:tc>
          <w:tcPr>
            <w:tcW w:w="3977" w:type="dxa"/>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评分标准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05" w:type="dxa"/>
            <w:vMerge w:val="restart"/>
            <w:tcBorders>
              <w:tl2br w:val="nil"/>
              <w:tr2bl w:val="nil"/>
            </w:tcBorders>
            <w:vAlign w:val="center"/>
          </w:tcPr>
          <w:p>
            <w:pPr>
              <w:jc w:val="center"/>
              <w:rPr>
                <w:rFonts w:ascii="宋体" w:hAnsi="宋体" w:cs="宋体"/>
                <w:szCs w:val="21"/>
                <w:highlight w:val="none"/>
              </w:rPr>
            </w:pPr>
            <w:r>
              <w:rPr>
                <w:rFonts w:hint="eastAsia" w:ascii="宋体" w:hAnsi="宋体" w:cs="宋体"/>
                <w:b/>
                <w:szCs w:val="21"/>
                <w:highlight w:val="none"/>
              </w:rPr>
              <w:t>2.2.4（2）</w:t>
            </w:r>
          </w:p>
        </w:tc>
        <w:tc>
          <w:tcPr>
            <w:tcW w:w="1445" w:type="dxa"/>
            <w:vMerge w:val="restart"/>
            <w:tcBorders>
              <w:tl2br w:val="nil"/>
              <w:tr2bl w:val="nil"/>
            </w:tcBorders>
            <w:vAlign w:val="center"/>
          </w:tcPr>
          <w:p>
            <w:pPr>
              <w:autoSpaceDE w:val="0"/>
              <w:autoSpaceDN w:val="0"/>
              <w:adjustRightInd w:val="0"/>
              <w:rPr>
                <w:rFonts w:ascii="宋体" w:hAnsi="宋体" w:cs="宋体"/>
                <w:szCs w:val="21"/>
                <w:highlight w:val="none"/>
                <w:lang w:val="zh-CN"/>
              </w:rPr>
            </w:pPr>
            <w:r>
              <w:rPr>
                <w:rFonts w:hint="eastAsia" w:ascii="宋体" w:hAnsi="宋体" w:cs="宋体"/>
                <w:b/>
                <w:szCs w:val="21"/>
                <w:highlight w:val="none"/>
              </w:rPr>
              <w:t>承包人实施方案（20分）</w:t>
            </w:r>
          </w:p>
        </w:tc>
        <w:tc>
          <w:tcPr>
            <w:tcW w:w="2678" w:type="dxa"/>
            <w:tcBorders>
              <w:tl2br w:val="nil"/>
              <w:tr2bl w:val="nil"/>
            </w:tcBorders>
            <w:vAlign w:val="center"/>
          </w:tcPr>
          <w:p>
            <w:pPr>
              <w:jc w:val="left"/>
              <w:rPr>
                <w:rFonts w:ascii="宋体" w:hAnsi="宋体" w:cs="宋体"/>
                <w:szCs w:val="21"/>
                <w:highlight w:val="none"/>
                <w:lang w:val="zh-CN"/>
              </w:rPr>
            </w:pPr>
            <w:r>
              <w:rPr>
                <w:rFonts w:hint="eastAsia" w:ascii="宋体" w:hAnsi="宋体" w:cs="宋体"/>
                <w:szCs w:val="21"/>
                <w:highlight w:val="none"/>
              </w:rPr>
              <w:t>总体实施方案</w:t>
            </w:r>
          </w:p>
        </w:tc>
        <w:tc>
          <w:tcPr>
            <w:tcW w:w="689" w:type="dxa"/>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2分</w:t>
            </w:r>
          </w:p>
        </w:tc>
        <w:tc>
          <w:tcPr>
            <w:tcW w:w="3977" w:type="dxa"/>
            <w:vMerge w:val="restart"/>
            <w:tcBorders>
              <w:tl2br w:val="nil"/>
              <w:tr2bl w:val="nil"/>
            </w:tcBorders>
            <w:vAlign w:val="center"/>
          </w:tcPr>
          <w:p>
            <w:pPr>
              <w:pStyle w:val="2"/>
              <w:adjustRightInd w:val="0"/>
              <w:rPr>
                <w:rFonts w:ascii="宋体" w:hAnsi="宋体" w:cs="宋体"/>
                <w:sz w:val="21"/>
                <w:szCs w:val="21"/>
                <w:highlight w:val="none"/>
              </w:rPr>
            </w:pPr>
            <w:r>
              <w:rPr>
                <w:rFonts w:hint="eastAsia" w:ascii="宋体" w:hAnsi="宋体" w:cs="宋体"/>
                <w:sz w:val="21"/>
                <w:szCs w:val="21"/>
                <w:highlight w:val="none"/>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承包人实施方案予以适当扣分。</w:t>
            </w:r>
          </w:p>
          <w:p>
            <w:pPr>
              <w:pStyle w:val="2"/>
              <w:adjustRightInd w:val="0"/>
              <w:rPr>
                <w:rFonts w:ascii="宋体" w:hAnsi="宋体" w:cs="宋体"/>
                <w:sz w:val="21"/>
                <w:szCs w:val="21"/>
                <w:highlight w:val="none"/>
              </w:rPr>
            </w:pPr>
            <w:r>
              <w:rPr>
                <w:rFonts w:hint="eastAsia" w:ascii="宋体" w:hAnsi="宋体" w:cs="宋体"/>
                <w:sz w:val="21"/>
                <w:szCs w:val="21"/>
                <w:highlight w:val="none"/>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05" w:type="dxa"/>
            <w:vMerge w:val="continue"/>
            <w:tcBorders>
              <w:tl2br w:val="nil"/>
              <w:tr2bl w:val="nil"/>
            </w:tcBorders>
            <w:vAlign w:val="center"/>
          </w:tcPr>
          <w:p>
            <w:pPr>
              <w:keepNext/>
              <w:keepLines/>
              <w:numPr>
                <w:ilvl w:val="2"/>
                <w:numId w:val="1"/>
              </w:numPr>
              <w:jc w:val="center"/>
              <w:outlineLvl w:val="2"/>
              <w:rPr>
                <w:rFonts w:ascii="宋体" w:hAnsi="宋体" w:cs="宋体"/>
                <w:szCs w:val="21"/>
                <w:highlight w:val="none"/>
              </w:rPr>
            </w:pPr>
          </w:p>
        </w:tc>
        <w:tc>
          <w:tcPr>
            <w:tcW w:w="1445" w:type="dxa"/>
            <w:vMerge w:val="continue"/>
            <w:tcBorders>
              <w:tl2br w:val="nil"/>
              <w:tr2bl w:val="nil"/>
            </w:tcBorders>
            <w:vAlign w:val="center"/>
          </w:tcPr>
          <w:p>
            <w:pPr>
              <w:keepNext/>
              <w:keepLines/>
              <w:numPr>
                <w:ilvl w:val="2"/>
                <w:numId w:val="1"/>
              </w:numPr>
              <w:autoSpaceDE w:val="0"/>
              <w:autoSpaceDN w:val="0"/>
              <w:adjustRightInd w:val="0"/>
              <w:outlineLvl w:val="2"/>
              <w:rPr>
                <w:rFonts w:ascii="宋体" w:hAnsi="宋体" w:cs="宋体"/>
                <w:szCs w:val="21"/>
                <w:highlight w:val="none"/>
              </w:rPr>
            </w:pPr>
          </w:p>
        </w:tc>
        <w:tc>
          <w:tcPr>
            <w:tcW w:w="2678" w:type="dxa"/>
            <w:tcBorders>
              <w:tl2br w:val="nil"/>
              <w:tr2bl w:val="nil"/>
            </w:tcBorders>
            <w:vAlign w:val="center"/>
          </w:tcPr>
          <w:p>
            <w:pPr>
              <w:pStyle w:val="10"/>
              <w:kinsoku w:val="0"/>
              <w:overflowPunct w:val="0"/>
              <w:jc w:val="both"/>
              <w:rPr>
                <w:rFonts w:ascii="宋体" w:hAnsi="宋体" w:cs="宋体"/>
                <w:sz w:val="21"/>
                <w:szCs w:val="21"/>
                <w:highlight w:val="none"/>
              </w:rPr>
            </w:pPr>
            <w:r>
              <w:rPr>
                <w:rFonts w:hint="eastAsia" w:ascii="宋体" w:hAnsi="宋体" w:cs="宋体"/>
                <w:sz w:val="21"/>
                <w:szCs w:val="21"/>
                <w:highlight w:val="none"/>
              </w:rPr>
              <w:t>项目管理、实施要点及措施</w:t>
            </w:r>
          </w:p>
        </w:tc>
        <w:tc>
          <w:tcPr>
            <w:tcW w:w="689" w:type="dxa"/>
            <w:tcBorders>
              <w:tl2br w:val="nil"/>
              <w:tr2bl w:val="nil"/>
            </w:tcBorders>
            <w:vAlign w:val="center"/>
          </w:tcPr>
          <w:p>
            <w:pPr>
              <w:pStyle w:val="10"/>
              <w:kinsoku w:val="0"/>
              <w:overflowPunct w:val="0"/>
              <w:jc w:val="center"/>
              <w:rPr>
                <w:rFonts w:ascii="宋体" w:hAnsi="宋体" w:cs="宋体"/>
                <w:sz w:val="21"/>
                <w:szCs w:val="21"/>
                <w:highlight w:val="none"/>
              </w:rPr>
            </w:pPr>
            <w:r>
              <w:rPr>
                <w:rFonts w:hint="eastAsia" w:ascii="宋体" w:hAnsi="宋体" w:cs="宋体"/>
                <w:kern w:val="2"/>
                <w:sz w:val="21"/>
                <w:szCs w:val="21"/>
                <w:highlight w:val="none"/>
              </w:rPr>
              <w:t>14分</w:t>
            </w:r>
          </w:p>
        </w:tc>
        <w:tc>
          <w:tcPr>
            <w:tcW w:w="3977" w:type="dxa"/>
            <w:vMerge w:val="continue"/>
            <w:tcBorders>
              <w:tl2br w:val="nil"/>
              <w:tr2bl w:val="nil"/>
            </w:tcBorders>
            <w:vAlign w:val="center"/>
          </w:tcPr>
          <w:p>
            <w:pPr>
              <w:jc w:val="center"/>
              <w:rPr>
                <w:rFonts w:ascii="宋体" w:hAnsi="宋体" w:cs="宋体"/>
                <w:spacing w:val="-6"/>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05" w:type="dxa"/>
            <w:vMerge w:val="continue"/>
            <w:tcBorders>
              <w:tl2br w:val="nil"/>
              <w:tr2bl w:val="nil"/>
            </w:tcBorders>
            <w:vAlign w:val="center"/>
          </w:tcPr>
          <w:p>
            <w:pPr>
              <w:jc w:val="center"/>
              <w:rPr>
                <w:rFonts w:ascii="宋体" w:hAnsi="宋体" w:cs="宋体"/>
                <w:szCs w:val="21"/>
                <w:highlight w:val="none"/>
              </w:rPr>
            </w:pPr>
          </w:p>
        </w:tc>
        <w:tc>
          <w:tcPr>
            <w:tcW w:w="1445" w:type="dxa"/>
            <w:vMerge w:val="continue"/>
            <w:tcBorders>
              <w:tl2br w:val="nil"/>
              <w:tr2bl w:val="nil"/>
            </w:tcBorders>
            <w:vAlign w:val="center"/>
          </w:tcPr>
          <w:p>
            <w:pPr>
              <w:autoSpaceDE w:val="0"/>
              <w:autoSpaceDN w:val="0"/>
              <w:adjustRightInd w:val="0"/>
              <w:rPr>
                <w:rFonts w:ascii="宋体" w:hAnsi="宋体" w:cs="宋体"/>
                <w:szCs w:val="21"/>
                <w:highlight w:val="none"/>
              </w:rPr>
            </w:pPr>
          </w:p>
        </w:tc>
        <w:tc>
          <w:tcPr>
            <w:tcW w:w="2678" w:type="dxa"/>
            <w:tcBorders>
              <w:tl2br w:val="nil"/>
              <w:tr2bl w:val="nil"/>
            </w:tcBorders>
            <w:vAlign w:val="center"/>
          </w:tcPr>
          <w:p>
            <w:pPr>
              <w:pStyle w:val="10"/>
              <w:kinsoku w:val="0"/>
              <w:overflowPunct w:val="0"/>
              <w:jc w:val="both"/>
              <w:rPr>
                <w:rFonts w:ascii="宋体" w:hAnsi="宋体" w:cs="宋体"/>
                <w:sz w:val="21"/>
                <w:szCs w:val="21"/>
                <w:highlight w:val="none"/>
              </w:rPr>
            </w:pPr>
            <w:r>
              <w:rPr>
                <w:rFonts w:hint="eastAsia" w:ascii="宋体" w:hAnsi="宋体" w:cs="宋体"/>
                <w:kern w:val="2"/>
                <w:sz w:val="21"/>
                <w:szCs w:val="21"/>
                <w:highlight w:val="none"/>
              </w:rPr>
              <w:t>交通保畅方案及保畅措施</w:t>
            </w:r>
          </w:p>
        </w:tc>
        <w:tc>
          <w:tcPr>
            <w:tcW w:w="689" w:type="dxa"/>
            <w:tcBorders>
              <w:tl2br w:val="nil"/>
              <w:tr2bl w:val="nil"/>
            </w:tcBorders>
            <w:vAlign w:val="center"/>
          </w:tcPr>
          <w:p>
            <w:pPr>
              <w:pStyle w:val="10"/>
              <w:kinsoku w:val="0"/>
              <w:overflowPunct w:val="0"/>
              <w:jc w:val="center"/>
              <w:rPr>
                <w:rFonts w:ascii="宋体" w:hAnsi="宋体" w:cs="宋体"/>
                <w:sz w:val="21"/>
                <w:szCs w:val="21"/>
                <w:highlight w:val="none"/>
              </w:rPr>
            </w:pPr>
            <w:r>
              <w:rPr>
                <w:rFonts w:hint="eastAsia" w:ascii="宋体" w:hAnsi="宋体" w:cs="宋体"/>
                <w:kern w:val="2"/>
                <w:sz w:val="21"/>
                <w:szCs w:val="21"/>
                <w:highlight w:val="none"/>
              </w:rPr>
              <w:t>2分</w:t>
            </w:r>
          </w:p>
        </w:tc>
        <w:tc>
          <w:tcPr>
            <w:tcW w:w="3977" w:type="dxa"/>
            <w:vMerge w:val="continue"/>
            <w:tcBorders>
              <w:tl2br w:val="nil"/>
              <w:tr2bl w:val="nil"/>
            </w:tcBorders>
            <w:vAlign w:val="center"/>
          </w:tcPr>
          <w:p>
            <w:pPr>
              <w:jc w:val="center"/>
              <w:rPr>
                <w:rFonts w:ascii="宋体" w:hAnsi="宋体" w:cs="宋体"/>
                <w:spacing w:val="-6"/>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5" w:type="dxa"/>
            <w:vMerge w:val="continue"/>
            <w:tcBorders>
              <w:tl2br w:val="nil"/>
              <w:tr2bl w:val="nil"/>
            </w:tcBorders>
            <w:vAlign w:val="center"/>
          </w:tcPr>
          <w:p>
            <w:pPr>
              <w:jc w:val="center"/>
              <w:rPr>
                <w:rFonts w:ascii="宋体" w:hAnsi="宋体" w:cs="宋体"/>
                <w:szCs w:val="21"/>
                <w:highlight w:val="none"/>
              </w:rPr>
            </w:pPr>
          </w:p>
        </w:tc>
        <w:tc>
          <w:tcPr>
            <w:tcW w:w="1445" w:type="dxa"/>
            <w:vMerge w:val="continue"/>
            <w:tcBorders>
              <w:tl2br w:val="nil"/>
              <w:tr2bl w:val="nil"/>
            </w:tcBorders>
            <w:vAlign w:val="center"/>
          </w:tcPr>
          <w:p>
            <w:pPr>
              <w:autoSpaceDE w:val="0"/>
              <w:autoSpaceDN w:val="0"/>
              <w:adjustRightInd w:val="0"/>
              <w:rPr>
                <w:rFonts w:ascii="宋体" w:hAnsi="宋体" w:cs="宋体"/>
                <w:szCs w:val="21"/>
                <w:highlight w:val="none"/>
              </w:rPr>
            </w:pPr>
          </w:p>
        </w:tc>
        <w:tc>
          <w:tcPr>
            <w:tcW w:w="2678" w:type="dxa"/>
            <w:tcBorders>
              <w:tl2br w:val="nil"/>
              <w:tr2bl w:val="nil"/>
            </w:tcBorders>
            <w:vAlign w:val="center"/>
          </w:tcPr>
          <w:p>
            <w:pPr>
              <w:pStyle w:val="10"/>
              <w:kinsoku w:val="0"/>
              <w:overflowPunct w:val="0"/>
              <w:jc w:val="both"/>
              <w:rPr>
                <w:rFonts w:ascii="宋体" w:hAnsi="宋体" w:cs="宋体"/>
                <w:sz w:val="21"/>
                <w:szCs w:val="21"/>
                <w:highlight w:val="none"/>
              </w:rPr>
            </w:pPr>
            <w:r>
              <w:rPr>
                <w:rFonts w:hint="eastAsia" w:ascii="宋体" w:hAnsi="宋体" w:cs="宋体"/>
                <w:kern w:val="2"/>
                <w:sz w:val="21"/>
                <w:szCs w:val="21"/>
                <w:highlight w:val="none"/>
              </w:rPr>
              <w:t>项目风险预测与防范，事故应急预案</w:t>
            </w:r>
          </w:p>
        </w:tc>
        <w:tc>
          <w:tcPr>
            <w:tcW w:w="689" w:type="dxa"/>
            <w:tcBorders>
              <w:tl2br w:val="nil"/>
              <w:tr2bl w:val="nil"/>
            </w:tcBorders>
            <w:vAlign w:val="center"/>
          </w:tcPr>
          <w:p>
            <w:pPr>
              <w:pStyle w:val="10"/>
              <w:kinsoku w:val="0"/>
              <w:overflowPunct w:val="0"/>
              <w:jc w:val="center"/>
              <w:rPr>
                <w:rFonts w:ascii="宋体" w:hAnsi="宋体" w:cs="宋体"/>
                <w:sz w:val="21"/>
                <w:szCs w:val="21"/>
                <w:highlight w:val="none"/>
              </w:rPr>
            </w:pPr>
            <w:r>
              <w:rPr>
                <w:rFonts w:hint="eastAsia" w:ascii="宋体" w:hAnsi="宋体" w:cs="宋体"/>
                <w:kern w:val="2"/>
                <w:sz w:val="21"/>
                <w:szCs w:val="21"/>
                <w:highlight w:val="none"/>
              </w:rPr>
              <w:t>2分</w:t>
            </w:r>
          </w:p>
        </w:tc>
        <w:tc>
          <w:tcPr>
            <w:tcW w:w="3977" w:type="dxa"/>
            <w:vMerge w:val="continue"/>
            <w:tcBorders>
              <w:tl2br w:val="nil"/>
              <w:tr2bl w:val="nil"/>
            </w:tcBorders>
            <w:vAlign w:val="center"/>
          </w:tcPr>
          <w:p>
            <w:pPr>
              <w:keepNext/>
              <w:keepLines/>
              <w:numPr>
                <w:ilvl w:val="0"/>
                <w:numId w:val="1"/>
              </w:numPr>
              <w:jc w:val="center"/>
              <w:outlineLvl w:val="0"/>
              <w:rPr>
                <w:rFonts w:ascii="宋体" w:hAnsi="宋体" w:cs="宋体"/>
                <w:spacing w:val="-6"/>
                <w:szCs w:val="21"/>
                <w:highlight w:val="none"/>
              </w:rPr>
            </w:pPr>
          </w:p>
        </w:tc>
      </w:tr>
    </w:tbl>
    <w:p>
      <w:pPr>
        <w:pStyle w:val="2"/>
        <w:rPr>
          <w:b/>
          <w:sz w:val="28"/>
          <w:szCs w:val="28"/>
          <w:highlight w:val="none"/>
        </w:rPr>
      </w:pPr>
    </w:p>
    <w:p>
      <w:pPr>
        <w:pStyle w:val="2"/>
        <w:rPr>
          <w:b/>
          <w:sz w:val="28"/>
          <w:szCs w:val="28"/>
          <w:highlight w:val="none"/>
        </w:rPr>
      </w:pPr>
    </w:p>
    <w:p>
      <w:pPr>
        <w:rPr>
          <w:b/>
          <w:sz w:val="32"/>
          <w:szCs w:val="32"/>
          <w:highlight w:val="none"/>
        </w:rPr>
      </w:pPr>
      <w:r>
        <w:rPr>
          <w:rFonts w:hint="eastAsia"/>
          <w:b/>
          <w:sz w:val="32"/>
          <w:szCs w:val="32"/>
          <w:highlight w:val="none"/>
        </w:rPr>
        <w:t>附件</w:t>
      </w:r>
      <w:r>
        <w:rPr>
          <w:b/>
          <w:sz w:val="32"/>
          <w:szCs w:val="32"/>
          <w:highlight w:val="none"/>
        </w:rPr>
        <w:t xml:space="preserve"> 4</w:t>
      </w:r>
    </w:p>
    <w:p>
      <w:pPr>
        <w:spacing w:line="400" w:lineRule="exact"/>
        <w:jc w:val="center"/>
        <w:rPr>
          <w:b/>
          <w:sz w:val="32"/>
          <w:szCs w:val="32"/>
          <w:highlight w:val="none"/>
        </w:rPr>
      </w:pPr>
      <w:r>
        <w:rPr>
          <w:b/>
          <w:sz w:val="32"/>
          <w:szCs w:val="32"/>
          <w:highlight w:val="none"/>
        </w:rPr>
        <w:t>2.2.4</w:t>
      </w:r>
      <w:r>
        <w:rPr>
          <w:rFonts w:hint="eastAsia"/>
          <w:b/>
          <w:sz w:val="32"/>
          <w:szCs w:val="32"/>
          <w:highlight w:val="none"/>
        </w:rPr>
        <w:t>（</w:t>
      </w:r>
      <w:r>
        <w:rPr>
          <w:b/>
          <w:sz w:val="32"/>
          <w:szCs w:val="32"/>
          <w:highlight w:val="none"/>
        </w:rPr>
        <w:t>4</w:t>
      </w:r>
      <w:r>
        <w:rPr>
          <w:rFonts w:hint="eastAsia"/>
          <w:b/>
          <w:sz w:val="32"/>
          <w:szCs w:val="32"/>
          <w:highlight w:val="none"/>
        </w:rPr>
        <w:t>）投标报价评分标准（</w:t>
      </w:r>
      <w:r>
        <w:rPr>
          <w:b/>
          <w:sz w:val="32"/>
          <w:szCs w:val="32"/>
          <w:highlight w:val="none"/>
        </w:rPr>
        <w:t>D</w:t>
      </w:r>
      <w:r>
        <w:rPr>
          <w:rFonts w:hint="eastAsia"/>
          <w:b/>
          <w:sz w:val="32"/>
          <w:szCs w:val="32"/>
          <w:highlight w:val="none"/>
        </w:rPr>
        <w:t>）</w:t>
      </w:r>
    </w:p>
    <w:p>
      <w:pPr>
        <w:spacing w:line="400" w:lineRule="exact"/>
        <w:ind w:right="420"/>
        <w:jc w:val="center"/>
        <w:rPr>
          <w:highlight w:val="none"/>
        </w:rPr>
      </w:pPr>
      <w:r>
        <w:rPr>
          <w:rFonts w:hint="eastAsia"/>
          <w:szCs w:val="21"/>
          <w:highlight w:val="none"/>
        </w:rPr>
        <w:t>满分</w:t>
      </w:r>
      <w:r>
        <w:rPr>
          <w:szCs w:val="21"/>
          <w:highlight w:val="none"/>
        </w:rPr>
        <w:t>50</w:t>
      </w:r>
      <w:r>
        <w:rPr>
          <w:rFonts w:hint="eastAsia"/>
          <w:szCs w:val="21"/>
          <w:highlight w:val="none"/>
        </w:rPr>
        <w:t>分</w:t>
      </w:r>
    </w:p>
    <w:tbl>
      <w:tblPr>
        <w:tblStyle w:val="7"/>
        <w:tblW w:w="8931" w:type="dxa"/>
        <w:tblInd w:w="108" w:type="dxa"/>
        <w:tblLayout w:type="fixed"/>
        <w:tblCellMar>
          <w:top w:w="0" w:type="dxa"/>
          <w:left w:w="108" w:type="dxa"/>
          <w:bottom w:w="0" w:type="dxa"/>
          <w:right w:w="108" w:type="dxa"/>
        </w:tblCellMar>
      </w:tblPr>
      <w:tblGrid>
        <w:gridCol w:w="426"/>
        <w:gridCol w:w="1559"/>
        <w:gridCol w:w="6946"/>
      </w:tblGrid>
      <w:tr>
        <w:tblPrEx>
          <w:tblCellMar>
            <w:top w:w="0" w:type="dxa"/>
            <w:left w:w="108" w:type="dxa"/>
            <w:bottom w:w="0" w:type="dxa"/>
            <w:right w:w="108" w:type="dxa"/>
          </w:tblCellMar>
        </w:tblPrEx>
        <w:trPr>
          <w:trHeight w:val="90" w:hRule="atLeast"/>
        </w:trPr>
        <w:tc>
          <w:tcPr>
            <w:tcW w:w="426"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szCs w:val="21"/>
                <w:highlight w:val="none"/>
              </w:rPr>
              <w:t>投标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szCs w:val="21"/>
                <w:highlight w:val="none"/>
              </w:rPr>
            </w:pPr>
            <w:r>
              <w:rPr>
                <w:rFonts w:hint="eastAsia"/>
                <w:szCs w:val="21"/>
                <w:highlight w:val="none"/>
              </w:rPr>
              <w:t>偏差率</w:t>
            </w:r>
          </w:p>
        </w:tc>
        <w:tc>
          <w:tcPr>
            <w:tcW w:w="6946" w:type="dxa"/>
            <w:tcBorders>
              <w:top w:val="single" w:color="auto" w:sz="4" w:space="0"/>
              <w:left w:val="single" w:color="auto" w:sz="4" w:space="0"/>
              <w:bottom w:val="single" w:color="auto" w:sz="4" w:space="0"/>
              <w:right w:val="single" w:color="auto" w:sz="4" w:space="0"/>
            </w:tcBorders>
            <w:vAlign w:val="center"/>
          </w:tcPr>
          <w:p>
            <w:pPr>
              <w:spacing w:line="440" w:lineRule="exact"/>
              <w:ind w:left="210" w:hanging="210" w:hangingChars="100"/>
              <w:jc w:val="left"/>
              <w:rPr>
                <w:szCs w:val="21"/>
                <w:highlight w:val="none"/>
              </w:rPr>
            </w:pPr>
            <w:r>
              <w:rPr>
                <w:rFonts w:hint="eastAsia"/>
                <w:szCs w:val="21"/>
                <w:highlight w:val="none"/>
              </w:rPr>
              <w:t>偏差率</w:t>
            </w:r>
            <w:r>
              <w:rPr>
                <w:szCs w:val="21"/>
                <w:highlight w:val="none"/>
              </w:rPr>
              <w:t xml:space="preserve">=100% </w:t>
            </w:r>
            <w:r>
              <w:rPr>
                <w:rFonts w:ascii="Calibri" w:hAnsi="Calibri" w:cs="Calibri"/>
                <w:szCs w:val="21"/>
                <w:highlight w:val="none"/>
              </w:rPr>
              <w:t>X</w:t>
            </w:r>
            <w:r>
              <w:rPr>
                <w:rFonts w:hint="eastAsia" w:ascii="Calibri" w:hAnsi="Calibri" w:cs="Calibri"/>
                <w:szCs w:val="21"/>
                <w:highlight w:val="none"/>
                <w:lang w:eastAsia="zh-CN"/>
              </w:rPr>
              <w:t>（</w:t>
            </w:r>
            <w:r>
              <w:rPr>
                <w:rFonts w:hint="eastAsia"/>
                <w:szCs w:val="21"/>
                <w:highlight w:val="none"/>
              </w:rPr>
              <w:t>|投标人评标</w:t>
            </w:r>
            <w:r>
              <w:rPr>
                <w:rFonts w:ascii="宋体" w:hAnsi="宋体"/>
                <w:szCs w:val="21"/>
                <w:highlight w:val="none"/>
              </w:rPr>
              <w:t>价</w:t>
            </w:r>
            <w:r>
              <w:rPr>
                <w:rFonts w:hint="eastAsia" w:ascii="宋体" w:hAnsi="宋体"/>
                <w:szCs w:val="21"/>
                <w:highlight w:val="none"/>
              </w:rPr>
              <w:t>－</w:t>
            </w:r>
            <w:r>
              <w:rPr>
                <w:rFonts w:hint="eastAsia"/>
                <w:szCs w:val="21"/>
                <w:highlight w:val="none"/>
              </w:rPr>
              <w:t>评标基准价|</w:t>
            </w:r>
            <w:r>
              <w:rPr>
                <w:szCs w:val="21"/>
                <w:highlight w:val="none"/>
              </w:rPr>
              <w:t>/</w:t>
            </w:r>
            <w:r>
              <w:rPr>
                <w:rFonts w:hint="eastAsia"/>
                <w:szCs w:val="21"/>
                <w:highlight w:val="none"/>
              </w:rPr>
              <w:t xml:space="preserve">评标基准价 </w:t>
            </w:r>
            <w:r>
              <w:rPr>
                <w:rFonts w:hint="eastAsia" w:ascii="Calibri" w:hAnsi="Calibri" w:cs="Calibri"/>
                <w:szCs w:val="21"/>
                <w:highlight w:val="none"/>
                <w:lang w:eastAsia="zh-CN"/>
              </w:rPr>
              <w:t>）</w:t>
            </w:r>
            <w:r>
              <w:rPr>
                <w:rFonts w:hint="eastAsia"/>
                <w:szCs w:val="21"/>
                <w:highlight w:val="none"/>
              </w:rPr>
              <w:t xml:space="preserve">     </w:t>
            </w:r>
            <w:r>
              <w:rPr>
                <w:rFonts w:hint="eastAsia"/>
                <w:color w:val="auto"/>
                <w:szCs w:val="21"/>
                <w:highlight w:val="none"/>
              </w:rPr>
              <w:t>偏差率</w:t>
            </w:r>
            <w:r>
              <w:rPr>
                <w:rFonts w:hint="eastAsia"/>
                <w:szCs w:val="21"/>
                <w:highlight w:val="none"/>
              </w:rPr>
              <w:t>取绝对值，</w:t>
            </w:r>
            <w:r>
              <w:rPr>
                <w:rFonts w:hint="eastAsia"/>
                <w:color w:val="auto"/>
                <w:szCs w:val="21"/>
                <w:highlight w:val="none"/>
              </w:rPr>
              <w:t>保留</w:t>
            </w:r>
            <w:r>
              <w:rPr>
                <w:color w:val="auto"/>
                <w:szCs w:val="21"/>
                <w:highlight w:val="none"/>
                <w:u w:val="single"/>
              </w:rPr>
              <w:t>2</w:t>
            </w:r>
            <w:r>
              <w:rPr>
                <w:rFonts w:hint="eastAsia"/>
                <w:color w:val="auto"/>
                <w:szCs w:val="21"/>
                <w:highlight w:val="none"/>
              </w:rPr>
              <w:t>位小数</w:t>
            </w:r>
          </w:p>
        </w:tc>
      </w:tr>
      <w:tr>
        <w:tblPrEx>
          <w:tblCellMar>
            <w:top w:w="0" w:type="dxa"/>
            <w:left w:w="108" w:type="dxa"/>
            <w:bottom w:w="0" w:type="dxa"/>
            <w:right w:w="108" w:type="dxa"/>
          </w:tblCellMar>
        </w:tblPrEx>
        <w:trPr>
          <w:trHeight w:val="10157" w:hRule="atLeast"/>
        </w:trPr>
        <w:tc>
          <w:tcPr>
            <w:tcW w:w="426" w:type="dxa"/>
            <w:vMerge w:val="continue"/>
            <w:tcBorders>
              <w:left w:val="single" w:color="auto" w:sz="4" w:space="0"/>
              <w:right w:val="single" w:color="auto" w:sz="4" w:space="0"/>
            </w:tcBorders>
          </w:tcPr>
          <w:p>
            <w:pPr>
              <w:keepNext/>
              <w:keepLines/>
              <w:numPr>
                <w:ilvl w:val="0"/>
                <w:numId w:val="1"/>
              </w:numPr>
              <w:spacing w:before="340" w:after="330" w:line="440" w:lineRule="exact"/>
              <w:jc w:val="center"/>
              <w:outlineLvl w:val="0"/>
              <w:rPr>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投标报价得分</w:t>
            </w:r>
          </w:p>
          <w:p>
            <w:pPr>
              <w:spacing w:line="440" w:lineRule="exact"/>
              <w:jc w:val="center"/>
              <w:rPr>
                <w:rFonts w:hAnsi="宋体"/>
                <w:spacing w:val="-6"/>
                <w:szCs w:val="21"/>
                <w:highlight w:val="none"/>
              </w:rPr>
            </w:pPr>
            <w:r>
              <w:rPr>
                <w:rFonts w:hAnsi="宋体"/>
                <w:spacing w:val="-6"/>
                <w:szCs w:val="21"/>
                <w:highlight w:val="none"/>
              </w:rPr>
              <w:t>D</w:t>
            </w:r>
          </w:p>
          <w:p>
            <w:pPr>
              <w:spacing w:line="440" w:lineRule="exact"/>
              <w:jc w:val="center"/>
              <w:rPr>
                <w:szCs w:val="21"/>
                <w:highlight w:val="none"/>
              </w:rPr>
            </w:pPr>
            <w:r>
              <w:rPr>
                <w:rFonts w:hint="eastAsia" w:hAnsi="宋体"/>
                <w:spacing w:val="-6"/>
                <w:szCs w:val="21"/>
                <w:highlight w:val="none"/>
              </w:rPr>
              <w:t>（满分</w:t>
            </w:r>
            <w:r>
              <w:rPr>
                <w:rFonts w:hAnsi="宋体"/>
                <w:spacing w:val="-6"/>
                <w:szCs w:val="21"/>
                <w:highlight w:val="none"/>
              </w:rPr>
              <w:t>50</w:t>
            </w:r>
            <w:r>
              <w:rPr>
                <w:rFonts w:hint="eastAsia" w:hAnsi="宋体"/>
                <w:spacing w:val="-6"/>
                <w:szCs w:val="21"/>
                <w:highlight w:val="none"/>
              </w:rPr>
              <w:t>分）</w:t>
            </w:r>
          </w:p>
        </w:tc>
        <w:tc>
          <w:tcPr>
            <w:tcW w:w="69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441" w:firstLineChars="210"/>
              <w:jc w:val="left"/>
              <w:rPr>
                <w:rFonts w:ascii="宋体" w:hAnsi="宋体" w:cs="宋体"/>
                <w:szCs w:val="21"/>
                <w:highlight w:val="none"/>
              </w:rPr>
            </w:pPr>
            <w:r>
              <w:rPr>
                <w:rFonts w:ascii="宋体" w:hAnsi="宋体" w:cs="宋体"/>
                <w:szCs w:val="21"/>
                <w:highlight w:val="none"/>
              </w:rPr>
              <w:t>投标报价分为四项，第一项8分，第二项15分，第三项15分，第四项12分，合计满分50分。</w:t>
            </w:r>
          </w:p>
          <w:p>
            <w:pPr>
              <w:ind w:firstLine="443" w:firstLineChars="210"/>
              <w:rPr>
                <w:rFonts w:ascii="宋体" w:hAnsi="宋体" w:cs="宋体"/>
                <w:b w:val="0"/>
                <w:bCs w:val="0"/>
                <w:szCs w:val="21"/>
                <w:highlight w:val="none"/>
              </w:rPr>
            </w:pPr>
            <w:r>
              <w:rPr>
                <w:rFonts w:ascii="宋体" w:hAnsi="宋体" w:cs="宋体"/>
                <w:b/>
                <w:bCs/>
                <w:szCs w:val="21"/>
                <w:highlight w:val="none"/>
              </w:rPr>
              <w:t>第一项</w:t>
            </w:r>
            <w:r>
              <w:rPr>
                <w:rFonts w:hint="default" w:ascii="宋体" w:hAnsi="宋体" w:cs="宋体"/>
                <w:b/>
                <w:bCs/>
                <w:szCs w:val="21"/>
                <w:highlight w:val="none"/>
              </w:rPr>
              <w:t>折扣系数</w:t>
            </w:r>
            <w:r>
              <w:rPr>
                <w:rFonts w:ascii="宋体" w:hAnsi="宋体" w:cs="宋体"/>
                <w:b/>
                <w:bCs/>
                <w:szCs w:val="21"/>
                <w:highlight w:val="none"/>
              </w:rPr>
              <w:t>报价评标价得分计算：</w:t>
            </w:r>
            <w:r>
              <w:rPr>
                <w:rFonts w:hint="default" w:ascii="宋体" w:hAnsi="宋体" w:cs="宋体"/>
                <w:b w:val="0"/>
                <w:bCs w:val="0"/>
                <w:szCs w:val="21"/>
                <w:highlight w:val="none"/>
              </w:rPr>
              <w:t>（该项</w:t>
            </w:r>
            <w:r>
              <w:rPr>
                <w:rFonts w:hint="default" w:ascii="宋体" w:hAnsi="宋体" w:cs="宋体"/>
                <w:spacing w:val="0"/>
                <w:szCs w:val="21"/>
                <w:highlight w:val="none"/>
              </w:rPr>
              <w:t>得分最低为0分，得分最高为8分</w:t>
            </w:r>
            <w:r>
              <w:rPr>
                <w:rFonts w:hint="default" w:ascii="宋体" w:hAnsi="宋体" w:cs="宋体"/>
                <w:b w:val="0"/>
                <w:bCs w:val="0"/>
                <w:szCs w:val="21"/>
                <w:highlight w:val="none"/>
              </w:rPr>
              <w:t>）</w:t>
            </w:r>
          </w:p>
          <w:p>
            <w:pPr>
              <w:ind w:firstLine="441" w:firstLineChars="210"/>
              <w:rPr>
                <w:rFonts w:ascii="宋体" w:hAnsi="宋体" w:cs="宋体"/>
                <w:b w:val="0"/>
                <w:bCs w:val="0"/>
                <w:szCs w:val="21"/>
                <w:highlight w:val="none"/>
              </w:rPr>
            </w:pPr>
          </w:p>
          <w:p>
            <w:pPr>
              <w:spacing w:line="240" w:lineRule="auto"/>
              <w:ind w:firstLine="443" w:firstLineChars="210"/>
              <w:jc w:val="left"/>
              <w:rPr>
                <w:rFonts w:ascii="宋体" w:hAnsi="宋体" w:cs="宋体"/>
                <w:b/>
                <w:bCs/>
                <w:szCs w:val="21"/>
                <w:highlight w:val="none"/>
              </w:rPr>
            </w:pPr>
            <w:r>
              <w:rPr>
                <w:rFonts w:ascii="宋体" w:hAnsi="宋体" w:cs="宋体"/>
                <w:b/>
                <w:bCs/>
                <w:szCs w:val="21"/>
                <w:highlight w:val="none"/>
              </w:rPr>
              <w:t>评标价得分=8-偏差率 ×</w:t>
            </w:r>
            <w:r>
              <w:rPr>
                <w:rFonts w:hint="default" w:ascii="宋体" w:hAnsi="宋体" w:cs="宋体"/>
                <w:b/>
                <w:bCs/>
                <w:szCs w:val="21"/>
                <w:highlight w:val="none"/>
                <w:lang w:val="en-US" w:eastAsia="zh-CN"/>
              </w:rPr>
              <w:t>100</w:t>
            </w:r>
            <w:r>
              <w:rPr>
                <w:rFonts w:ascii="宋体" w:hAnsi="宋体" w:cs="宋体"/>
                <w:b/>
                <w:bCs/>
                <w:szCs w:val="21"/>
                <w:highlight w:val="none"/>
              </w:rPr>
              <w:t>×E</w:t>
            </w:r>
            <w:r>
              <w:rPr>
                <w:rFonts w:hint="default" w:ascii="宋体" w:hAnsi="宋体" w:cs="宋体"/>
                <w:b/>
                <w:bCs/>
                <w:szCs w:val="21"/>
                <w:highlight w:val="none"/>
              </w:rPr>
              <w:t>×</w:t>
            </w:r>
            <w:r>
              <w:rPr>
                <w:rFonts w:hint="default" w:ascii="宋体" w:hAnsi="宋体" w:cs="宋体"/>
                <w:b/>
                <w:bCs/>
                <w:szCs w:val="21"/>
                <w:highlight w:val="none"/>
                <w:lang w:val="en-US" w:eastAsia="zh-CN"/>
              </w:rPr>
              <w:t>8÷50</w:t>
            </w:r>
            <w:r>
              <w:rPr>
                <w:rFonts w:ascii="宋体" w:hAnsi="宋体" w:cs="宋体"/>
                <w:b/>
                <w:bCs/>
                <w:szCs w:val="21"/>
                <w:highlight w:val="none"/>
              </w:rPr>
              <w:t>；</w:t>
            </w:r>
          </w:p>
          <w:p>
            <w:pPr>
              <w:spacing w:line="240" w:lineRule="auto"/>
              <w:ind w:firstLine="441" w:firstLineChars="210"/>
              <w:jc w:val="left"/>
              <w:rPr>
                <w:rFonts w:hint="default" w:ascii="宋体" w:hAnsi="宋体" w:eastAsia="宋体" w:cs="宋体"/>
                <w:b w:val="0"/>
                <w:bCs w:val="0"/>
                <w:szCs w:val="21"/>
                <w:highlight w:val="none"/>
                <w:lang w:eastAsia="zh-CN"/>
              </w:rPr>
            </w:pPr>
            <w:r>
              <w:rPr>
                <w:rFonts w:hint="default" w:ascii="宋体" w:hAnsi="宋体" w:cs="宋体"/>
                <w:spacing w:val="0"/>
                <w:szCs w:val="21"/>
                <w:highlight w:val="none"/>
              </w:rPr>
              <w:t>当投标人报价等于评标基准价时得满分</w:t>
            </w:r>
            <w:r>
              <w:rPr>
                <w:rFonts w:hint="eastAsia" w:ascii="宋体" w:hAnsi="宋体" w:cs="宋体"/>
                <w:spacing w:val="0"/>
                <w:szCs w:val="21"/>
                <w:highlight w:val="none"/>
                <w:lang w:eastAsia="zh-CN"/>
              </w:rPr>
              <w:t>，评标价得分四舍五入</w:t>
            </w:r>
            <w:r>
              <w:rPr>
                <w:rFonts w:hint="default" w:ascii="宋体" w:hAnsi="宋体" w:cs="宋体"/>
                <w:spacing w:val="0"/>
                <w:szCs w:val="21"/>
                <w:highlight w:val="none"/>
              </w:rPr>
              <w:t>保留</w:t>
            </w:r>
            <w:r>
              <w:rPr>
                <w:rFonts w:hint="eastAsia" w:ascii="宋体" w:hAnsi="宋体" w:cs="宋体"/>
                <w:spacing w:val="0"/>
                <w:szCs w:val="21"/>
                <w:highlight w:val="none"/>
                <w:lang w:eastAsia="zh-CN"/>
              </w:rPr>
              <w:t>两</w:t>
            </w:r>
            <w:r>
              <w:rPr>
                <w:rFonts w:hint="default" w:ascii="宋体" w:hAnsi="宋体" w:cs="宋体"/>
                <w:spacing w:val="0"/>
                <w:szCs w:val="21"/>
                <w:highlight w:val="none"/>
              </w:rPr>
              <w:t>位小数。</w:t>
            </w:r>
            <w:r>
              <w:rPr>
                <w:rFonts w:hint="eastAsia" w:ascii="宋体" w:hAnsi="宋体" w:cs="宋体"/>
                <w:szCs w:val="21"/>
                <w:highlight w:val="none"/>
              </w:rPr>
              <w:t>即</w:t>
            </w:r>
            <w:r>
              <w:rPr>
                <w:rFonts w:ascii="宋体" w:hAnsi="宋体" w:cs="宋体"/>
                <w:szCs w:val="21"/>
                <w:highlight w:val="none"/>
              </w:rPr>
              <w:t>投标人的</w:t>
            </w:r>
            <w:r>
              <w:rPr>
                <w:rFonts w:hint="default" w:ascii="宋体" w:hAnsi="宋体" w:cs="宋体"/>
                <w:b w:val="0"/>
                <w:bCs w:val="0"/>
                <w:szCs w:val="21"/>
                <w:highlight w:val="none"/>
              </w:rPr>
              <w:t>折扣系数</w:t>
            </w:r>
            <w:r>
              <w:rPr>
                <w:rFonts w:ascii="宋体" w:hAnsi="宋体" w:cs="宋体"/>
                <w:szCs w:val="21"/>
                <w:highlight w:val="none"/>
              </w:rPr>
              <w:t>≤评标基准</w:t>
            </w:r>
            <w:r>
              <w:rPr>
                <w:rFonts w:hint="default" w:ascii="宋体" w:hAnsi="宋体" w:cs="宋体"/>
                <w:b w:val="0"/>
                <w:bCs w:val="0"/>
                <w:szCs w:val="21"/>
                <w:highlight w:val="none"/>
              </w:rPr>
              <w:t>折扣系数时</w:t>
            </w:r>
            <w:r>
              <w:rPr>
                <w:rFonts w:ascii="宋体" w:hAnsi="宋体" w:cs="宋体"/>
                <w:szCs w:val="21"/>
                <w:highlight w:val="none"/>
              </w:rPr>
              <w:t>E</w:t>
            </w:r>
            <w:r>
              <w:rPr>
                <w:rFonts w:hint="eastAsia" w:ascii="宋体" w:hAnsi="宋体" w:cs="宋体"/>
                <w:szCs w:val="21"/>
                <w:highlight w:val="none"/>
              </w:rPr>
              <w:t>=0.05；</w:t>
            </w:r>
            <w:r>
              <w:rPr>
                <w:rFonts w:ascii="宋体" w:hAnsi="宋体" w:cs="宋体"/>
                <w:szCs w:val="21"/>
                <w:highlight w:val="none"/>
              </w:rPr>
              <w:t>如果投标人的</w:t>
            </w:r>
            <w:r>
              <w:rPr>
                <w:rFonts w:hint="default" w:ascii="宋体" w:hAnsi="宋体" w:cs="宋体"/>
                <w:b w:val="0"/>
                <w:bCs w:val="0"/>
                <w:szCs w:val="21"/>
                <w:highlight w:val="none"/>
              </w:rPr>
              <w:t>折扣系数</w:t>
            </w:r>
            <w:r>
              <w:rPr>
                <w:rFonts w:ascii="宋体" w:hAnsi="宋体" w:cs="宋体"/>
                <w:szCs w:val="21"/>
                <w:highlight w:val="none"/>
              </w:rPr>
              <w:t>＞评标基准</w:t>
            </w:r>
            <w:r>
              <w:rPr>
                <w:rFonts w:hint="default" w:ascii="宋体" w:hAnsi="宋体" w:cs="宋体"/>
                <w:b w:val="0"/>
                <w:bCs w:val="0"/>
                <w:szCs w:val="21"/>
                <w:highlight w:val="none"/>
              </w:rPr>
              <w:t>折扣系数时E=0.1</w:t>
            </w:r>
            <w:r>
              <w:rPr>
                <w:rFonts w:hint="default" w:ascii="宋体" w:hAnsi="宋体" w:cs="宋体"/>
                <w:b w:val="0"/>
                <w:bCs w:val="0"/>
                <w:szCs w:val="21"/>
                <w:highlight w:val="none"/>
                <w:lang w:eastAsia="zh-CN"/>
              </w:rPr>
              <w:t>。</w:t>
            </w:r>
          </w:p>
          <w:p>
            <w:pPr>
              <w:ind w:firstLine="441" w:firstLineChars="210"/>
              <w:rPr>
                <w:rFonts w:ascii="宋体" w:hAnsi="宋体" w:cs="宋体"/>
                <w:szCs w:val="21"/>
                <w:highlight w:val="none"/>
              </w:rPr>
            </w:pPr>
          </w:p>
          <w:p>
            <w:pPr>
              <w:spacing w:line="240" w:lineRule="auto"/>
              <w:ind w:firstLine="443" w:firstLineChars="210"/>
              <w:jc w:val="left"/>
              <w:rPr>
                <w:rFonts w:ascii="宋体" w:hAnsi="宋体" w:cs="宋体"/>
                <w:b w:val="0"/>
                <w:bCs w:val="0"/>
                <w:szCs w:val="21"/>
                <w:highlight w:val="none"/>
              </w:rPr>
            </w:pPr>
            <w:r>
              <w:rPr>
                <w:rFonts w:ascii="宋体" w:hAnsi="宋体" w:cs="宋体"/>
                <w:b/>
                <w:bCs/>
                <w:szCs w:val="21"/>
                <w:highlight w:val="none"/>
              </w:rPr>
              <w:t>第二项报价评标价得分计算：</w:t>
            </w:r>
            <w:r>
              <w:rPr>
                <w:rFonts w:hint="default" w:ascii="宋体" w:hAnsi="宋体" w:cs="宋体"/>
                <w:b w:val="0"/>
                <w:bCs w:val="0"/>
                <w:szCs w:val="21"/>
                <w:highlight w:val="none"/>
              </w:rPr>
              <w:t>（该项</w:t>
            </w:r>
            <w:r>
              <w:rPr>
                <w:rFonts w:hint="default" w:ascii="宋体" w:hAnsi="宋体" w:cs="宋体"/>
                <w:spacing w:val="0"/>
                <w:szCs w:val="21"/>
                <w:highlight w:val="none"/>
              </w:rPr>
              <w:t>得分最低为0分，得分最高为15分</w:t>
            </w:r>
            <w:r>
              <w:rPr>
                <w:rFonts w:hint="default" w:ascii="宋体" w:hAnsi="宋体" w:cs="宋体"/>
                <w:b w:val="0"/>
                <w:bCs w:val="0"/>
                <w:szCs w:val="21"/>
                <w:highlight w:val="none"/>
              </w:rPr>
              <w:t>）</w:t>
            </w:r>
          </w:p>
          <w:p>
            <w:pPr>
              <w:spacing w:line="240" w:lineRule="auto"/>
              <w:ind w:firstLine="443" w:firstLineChars="210"/>
              <w:jc w:val="left"/>
              <w:rPr>
                <w:rFonts w:ascii="宋体" w:hAnsi="宋体" w:cs="宋体"/>
                <w:szCs w:val="21"/>
                <w:highlight w:val="none"/>
              </w:rPr>
            </w:pPr>
            <w:r>
              <w:rPr>
                <w:rFonts w:ascii="宋体" w:hAnsi="宋体" w:cs="宋体"/>
                <w:b/>
                <w:bCs/>
                <w:szCs w:val="21"/>
                <w:highlight w:val="none"/>
              </w:rPr>
              <w:t>评标价得分=</w:t>
            </w:r>
            <w:r>
              <w:rPr>
                <w:rFonts w:hint="eastAsia" w:ascii="宋体" w:hAnsi="宋体" w:cs="宋体"/>
                <w:b/>
                <w:bCs/>
                <w:szCs w:val="21"/>
                <w:highlight w:val="none"/>
              </w:rPr>
              <w:t>15</w:t>
            </w:r>
            <w:r>
              <w:rPr>
                <w:rFonts w:ascii="宋体" w:hAnsi="宋体" w:cs="宋体"/>
                <w:b/>
                <w:bCs/>
                <w:szCs w:val="21"/>
                <w:highlight w:val="none"/>
              </w:rPr>
              <w:t>-偏差率 ×</w:t>
            </w:r>
            <w:r>
              <w:rPr>
                <w:rFonts w:hint="default" w:ascii="宋体" w:hAnsi="宋体" w:cs="宋体"/>
                <w:b/>
                <w:bCs/>
                <w:szCs w:val="21"/>
                <w:highlight w:val="none"/>
                <w:lang w:val="en-US" w:eastAsia="zh-CN"/>
              </w:rPr>
              <w:t>100</w:t>
            </w:r>
            <w:r>
              <w:rPr>
                <w:rFonts w:ascii="宋体" w:hAnsi="宋体" w:cs="宋体"/>
                <w:b/>
                <w:bCs/>
                <w:szCs w:val="21"/>
                <w:highlight w:val="none"/>
              </w:rPr>
              <w:t>×E</w:t>
            </w:r>
            <w:r>
              <w:rPr>
                <w:rFonts w:hint="default" w:ascii="宋体" w:hAnsi="宋体" w:cs="宋体"/>
                <w:b/>
                <w:bCs/>
                <w:szCs w:val="21"/>
                <w:highlight w:val="none"/>
              </w:rPr>
              <w:t>×</w:t>
            </w:r>
            <w:r>
              <w:rPr>
                <w:rFonts w:hint="default" w:ascii="宋体" w:hAnsi="宋体" w:cs="宋体"/>
                <w:b/>
                <w:bCs/>
                <w:szCs w:val="21"/>
                <w:highlight w:val="none"/>
                <w:lang w:val="en-US" w:eastAsia="zh-CN"/>
              </w:rPr>
              <w:t>15÷50</w:t>
            </w:r>
            <w:r>
              <w:rPr>
                <w:rFonts w:ascii="宋体" w:hAnsi="宋体" w:cs="宋体"/>
                <w:b/>
                <w:bCs/>
                <w:szCs w:val="21"/>
                <w:highlight w:val="none"/>
              </w:rPr>
              <w:t>；</w:t>
            </w:r>
          </w:p>
          <w:p>
            <w:pPr>
              <w:ind w:firstLine="441" w:firstLineChars="210"/>
              <w:rPr>
                <w:rFonts w:hint="default" w:ascii="宋体" w:hAnsi="宋体" w:cs="宋体"/>
                <w:b w:val="0"/>
                <w:bCs w:val="0"/>
                <w:szCs w:val="21"/>
                <w:highlight w:val="none"/>
                <w:lang w:eastAsia="zh-CN"/>
              </w:rPr>
            </w:pPr>
            <w:r>
              <w:rPr>
                <w:rFonts w:hint="default" w:ascii="宋体" w:hAnsi="宋体" w:cs="宋体"/>
                <w:spacing w:val="0"/>
                <w:szCs w:val="21"/>
                <w:highlight w:val="none"/>
              </w:rPr>
              <w:t>当投标人报价等于评标基准价时得满分，</w:t>
            </w:r>
            <w:r>
              <w:rPr>
                <w:rFonts w:hint="eastAsia" w:ascii="宋体" w:hAnsi="宋体" w:cs="宋体"/>
                <w:spacing w:val="0"/>
                <w:szCs w:val="21"/>
                <w:highlight w:val="none"/>
                <w:lang w:eastAsia="zh-CN"/>
              </w:rPr>
              <w:t>评标价得分四舍五入</w:t>
            </w:r>
            <w:r>
              <w:rPr>
                <w:rFonts w:hint="default" w:ascii="宋体" w:hAnsi="宋体" w:cs="宋体"/>
                <w:spacing w:val="0"/>
                <w:szCs w:val="21"/>
                <w:highlight w:val="none"/>
              </w:rPr>
              <w:t>保留</w:t>
            </w:r>
            <w:r>
              <w:rPr>
                <w:rFonts w:hint="eastAsia" w:ascii="宋体" w:hAnsi="宋体" w:cs="宋体"/>
                <w:spacing w:val="0"/>
                <w:szCs w:val="21"/>
                <w:highlight w:val="none"/>
                <w:lang w:eastAsia="zh-CN"/>
              </w:rPr>
              <w:t>两位小数。</w:t>
            </w:r>
            <w:r>
              <w:rPr>
                <w:rFonts w:hint="eastAsia" w:ascii="宋体" w:hAnsi="宋体" w:cs="宋体"/>
                <w:szCs w:val="21"/>
                <w:highlight w:val="none"/>
              </w:rPr>
              <w:t>即</w:t>
            </w:r>
            <w:r>
              <w:rPr>
                <w:rFonts w:ascii="宋体" w:hAnsi="宋体" w:cs="宋体"/>
                <w:szCs w:val="21"/>
                <w:highlight w:val="none"/>
              </w:rPr>
              <w:t>投标人的</w:t>
            </w:r>
            <w:r>
              <w:rPr>
                <w:rFonts w:hint="default" w:ascii="宋体" w:hAnsi="宋体" w:cs="宋体"/>
                <w:b w:val="0"/>
                <w:bCs w:val="0"/>
                <w:szCs w:val="21"/>
                <w:highlight w:val="none"/>
              </w:rPr>
              <w:t>报价</w:t>
            </w:r>
            <w:r>
              <w:rPr>
                <w:rFonts w:ascii="宋体" w:hAnsi="宋体" w:cs="宋体"/>
                <w:szCs w:val="21"/>
                <w:highlight w:val="none"/>
              </w:rPr>
              <w:t>≤评标基准</w:t>
            </w:r>
            <w:r>
              <w:rPr>
                <w:rFonts w:hint="default" w:ascii="宋体" w:hAnsi="宋体" w:cs="宋体"/>
                <w:b w:val="0"/>
                <w:bCs w:val="0"/>
                <w:szCs w:val="21"/>
                <w:highlight w:val="none"/>
              </w:rPr>
              <w:t>时</w:t>
            </w:r>
            <w:r>
              <w:rPr>
                <w:rFonts w:ascii="宋体" w:hAnsi="宋体" w:cs="宋体"/>
                <w:szCs w:val="21"/>
                <w:highlight w:val="none"/>
              </w:rPr>
              <w:t>E</w:t>
            </w:r>
            <w:r>
              <w:rPr>
                <w:rFonts w:hint="eastAsia" w:ascii="宋体" w:hAnsi="宋体" w:cs="宋体"/>
                <w:szCs w:val="21"/>
                <w:highlight w:val="none"/>
              </w:rPr>
              <w:t>=0.05；</w:t>
            </w:r>
            <w:r>
              <w:rPr>
                <w:rFonts w:ascii="宋体" w:hAnsi="宋体" w:cs="宋体"/>
                <w:szCs w:val="21"/>
                <w:highlight w:val="none"/>
              </w:rPr>
              <w:t>如果投标人的</w:t>
            </w:r>
            <w:r>
              <w:rPr>
                <w:rFonts w:hint="default" w:ascii="宋体" w:hAnsi="宋体" w:cs="宋体"/>
                <w:b w:val="0"/>
                <w:bCs w:val="0"/>
                <w:szCs w:val="21"/>
                <w:highlight w:val="none"/>
              </w:rPr>
              <w:t>报价</w:t>
            </w:r>
            <w:r>
              <w:rPr>
                <w:rFonts w:ascii="宋体" w:hAnsi="宋体" w:cs="宋体"/>
                <w:szCs w:val="21"/>
                <w:highlight w:val="none"/>
              </w:rPr>
              <w:t>＞评标基准</w:t>
            </w:r>
            <w:r>
              <w:rPr>
                <w:rFonts w:hint="default" w:ascii="宋体" w:hAnsi="宋体" w:cs="宋体"/>
                <w:b w:val="0"/>
                <w:bCs w:val="0"/>
                <w:szCs w:val="21"/>
                <w:highlight w:val="none"/>
              </w:rPr>
              <w:t>时E=0.1</w:t>
            </w:r>
            <w:r>
              <w:rPr>
                <w:rFonts w:hint="default" w:ascii="宋体" w:hAnsi="宋体" w:cs="宋体"/>
                <w:b w:val="0"/>
                <w:bCs w:val="0"/>
                <w:szCs w:val="21"/>
                <w:highlight w:val="none"/>
                <w:lang w:eastAsia="zh-CN"/>
              </w:rPr>
              <w:t>。</w:t>
            </w:r>
          </w:p>
          <w:p>
            <w:pPr>
              <w:ind w:firstLine="441" w:firstLineChars="210"/>
              <w:rPr>
                <w:rFonts w:hint="default" w:ascii="宋体" w:hAnsi="宋体" w:cs="宋体"/>
                <w:szCs w:val="21"/>
                <w:highlight w:val="none"/>
                <w:lang w:eastAsia="zh-CN"/>
              </w:rPr>
            </w:pPr>
          </w:p>
          <w:p>
            <w:pPr>
              <w:spacing w:line="240" w:lineRule="auto"/>
              <w:ind w:firstLine="441" w:firstLineChars="210"/>
              <w:jc w:val="left"/>
              <w:rPr>
                <w:rFonts w:ascii="宋体" w:hAnsi="宋体" w:cs="宋体"/>
                <w:b w:val="0"/>
                <w:bCs w:val="0"/>
                <w:szCs w:val="21"/>
                <w:highlight w:val="none"/>
              </w:rPr>
            </w:pPr>
            <w:r>
              <w:rPr>
                <w:rFonts w:ascii="宋体" w:hAnsi="宋体" w:cs="宋体"/>
                <w:szCs w:val="21"/>
                <w:highlight w:val="none"/>
              </w:rPr>
              <w:t xml:space="preserve"> </w:t>
            </w:r>
            <w:r>
              <w:rPr>
                <w:rFonts w:ascii="宋体" w:hAnsi="宋体" w:cs="宋体"/>
                <w:b/>
                <w:bCs/>
                <w:szCs w:val="21"/>
                <w:highlight w:val="none"/>
              </w:rPr>
              <w:t>第</w:t>
            </w:r>
            <w:r>
              <w:rPr>
                <w:rFonts w:hint="default" w:ascii="宋体" w:hAnsi="宋体" w:cs="宋体"/>
                <w:b/>
                <w:bCs/>
                <w:szCs w:val="21"/>
                <w:highlight w:val="none"/>
              </w:rPr>
              <w:t>三</w:t>
            </w:r>
            <w:r>
              <w:rPr>
                <w:rFonts w:ascii="宋体" w:hAnsi="宋体" w:cs="宋体"/>
                <w:b/>
                <w:bCs/>
                <w:szCs w:val="21"/>
                <w:highlight w:val="none"/>
              </w:rPr>
              <w:t>项</w:t>
            </w:r>
            <w:r>
              <w:rPr>
                <w:rFonts w:hint="default" w:ascii="宋体" w:hAnsi="宋体" w:cs="宋体"/>
                <w:b/>
                <w:bCs/>
                <w:szCs w:val="21"/>
                <w:highlight w:val="none"/>
              </w:rPr>
              <w:t>折扣系数</w:t>
            </w:r>
            <w:r>
              <w:rPr>
                <w:rFonts w:ascii="宋体" w:hAnsi="宋体" w:cs="宋体"/>
                <w:b/>
                <w:bCs/>
                <w:szCs w:val="21"/>
                <w:highlight w:val="none"/>
              </w:rPr>
              <w:t>报价评标价得分计算：</w:t>
            </w:r>
            <w:r>
              <w:rPr>
                <w:rFonts w:hint="default" w:ascii="宋体" w:hAnsi="宋体" w:cs="宋体"/>
                <w:b w:val="0"/>
                <w:bCs w:val="0"/>
                <w:szCs w:val="21"/>
                <w:highlight w:val="none"/>
              </w:rPr>
              <w:t>（该项</w:t>
            </w:r>
            <w:r>
              <w:rPr>
                <w:rFonts w:hint="default" w:ascii="宋体" w:hAnsi="宋体" w:cs="宋体"/>
                <w:spacing w:val="0"/>
                <w:szCs w:val="21"/>
                <w:highlight w:val="none"/>
              </w:rPr>
              <w:t>得分最低为0分，得分最高为15分</w:t>
            </w:r>
            <w:r>
              <w:rPr>
                <w:rFonts w:hint="default" w:ascii="宋体" w:hAnsi="宋体" w:cs="宋体"/>
                <w:b w:val="0"/>
                <w:bCs w:val="0"/>
                <w:szCs w:val="21"/>
                <w:highlight w:val="none"/>
              </w:rPr>
              <w:t>）</w:t>
            </w:r>
          </w:p>
          <w:p>
            <w:pPr>
              <w:spacing w:line="240" w:lineRule="auto"/>
              <w:ind w:firstLine="443" w:firstLineChars="210"/>
              <w:jc w:val="left"/>
              <w:rPr>
                <w:rFonts w:ascii="宋体" w:hAnsi="宋体" w:cs="宋体"/>
                <w:szCs w:val="21"/>
                <w:highlight w:val="none"/>
              </w:rPr>
            </w:pPr>
            <w:r>
              <w:rPr>
                <w:rFonts w:ascii="宋体" w:hAnsi="宋体" w:cs="宋体"/>
                <w:b/>
                <w:bCs/>
                <w:szCs w:val="21"/>
                <w:highlight w:val="none"/>
              </w:rPr>
              <w:t>评标价得分=</w:t>
            </w:r>
            <w:r>
              <w:rPr>
                <w:rFonts w:hint="eastAsia" w:ascii="宋体" w:hAnsi="宋体" w:cs="宋体"/>
                <w:b/>
                <w:bCs/>
                <w:szCs w:val="21"/>
                <w:highlight w:val="none"/>
              </w:rPr>
              <w:t>15</w:t>
            </w:r>
            <w:r>
              <w:rPr>
                <w:rFonts w:ascii="宋体" w:hAnsi="宋体" w:cs="宋体"/>
                <w:b/>
                <w:bCs/>
                <w:szCs w:val="21"/>
                <w:highlight w:val="none"/>
              </w:rPr>
              <w:t>-偏差率 ×</w:t>
            </w:r>
            <w:r>
              <w:rPr>
                <w:rFonts w:hint="default" w:ascii="宋体" w:hAnsi="宋体" w:cs="宋体"/>
                <w:b/>
                <w:bCs/>
                <w:szCs w:val="21"/>
                <w:highlight w:val="none"/>
                <w:lang w:val="en-US" w:eastAsia="zh-CN"/>
              </w:rPr>
              <w:t>100</w:t>
            </w:r>
            <w:r>
              <w:rPr>
                <w:rFonts w:ascii="宋体" w:hAnsi="宋体" w:cs="宋体"/>
                <w:b/>
                <w:bCs/>
                <w:szCs w:val="21"/>
                <w:highlight w:val="none"/>
              </w:rPr>
              <w:t>×E</w:t>
            </w:r>
            <w:r>
              <w:rPr>
                <w:rFonts w:hint="default" w:ascii="宋体" w:hAnsi="宋体" w:cs="宋体"/>
                <w:b/>
                <w:bCs/>
                <w:szCs w:val="21"/>
                <w:highlight w:val="none"/>
              </w:rPr>
              <w:t>×</w:t>
            </w:r>
            <w:r>
              <w:rPr>
                <w:rFonts w:hint="default" w:ascii="宋体" w:hAnsi="宋体" w:cs="宋体"/>
                <w:b/>
                <w:bCs/>
                <w:szCs w:val="21"/>
                <w:highlight w:val="none"/>
                <w:lang w:val="en-US" w:eastAsia="zh-CN"/>
              </w:rPr>
              <w:t>15÷50</w:t>
            </w:r>
            <w:r>
              <w:rPr>
                <w:rFonts w:ascii="宋体" w:hAnsi="宋体" w:cs="宋体"/>
                <w:b/>
                <w:bCs/>
                <w:szCs w:val="21"/>
                <w:highlight w:val="none"/>
              </w:rPr>
              <w:t>；</w:t>
            </w:r>
          </w:p>
          <w:p>
            <w:pPr>
              <w:ind w:firstLine="441" w:firstLineChars="210"/>
              <w:rPr>
                <w:rFonts w:ascii="宋体" w:hAnsi="宋体" w:cs="宋体"/>
                <w:spacing w:val="0"/>
                <w:szCs w:val="21"/>
                <w:highlight w:val="none"/>
              </w:rPr>
            </w:pPr>
            <w:r>
              <w:rPr>
                <w:rFonts w:hint="default" w:ascii="宋体" w:hAnsi="宋体" w:cs="宋体"/>
                <w:spacing w:val="0"/>
                <w:szCs w:val="21"/>
                <w:highlight w:val="none"/>
              </w:rPr>
              <w:t>当投标人报价等于评标基准价时得满分，</w:t>
            </w:r>
            <w:r>
              <w:rPr>
                <w:rFonts w:hint="eastAsia" w:ascii="宋体" w:hAnsi="宋体" w:cs="宋体"/>
                <w:spacing w:val="0"/>
                <w:szCs w:val="21"/>
                <w:highlight w:val="none"/>
                <w:lang w:eastAsia="zh-CN"/>
              </w:rPr>
              <w:t>评标价得分四舍五入</w:t>
            </w:r>
            <w:r>
              <w:rPr>
                <w:rFonts w:hint="default" w:ascii="宋体" w:hAnsi="宋体" w:cs="宋体"/>
                <w:spacing w:val="0"/>
                <w:szCs w:val="21"/>
                <w:highlight w:val="none"/>
              </w:rPr>
              <w:t>保留</w:t>
            </w:r>
            <w:r>
              <w:rPr>
                <w:rFonts w:hint="eastAsia" w:ascii="宋体" w:hAnsi="宋体" w:cs="宋体"/>
                <w:spacing w:val="0"/>
                <w:szCs w:val="21"/>
                <w:highlight w:val="none"/>
                <w:lang w:eastAsia="zh-CN"/>
              </w:rPr>
              <w:t>两位小数。</w:t>
            </w:r>
            <w:r>
              <w:rPr>
                <w:rFonts w:hint="eastAsia" w:ascii="宋体" w:hAnsi="宋体" w:cs="宋体"/>
                <w:szCs w:val="21"/>
                <w:highlight w:val="none"/>
              </w:rPr>
              <w:t>即</w:t>
            </w:r>
            <w:r>
              <w:rPr>
                <w:rFonts w:ascii="宋体" w:hAnsi="宋体" w:cs="宋体"/>
                <w:szCs w:val="21"/>
                <w:highlight w:val="none"/>
              </w:rPr>
              <w:t>投标人的</w:t>
            </w:r>
            <w:r>
              <w:rPr>
                <w:rFonts w:hint="default" w:ascii="宋体" w:hAnsi="宋体" w:cs="宋体"/>
                <w:b w:val="0"/>
                <w:bCs w:val="0"/>
                <w:szCs w:val="21"/>
                <w:highlight w:val="none"/>
              </w:rPr>
              <w:t>折扣系数</w:t>
            </w:r>
            <w:r>
              <w:rPr>
                <w:rFonts w:ascii="宋体" w:hAnsi="宋体" w:cs="宋体"/>
                <w:szCs w:val="21"/>
                <w:highlight w:val="none"/>
              </w:rPr>
              <w:t>≤评标基准</w:t>
            </w:r>
            <w:r>
              <w:rPr>
                <w:rFonts w:hint="default" w:ascii="宋体" w:hAnsi="宋体" w:cs="宋体"/>
                <w:b w:val="0"/>
                <w:bCs w:val="0"/>
                <w:szCs w:val="21"/>
                <w:highlight w:val="none"/>
              </w:rPr>
              <w:t>折扣系数时</w:t>
            </w:r>
            <w:r>
              <w:rPr>
                <w:rFonts w:ascii="宋体" w:hAnsi="宋体" w:cs="宋体"/>
                <w:szCs w:val="21"/>
                <w:highlight w:val="none"/>
              </w:rPr>
              <w:t>E</w:t>
            </w:r>
            <w:r>
              <w:rPr>
                <w:rFonts w:hint="eastAsia" w:ascii="宋体" w:hAnsi="宋体" w:cs="宋体"/>
                <w:szCs w:val="21"/>
                <w:highlight w:val="none"/>
              </w:rPr>
              <w:t>=0.05；</w:t>
            </w:r>
            <w:r>
              <w:rPr>
                <w:rFonts w:ascii="宋体" w:hAnsi="宋体" w:cs="宋体"/>
                <w:szCs w:val="21"/>
                <w:highlight w:val="none"/>
              </w:rPr>
              <w:t>如果投标人的</w:t>
            </w:r>
            <w:r>
              <w:rPr>
                <w:rFonts w:hint="default" w:ascii="宋体" w:hAnsi="宋体" w:cs="宋体"/>
                <w:b w:val="0"/>
                <w:bCs w:val="0"/>
                <w:szCs w:val="21"/>
                <w:highlight w:val="none"/>
              </w:rPr>
              <w:t>折扣系数</w:t>
            </w:r>
            <w:r>
              <w:rPr>
                <w:rFonts w:ascii="宋体" w:hAnsi="宋体" w:cs="宋体"/>
                <w:szCs w:val="21"/>
                <w:highlight w:val="none"/>
              </w:rPr>
              <w:t>＞评标基准</w:t>
            </w:r>
            <w:r>
              <w:rPr>
                <w:rFonts w:hint="default" w:ascii="宋体" w:hAnsi="宋体" w:cs="宋体"/>
                <w:b w:val="0"/>
                <w:bCs w:val="0"/>
                <w:szCs w:val="21"/>
                <w:highlight w:val="none"/>
              </w:rPr>
              <w:t>折扣系数时E=0.1</w:t>
            </w:r>
          </w:p>
          <w:p>
            <w:pPr>
              <w:spacing w:line="240" w:lineRule="auto"/>
              <w:ind w:firstLine="441" w:firstLineChars="210"/>
              <w:jc w:val="left"/>
              <w:rPr>
                <w:rFonts w:ascii="宋体" w:hAnsi="宋体" w:cs="宋体"/>
                <w:b w:val="0"/>
                <w:bCs w:val="0"/>
                <w:szCs w:val="21"/>
                <w:highlight w:val="none"/>
              </w:rPr>
            </w:pPr>
          </w:p>
          <w:p>
            <w:pPr>
              <w:spacing w:line="240" w:lineRule="auto"/>
              <w:ind w:firstLine="443" w:firstLineChars="210"/>
              <w:jc w:val="left"/>
              <w:rPr>
                <w:rFonts w:ascii="宋体" w:hAnsi="宋体" w:cs="宋体"/>
                <w:b w:val="0"/>
                <w:bCs w:val="0"/>
                <w:szCs w:val="21"/>
                <w:highlight w:val="none"/>
              </w:rPr>
            </w:pPr>
            <w:r>
              <w:rPr>
                <w:rFonts w:ascii="宋体" w:hAnsi="宋体" w:cs="宋体"/>
                <w:b/>
                <w:bCs/>
                <w:szCs w:val="21"/>
                <w:highlight w:val="none"/>
              </w:rPr>
              <w:t>第</w:t>
            </w:r>
            <w:r>
              <w:rPr>
                <w:rFonts w:hint="default" w:ascii="宋体" w:hAnsi="宋体" w:cs="宋体"/>
                <w:b/>
                <w:bCs/>
                <w:szCs w:val="21"/>
                <w:highlight w:val="none"/>
              </w:rPr>
              <w:t>四</w:t>
            </w:r>
            <w:r>
              <w:rPr>
                <w:rFonts w:ascii="宋体" w:hAnsi="宋体" w:cs="宋体"/>
                <w:b/>
                <w:bCs/>
                <w:szCs w:val="21"/>
                <w:highlight w:val="none"/>
              </w:rPr>
              <w:t>项报价评标价得分计算</w:t>
            </w:r>
            <w:r>
              <w:rPr>
                <w:rFonts w:ascii="宋体" w:hAnsi="宋体" w:cs="宋体"/>
                <w:b w:val="0"/>
                <w:bCs w:val="0"/>
                <w:szCs w:val="21"/>
                <w:highlight w:val="none"/>
              </w:rPr>
              <w:t>：</w:t>
            </w:r>
            <w:r>
              <w:rPr>
                <w:rFonts w:hint="default" w:ascii="宋体" w:hAnsi="宋体" w:cs="宋体"/>
                <w:b w:val="0"/>
                <w:bCs w:val="0"/>
                <w:szCs w:val="21"/>
                <w:highlight w:val="none"/>
              </w:rPr>
              <w:t>（该项</w:t>
            </w:r>
            <w:r>
              <w:rPr>
                <w:rFonts w:hint="default" w:ascii="宋体" w:hAnsi="宋体" w:cs="宋体"/>
                <w:spacing w:val="0"/>
                <w:szCs w:val="21"/>
                <w:highlight w:val="none"/>
              </w:rPr>
              <w:t>得分最低为0分，得分最高为12分</w:t>
            </w:r>
            <w:r>
              <w:rPr>
                <w:rFonts w:hint="default" w:ascii="宋体" w:hAnsi="宋体" w:cs="宋体"/>
                <w:b w:val="0"/>
                <w:bCs w:val="0"/>
                <w:szCs w:val="21"/>
                <w:highlight w:val="none"/>
              </w:rPr>
              <w:t>）</w:t>
            </w:r>
          </w:p>
          <w:p>
            <w:pPr>
              <w:spacing w:line="300" w:lineRule="auto"/>
              <w:ind w:firstLine="422" w:firstLineChars="200"/>
              <w:jc w:val="left"/>
              <w:rPr>
                <w:rFonts w:ascii="宋体" w:hAnsi="宋体" w:cs="宋体"/>
                <w:szCs w:val="21"/>
                <w:highlight w:val="none"/>
              </w:rPr>
            </w:pPr>
            <w:r>
              <w:rPr>
                <w:rFonts w:ascii="宋体" w:hAnsi="宋体" w:cs="宋体"/>
                <w:b/>
                <w:bCs/>
                <w:szCs w:val="21"/>
                <w:highlight w:val="none"/>
              </w:rPr>
              <w:t>评标价得分=</w:t>
            </w:r>
            <w:r>
              <w:rPr>
                <w:rFonts w:hint="eastAsia" w:ascii="宋体" w:hAnsi="宋体" w:cs="宋体"/>
                <w:b/>
                <w:bCs/>
                <w:szCs w:val="21"/>
                <w:highlight w:val="none"/>
              </w:rPr>
              <w:t>12</w:t>
            </w:r>
            <w:r>
              <w:rPr>
                <w:rFonts w:ascii="宋体" w:hAnsi="宋体" w:cs="宋体"/>
                <w:b/>
                <w:bCs/>
                <w:szCs w:val="21"/>
                <w:highlight w:val="none"/>
              </w:rPr>
              <w:t>-偏差率 ×</w:t>
            </w:r>
            <w:r>
              <w:rPr>
                <w:rFonts w:hint="eastAsia" w:ascii="宋体" w:hAnsi="宋体" w:cs="宋体"/>
                <w:b/>
                <w:bCs/>
                <w:szCs w:val="21"/>
                <w:highlight w:val="none"/>
              </w:rPr>
              <w:t>1</w:t>
            </w:r>
            <w:r>
              <w:rPr>
                <w:rFonts w:hint="eastAsia" w:ascii="宋体" w:hAnsi="宋体" w:cs="宋体"/>
                <w:b/>
                <w:bCs/>
                <w:szCs w:val="21"/>
                <w:highlight w:val="none"/>
                <w:lang w:val="en-US" w:eastAsia="zh-CN"/>
              </w:rPr>
              <w:t>00</w:t>
            </w:r>
            <w:r>
              <w:rPr>
                <w:rFonts w:ascii="宋体" w:hAnsi="宋体" w:cs="宋体"/>
                <w:b/>
                <w:bCs/>
                <w:szCs w:val="21"/>
                <w:highlight w:val="none"/>
              </w:rPr>
              <w:t>×E</w:t>
            </w:r>
            <w:r>
              <w:rPr>
                <w:rFonts w:hint="default" w:ascii="Arial" w:hAnsi="Arial" w:cs="Arial"/>
                <w:b/>
                <w:bCs/>
                <w:szCs w:val="21"/>
                <w:highlight w:val="none"/>
              </w:rPr>
              <w:t>×</w:t>
            </w:r>
            <w:r>
              <w:rPr>
                <w:rFonts w:hint="eastAsia" w:ascii="宋体" w:hAnsi="宋体" w:cs="宋体"/>
                <w:b/>
                <w:bCs/>
                <w:szCs w:val="21"/>
                <w:highlight w:val="none"/>
                <w:lang w:val="en-US" w:eastAsia="zh-CN"/>
              </w:rPr>
              <w:t>12</w:t>
            </w:r>
            <w:r>
              <w:rPr>
                <w:rFonts w:hint="default" w:ascii="Arial" w:hAnsi="Arial" w:cs="Arial"/>
                <w:b/>
                <w:bCs/>
                <w:szCs w:val="21"/>
                <w:highlight w:val="none"/>
                <w:lang w:val="en-US" w:eastAsia="zh-CN"/>
              </w:rPr>
              <w:t>÷</w:t>
            </w:r>
            <w:r>
              <w:rPr>
                <w:rFonts w:hint="eastAsia" w:ascii="宋体" w:hAnsi="宋体" w:cs="宋体"/>
                <w:b/>
                <w:bCs/>
                <w:szCs w:val="21"/>
                <w:highlight w:val="none"/>
                <w:lang w:val="en-US" w:eastAsia="zh-CN"/>
              </w:rPr>
              <w:t>50</w:t>
            </w:r>
            <w:r>
              <w:rPr>
                <w:rFonts w:ascii="宋体" w:hAnsi="宋体" w:cs="宋体"/>
                <w:b/>
                <w:bCs/>
                <w:szCs w:val="21"/>
                <w:highlight w:val="none"/>
              </w:rPr>
              <w:t>；</w:t>
            </w:r>
          </w:p>
          <w:p>
            <w:pPr>
              <w:spacing w:line="300" w:lineRule="auto"/>
              <w:ind w:firstLine="420" w:firstLineChars="200"/>
              <w:jc w:val="left"/>
              <w:rPr>
                <w:rFonts w:ascii="宋体" w:hAnsi="宋体" w:cs="宋体"/>
                <w:b w:val="0"/>
                <w:bCs w:val="0"/>
                <w:color w:val="auto"/>
                <w:szCs w:val="21"/>
                <w:highlight w:val="none"/>
              </w:rPr>
            </w:pPr>
            <w:r>
              <w:rPr>
                <w:rFonts w:hint="default" w:ascii="宋体" w:hAnsi="宋体" w:cs="宋体"/>
                <w:b w:val="0"/>
                <w:bCs w:val="0"/>
                <w:color w:val="auto"/>
                <w:spacing w:val="0"/>
                <w:szCs w:val="21"/>
                <w:highlight w:val="none"/>
              </w:rPr>
              <w:t>当投标人报价等于评标基准价时得满分，</w:t>
            </w:r>
            <w:r>
              <w:rPr>
                <w:rFonts w:hint="eastAsia" w:ascii="宋体" w:hAnsi="宋体" w:cs="宋体"/>
                <w:spacing w:val="0"/>
                <w:szCs w:val="21"/>
                <w:highlight w:val="none"/>
                <w:lang w:eastAsia="zh-CN"/>
              </w:rPr>
              <w:t>评标价得分四舍五入</w:t>
            </w:r>
            <w:r>
              <w:rPr>
                <w:rFonts w:hint="default" w:ascii="宋体" w:hAnsi="宋体" w:cs="宋体"/>
                <w:spacing w:val="0"/>
                <w:szCs w:val="21"/>
                <w:highlight w:val="none"/>
              </w:rPr>
              <w:t>保留</w:t>
            </w:r>
            <w:r>
              <w:rPr>
                <w:rFonts w:hint="eastAsia" w:ascii="宋体" w:hAnsi="宋体" w:cs="宋体"/>
                <w:spacing w:val="0"/>
                <w:szCs w:val="21"/>
                <w:highlight w:val="none"/>
                <w:lang w:eastAsia="zh-CN"/>
              </w:rPr>
              <w:t>两位小数。</w:t>
            </w:r>
            <w:r>
              <w:rPr>
                <w:rFonts w:hint="eastAsia" w:ascii="宋体" w:hAnsi="宋体" w:cs="宋体"/>
                <w:b w:val="0"/>
                <w:bCs w:val="0"/>
                <w:color w:val="auto"/>
                <w:szCs w:val="21"/>
                <w:highlight w:val="none"/>
                <w:lang w:eastAsia="zh-CN"/>
              </w:rPr>
              <w:t>即</w:t>
            </w:r>
            <w:r>
              <w:rPr>
                <w:rFonts w:ascii="宋体" w:hAnsi="宋体" w:cs="宋体"/>
                <w:b w:val="0"/>
                <w:bCs w:val="0"/>
                <w:color w:val="auto"/>
                <w:szCs w:val="21"/>
                <w:highlight w:val="none"/>
              </w:rPr>
              <w:t>投标人的</w:t>
            </w:r>
            <w:r>
              <w:rPr>
                <w:rFonts w:hint="default" w:ascii="宋体" w:hAnsi="宋体" w:cs="宋体"/>
                <w:b w:val="0"/>
                <w:bCs w:val="0"/>
                <w:color w:val="auto"/>
                <w:szCs w:val="21"/>
                <w:highlight w:val="none"/>
              </w:rPr>
              <w:t>报价</w:t>
            </w:r>
            <w:r>
              <w:rPr>
                <w:rFonts w:ascii="宋体" w:hAnsi="宋体" w:cs="宋体"/>
                <w:b w:val="0"/>
                <w:bCs w:val="0"/>
                <w:color w:val="auto"/>
                <w:szCs w:val="21"/>
                <w:highlight w:val="none"/>
              </w:rPr>
              <w:t>≤评标基准</w:t>
            </w:r>
            <w:r>
              <w:rPr>
                <w:rFonts w:hint="default" w:ascii="宋体" w:hAnsi="宋体" w:cs="宋体"/>
                <w:b w:val="0"/>
                <w:bCs w:val="0"/>
                <w:color w:val="auto"/>
                <w:szCs w:val="21"/>
                <w:highlight w:val="none"/>
              </w:rPr>
              <w:t>价时</w:t>
            </w:r>
            <w:r>
              <w:rPr>
                <w:rFonts w:ascii="宋体" w:hAnsi="宋体" w:cs="宋体"/>
                <w:b w:val="0"/>
                <w:bCs w:val="0"/>
                <w:color w:val="auto"/>
                <w:szCs w:val="21"/>
                <w:highlight w:val="none"/>
              </w:rPr>
              <w:t>E=</w:t>
            </w:r>
            <w:r>
              <w:rPr>
                <w:rFonts w:hint="default" w:ascii="宋体" w:hAnsi="宋体" w:cs="宋体"/>
                <w:b w:val="0"/>
                <w:bCs w:val="0"/>
                <w:color w:val="auto"/>
                <w:szCs w:val="21"/>
                <w:highlight w:val="none"/>
              </w:rPr>
              <w:t>0.05；</w:t>
            </w:r>
            <w:r>
              <w:rPr>
                <w:rFonts w:ascii="宋体" w:hAnsi="宋体" w:cs="宋体"/>
                <w:szCs w:val="21"/>
                <w:highlight w:val="none"/>
              </w:rPr>
              <w:t>如果投标人的</w:t>
            </w:r>
            <w:r>
              <w:rPr>
                <w:rFonts w:hint="default" w:ascii="宋体" w:hAnsi="宋体" w:cs="宋体"/>
                <w:b w:val="0"/>
                <w:bCs w:val="0"/>
                <w:szCs w:val="21"/>
                <w:highlight w:val="none"/>
              </w:rPr>
              <w:t>报价</w:t>
            </w:r>
            <w:r>
              <w:rPr>
                <w:rFonts w:ascii="宋体" w:hAnsi="宋体" w:cs="宋体"/>
                <w:szCs w:val="21"/>
                <w:highlight w:val="none"/>
              </w:rPr>
              <w:t>＞评标基准</w:t>
            </w:r>
            <w:r>
              <w:rPr>
                <w:rFonts w:hint="default" w:ascii="宋体" w:hAnsi="宋体" w:cs="宋体"/>
                <w:b w:val="0"/>
                <w:bCs w:val="0"/>
                <w:szCs w:val="21"/>
                <w:highlight w:val="none"/>
              </w:rPr>
              <w:t>时E=0.1</w:t>
            </w:r>
            <w:r>
              <w:rPr>
                <w:rFonts w:hint="default" w:ascii="宋体" w:hAnsi="宋体" w:cs="宋体"/>
                <w:b w:val="0"/>
                <w:bCs w:val="0"/>
                <w:szCs w:val="21"/>
                <w:highlight w:val="none"/>
                <w:lang w:eastAsia="zh-CN"/>
              </w:rPr>
              <w:t>。</w:t>
            </w:r>
          </w:p>
          <w:p>
            <w:pPr>
              <w:spacing w:line="300" w:lineRule="auto"/>
              <w:rPr>
                <w:rFonts w:ascii="宋体" w:hAnsi="宋体" w:cs="宋体"/>
                <w:szCs w:val="21"/>
                <w:highlight w:val="none"/>
              </w:rPr>
            </w:pPr>
            <w:r>
              <w:rPr>
                <w:rFonts w:hint="eastAsia" w:ascii="宋体" w:hAnsi="宋体" w:cs="宋体"/>
                <w:b w:val="0"/>
                <w:bCs w:val="0"/>
                <w:color w:val="auto"/>
                <w:spacing w:val="0"/>
                <w:sz w:val="21"/>
                <w:szCs w:val="21"/>
                <w:highlight w:val="none"/>
                <w:lang w:eastAsia="zh-CN"/>
              </w:rPr>
              <w:t>投标</w:t>
            </w:r>
            <w:r>
              <w:rPr>
                <w:rFonts w:hint="default" w:ascii="宋体" w:hAnsi="宋体" w:cs="宋体"/>
                <w:b w:val="0"/>
                <w:bCs w:val="0"/>
                <w:color w:val="auto"/>
                <w:spacing w:val="0"/>
                <w:sz w:val="21"/>
                <w:szCs w:val="21"/>
                <w:highlight w:val="none"/>
              </w:rPr>
              <w:t>报价得分=第一项报价得分+第二项报价得分+第三项报价得分+第四项报</w:t>
            </w:r>
            <w:r>
              <w:rPr>
                <w:rFonts w:hint="default" w:ascii="宋体" w:hAnsi="宋体" w:cs="宋体"/>
                <w:b w:val="0"/>
                <w:bCs w:val="0"/>
                <w:color w:val="auto"/>
                <w:szCs w:val="21"/>
                <w:highlight w:val="none"/>
              </w:rPr>
              <w:t>价得分</w:t>
            </w:r>
          </w:p>
        </w:tc>
      </w:tr>
      <w:tr>
        <w:tblPrEx>
          <w:tblCellMar>
            <w:top w:w="0" w:type="dxa"/>
            <w:left w:w="108" w:type="dxa"/>
            <w:bottom w:w="0" w:type="dxa"/>
            <w:right w:w="108" w:type="dxa"/>
          </w:tblCellMar>
        </w:tblPrEx>
        <w:trPr>
          <w:trHeight w:val="107" w:hRule="atLeast"/>
        </w:trPr>
        <w:tc>
          <w:tcPr>
            <w:tcW w:w="426" w:type="dxa"/>
            <w:tcBorders>
              <w:left w:val="single" w:color="auto" w:sz="4" w:space="0"/>
              <w:bottom w:val="single" w:color="auto" w:sz="4" w:space="0"/>
              <w:right w:val="single" w:color="auto" w:sz="4" w:space="0"/>
            </w:tcBorders>
          </w:tcPr>
          <w:p>
            <w:pPr>
              <w:keepNext/>
              <w:keepLines/>
              <w:numPr>
                <w:ilvl w:val="0"/>
                <w:numId w:val="1"/>
              </w:numPr>
              <w:spacing w:before="340" w:after="330" w:line="440" w:lineRule="exact"/>
              <w:jc w:val="center"/>
              <w:outlineLvl w:val="0"/>
              <w:rPr>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pacing w:val="-6"/>
                <w:szCs w:val="21"/>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00" w:lineRule="auto"/>
              <w:ind w:firstLine="420" w:firstLineChars="200"/>
              <w:rPr>
                <w:rFonts w:ascii="宋体" w:hAnsi="宋体" w:cs="宋体"/>
                <w:color w:val="auto"/>
                <w:szCs w:val="21"/>
                <w:highlight w:val="none"/>
              </w:rPr>
            </w:pPr>
            <w:r>
              <w:rPr>
                <w:rFonts w:hint="eastAsia" w:cs="Arial" w:asciiTheme="minorEastAsia" w:hAnsiTheme="minorEastAsia" w:eastAsiaTheme="minorEastAsia"/>
                <w:szCs w:val="21"/>
                <w:highlight w:val="none"/>
              </w:rPr>
              <w:t>第一项：A区</w:t>
            </w:r>
            <w:r>
              <w:rPr>
                <w:rFonts w:hint="eastAsia" w:ascii="宋体" w:hAnsi="宋体" w:cs="宋体"/>
                <w:szCs w:val="21"/>
                <w:highlight w:val="none"/>
              </w:rPr>
              <w:t>设计工作部分报价</w:t>
            </w:r>
            <w:r>
              <w:rPr>
                <w:rFonts w:ascii="宋体" w:hAnsi="宋体" w:cs="宋体"/>
                <w:szCs w:val="21"/>
                <w:highlight w:val="none"/>
              </w:rPr>
              <w:t>投标</w:t>
            </w:r>
            <w:r>
              <w:rPr>
                <w:rFonts w:hint="eastAsia" w:ascii="宋体" w:hAnsi="宋体" w:cs="宋体"/>
                <w:b/>
                <w:bCs/>
                <w:szCs w:val="21"/>
                <w:highlight w:val="none"/>
              </w:rPr>
              <w:t>折扣系数</w:t>
            </w:r>
            <w:r>
              <w:rPr>
                <w:rFonts w:hint="eastAsia" w:ascii="宋体" w:hAnsi="宋体" w:cs="宋体"/>
                <w:szCs w:val="21"/>
                <w:highlight w:val="none"/>
              </w:rPr>
              <w:t>。</w:t>
            </w:r>
            <w:r>
              <w:rPr>
                <w:rFonts w:hint="eastAsia" w:ascii="宋体" w:hAnsi="宋体" w:cs="宋体"/>
                <w:color w:val="auto"/>
                <w:szCs w:val="21"/>
                <w:highlight w:val="none"/>
              </w:rPr>
              <w:t>（此部分</w:t>
            </w:r>
            <w:r>
              <w:rPr>
                <w:rFonts w:hint="eastAsia" w:ascii="宋体" w:hAnsi="宋体" w:cs="宋体"/>
                <w:b/>
                <w:bCs/>
                <w:szCs w:val="21"/>
                <w:highlight w:val="none"/>
              </w:rPr>
              <w:t>折扣系数</w:t>
            </w:r>
            <w:r>
              <w:rPr>
                <w:rFonts w:hint="eastAsia" w:ascii="宋体" w:hAnsi="宋体" w:cs="宋体"/>
                <w:szCs w:val="21"/>
                <w:highlight w:val="none"/>
              </w:rPr>
              <w:t>在0.85-1区间为</w:t>
            </w:r>
            <w:r>
              <w:rPr>
                <w:rFonts w:ascii="宋体" w:hAnsi="宋体" w:cs="宋体"/>
                <w:color w:val="auto"/>
                <w:szCs w:val="21"/>
                <w:highlight w:val="none"/>
              </w:rPr>
              <w:t>有效</w:t>
            </w:r>
            <w:r>
              <w:rPr>
                <w:rFonts w:hint="eastAsia" w:ascii="宋体" w:hAnsi="宋体" w:cs="宋体"/>
                <w:szCs w:val="21"/>
                <w:highlight w:val="none"/>
              </w:rPr>
              <w:t>报价</w:t>
            </w:r>
            <w:r>
              <w:rPr>
                <w:rFonts w:ascii="宋体" w:hAnsi="宋体" w:cs="宋体"/>
                <w:color w:val="auto"/>
                <w:szCs w:val="21"/>
                <w:highlight w:val="none"/>
              </w:rPr>
              <w:t>）</w:t>
            </w:r>
          </w:p>
          <w:p>
            <w:pPr>
              <w:numPr>
                <w:ilvl w:val="255"/>
                <w:numId w:val="0"/>
              </w:numPr>
              <w:spacing w:line="300" w:lineRule="auto"/>
              <w:ind w:firstLine="420" w:firstLineChars="200"/>
              <w:rPr>
                <w:rFonts w:ascii="宋体" w:hAnsi="宋体" w:cs="宋体"/>
                <w:szCs w:val="21"/>
                <w:highlight w:val="none"/>
              </w:rPr>
            </w:pPr>
            <w:r>
              <w:rPr>
                <w:rFonts w:hint="eastAsia" w:cs="Arial" w:asciiTheme="minorEastAsia" w:hAnsiTheme="minorEastAsia" w:eastAsiaTheme="minorEastAsia"/>
                <w:szCs w:val="21"/>
                <w:highlight w:val="none"/>
              </w:rPr>
              <w:t>第二项：A区</w:t>
            </w:r>
            <w:r>
              <w:rPr>
                <w:rFonts w:hint="eastAsia" w:ascii="宋体" w:hAnsi="宋体" w:cs="宋体"/>
                <w:szCs w:val="21"/>
                <w:highlight w:val="none"/>
              </w:rPr>
              <w:t>贵阳、遵义、毕节三个区域“十四五”期间机电系统日常维护维修工程（含高压外电、隧道消防）采用包干价报价，填写报价清单形式。（此部分最高投标限价的</w:t>
            </w:r>
            <w:r>
              <w:rPr>
                <w:rFonts w:ascii="宋体" w:hAnsi="宋体" w:cs="宋体"/>
                <w:szCs w:val="21"/>
                <w:highlight w:val="none"/>
              </w:rPr>
              <w:t>85%-100%为有效报价）；</w:t>
            </w:r>
          </w:p>
          <w:p>
            <w:pPr>
              <w:numPr>
                <w:ilvl w:val="255"/>
                <w:numId w:val="0"/>
              </w:numPr>
              <w:spacing w:line="300" w:lineRule="auto"/>
              <w:ind w:firstLine="420" w:firstLineChars="200"/>
              <w:rPr>
                <w:rFonts w:ascii="宋体" w:hAnsi="宋体" w:cs="宋体"/>
                <w:szCs w:val="21"/>
                <w:highlight w:val="none"/>
              </w:rPr>
            </w:pPr>
            <w:r>
              <w:rPr>
                <w:rFonts w:hint="eastAsia" w:ascii="宋体" w:hAnsi="宋体" w:cs="宋体"/>
                <w:szCs w:val="21"/>
                <w:highlight w:val="none"/>
              </w:rPr>
              <w:t>第三项：A区贵阳、遵义、毕节三个区域“十四五”期间机电系统养护专项工程报价</w:t>
            </w:r>
            <w:r>
              <w:rPr>
                <w:rFonts w:ascii="宋体" w:hAnsi="宋体" w:cs="宋体"/>
                <w:szCs w:val="21"/>
                <w:highlight w:val="none"/>
              </w:rPr>
              <w:t>投标</w:t>
            </w:r>
            <w:r>
              <w:rPr>
                <w:rFonts w:hint="eastAsia" w:ascii="宋体" w:hAnsi="宋体" w:cs="宋体"/>
                <w:b/>
                <w:bCs/>
                <w:szCs w:val="21"/>
                <w:highlight w:val="none"/>
              </w:rPr>
              <w:t>折扣系数</w:t>
            </w:r>
            <w:r>
              <w:rPr>
                <w:rFonts w:hint="eastAsia" w:ascii="宋体" w:hAnsi="宋体" w:cs="宋体"/>
                <w:szCs w:val="21"/>
                <w:highlight w:val="none"/>
              </w:rPr>
              <w:t>；</w:t>
            </w:r>
            <w:r>
              <w:rPr>
                <w:rFonts w:hint="eastAsia" w:ascii="宋体" w:hAnsi="宋体" w:cs="宋体"/>
                <w:color w:val="auto"/>
                <w:szCs w:val="21"/>
                <w:highlight w:val="none"/>
              </w:rPr>
              <w:t>（此部分</w:t>
            </w:r>
            <w:r>
              <w:rPr>
                <w:rFonts w:hint="eastAsia" w:ascii="宋体" w:hAnsi="宋体" w:cs="宋体"/>
                <w:b/>
                <w:bCs/>
                <w:szCs w:val="21"/>
                <w:highlight w:val="none"/>
              </w:rPr>
              <w:t>折扣系数</w:t>
            </w:r>
            <w:r>
              <w:rPr>
                <w:rFonts w:hint="eastAsia" w:ascii="宋体" w:hAnsi="宋体" w:cs="宋体"/>
                <w:szCs w:val="21"/>
                <w:highlight w:val="none"/>
              </w:rPr>
              <w:t>为0.85-1区间</w:t>
            </w:r>
            <w:r>
              <w:rPr>
                <w:rFonts w:ascii="宋体" w:hAnsi="宋体" w:cs="宋体"/>
                <w:color w:val="auto"/>
                <w:szCs w:val="21"/>
                <w:highlight w:val="none"/>
              </w:rPr>
              <w:t>有效</w:t>
            </w:r>
            <w:r>
              <w:rPr>
                <w:rFonts w:hint="eastAsia" w:ascii="宋体" w:hAnsi="宋体" w:cs="宋体"/>
                <w:szCs w:val="21"/>
                <w:highlight w:val="none"/>
              </w:rPr>
              <w:t>报价</w:t>
            </w:r>
            <w:r>
              <w:rPr>
                <w:rFonts w:ascii="宋体" w:hAnsi="宋体" w:cs="宋体"/>
                <w:color w:val="auto"/>
                <w:szCs w:val="21"/>
                <w:highlight w:val="none"/>
              </w:rPr>
              <w:t>）</w:t>
            </w:r>
          </w:p>
          <w:p>
            <w:pPr>
              <w:numPr>
                <w:ilvl w:val="255"/>
                <w:numId w:val="0"/>
              </w:numPr>
              <w:spacing w:line="300" w:lineRule="auto"/>
              <w:ind w:firstLine="420" w:firstLineChars="200"/>
              <w:rPr>
                <w:rFonts w:ascii="宋体" w:hAnsi="宋体" w:cs="宋体"/>
                <w:color w:val="auto"/>
                <w:szCs w:val="21"/>
                <w:highlight w:val="none"/>
              </w:rPr>
            </w:pPr>
            <w:r>
              <w:rPr>
                <w:rFonts w:hint="eastAsia" w:cs="Arial" w:asciiTheme="minorEastAsia" w:hAnsiTheme="minorEastAsia"/>
                <w:szCs w:val="21"/>
                <w:highlight w:val="none"/>
              </w:rPr>
              <w:t>第四项：</w:t>
            </w:r>
            <w:r>
              <w:rPr>
                <w:rFonts w:cs="Arial" w:asciiTheme="minorEastAsia" w:hAnsiTheme="minorEastAsia"/>
                <w:szCs w:val="21"/>
                <w:highlight w:val="none"/>
              </w:rPr>
              <w:t>B区、C区</w:t>
            </w:r>
            <w:r>
              <w:rPr>
                <w:rFonts w:ascii="宋体" w:hAnsi="宋体" w:cs="宋体"/>
                <w:szCs w:val="21"/>
                <w:highlight w:val="none"/>
              </w:rPr>
              <w:t>2021年机电系统养护专项工程</w:t>
            </w:r>
            <w:r>
              <w:rPr>
                <w:rFonts w:hint="eastAsia" w:ascii="宋体" w:hAnsi="宋体" w:cs="宋体"/>
                <w:szCs w:val="21"/>
                <w:highlight w:val="none"/>
              </w:rPr>
              <w:t>采用</w:t>
            </w:r>
            <w:r>
              <w:rPr>
                <w:rFonts w:hint="eastAsia" w:ascii="宋体" w:hAnsi="宋体" w:cs="宋体"/>
                <w:color w:val="auto"/>
                <w:szCs w:val="21"/>
                <w:highlight w:val="none"/>
              </w:rPr>
              <w:t>总价报价，填写报价清单形式。（此部分最高投标限价的</w:t>
            </w:r>
            <w:r>
              <w:rPr>
                <w:rFonts w:ascii="宋体" w:hAnsi="宋体" w:cs="宋体"/>
                <w:color w:val="auto"/>
                <w:szCs w:val="21"/>
                <w:highlight w:val="none"/>
              </w:rPr>
              <w:t>85%-100%为有效报价）</w:t>
            </w:r>
          </w:p>
          <w:p>
            <w:pPr>
              <w:spacing w:line="300" w:lineRule="auto"/>
              <w:ind w:firstLine="210" w:firstLineChars="100"/>
              <w:rPr>
                <w:rFonts w:ascii="宋体" w:hAnsi="宋体" w:cs="宋体"/>
                <w:szCs w:val="21"/>
                <w:highlight w:val="none"/>
              </w:rPr>
            </w:pPr>
            <w:r>
              <w:rPr>
                <w:rFonts w:hint="eastAsia" w:ascii="宋体" w:hAnsi="宋体" w:cs="宋体"/>
                <w:szCs w:val="21"/>
                <w:highlight w:val="none"/>
              </w:rPr>
              <w:t>注：最高限价为本招标文件（包括补遗书）给出的最高限价；</w:t>
            </w:r>
          </w:p>
        </w:tc>
      </w:tr>
    </w:tbl>
    <w:p>
      <w:pPr>
        <w:widowControl/>
        <w:jc w:val="left"/>
        <w:rPr>
          <w:highlight w:val="none"/>
        </w:rPr>
      </w:pPr>
    </w:p>
    <w:p>
      <w:pPr>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26</w:t>
    </w:r>
    <w:r>
      <w:rPr>
        <w:lang w:val="zh-CN"/>
      </w:rPr>
      <w:fldChar w:fldCharType="end"/>
    </w:r>
  </w:p>
  <w:p>
    <w:pPr>
      <w:pBdr>
        <w:top w:val="double" w:color="auto" w:sz="4"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50" w:afterLines="50" w:line="360" w:lineRule="auto"/>
      <w:rPr>
        <w:rFonts w:asciiTheme="minorEastAsia" w:hAnsiTheme="minorEastAsia" w:eastAsiaTheme="minorEastAsia"/>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multilevel"/>
    <w:tmpl w:val="FFFFFF7F"/>
    <w:lvl w:ilvl="0" w:tentative="0">
      <w:start w:val="1"/>
      <w:numFmt w:val="decimal"/>
      <w:lvlText w:val="%1."/>
      <w:lvlJc w:val="left"/>
      <w:pPr>
        <w:tabs>
          <w:tab w:val="left" w:pos="780"/>
        </w:tabs>
        <w:ind w:left="780" w:hanging="360"/>
      </w:pPr>
    </w:lvl>
    <w:lvl w:ilvl="1" w:tentative="0">
      <w:start w:val="4"/>
      <w:numFmt w:val="decimal"/>
      <w:isLgl/>
      <w:lvlText w:val="%1.%2"/>
      <w:lvlJc w:val="left"/>
      <w:pPr>
        <w:ind w:left="780" w:hanging="360"/>
      </w:pPr>
      <w:rPr>
        <w:rFonts w:hint="default"/>
      </w:rPr>
    </w:lvl>
    <w:lvl w:ilvl="2" w:tentative="0">
      <w:start w:val="1"/>
      <w:numFmt w:val="decimal"/>
      <w:isLgl/>
      <w:lvlText w:val="%1.%2.%3"/>
      <w:lvlJc w:val="left"/>
      <w:pPr>
        <w:ind w:left="780" w:hanging="36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140" w:hanging="72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500" w:hanging="1080"/>
      </w:pPr>
      <w:rPr>
        <w:rFonts w:hint="default"/>
      </w:rPr>
    </w:lvl>
    <w:lvl w:ilvl="8" w:tentative="0">
      <w:start w:val="1"/>
      <w:numFmt w:val="decimal"/>
      <w:isLgl/>
      <w:lvlText w:val="%1.%2.%3.%4.%5.%6.%7.%8.%9"/>
      <w:lvlJc w:val="left"/>
      <w:pPr>
        <w:ind w:left="1860" w:hanging="1440"/>
      </w:pPr>
      <w:rPr>
        <w:rFonts w:hint="default"/>
      </w:rPr>
    </w:lvl>
  </w:abstractNum>
  <w:abstractNum w:abstractNumId="1">
    <w:nsid w:val="0000000F"/>
    <w:multiLevelType w:val="multilevel"/>
    <w:tmpl w:val="0000000F"/>
    <w:lvl w:ilvl="0" w:tentative="0">
      <w:start w:val="1"/>
      <w:numFmt w:val="none"/>
      <w:suff w:val="space"/>
      <w:lvlText w:val=""/>
      <w:lvlJc w:val="left"/>
      <w:pPr>
        <w:ind w:left="0" w:firstLine="0"/>
      </w:pPr>
      <w:rPr>
        <w:rFonts w:hint="default" w:ascii="Times New Roman" w:hAnsi="Times New Roman" w:eastAsia="宋体"/>
        <w:b w:val="0"/>
        <w:i w:val="0"/>
        <w:caps w:val="0"/>
        <w:strike w:val="0"/>
        <w:dstrike w:val="0"/>
        <w:color w:val="auto"/>
        <w:spacing w:val="0"/>
        <w:w w:val="100"/>
        <w:kern w:val="44"/>
        <w:position w:val="0"/>
        <w:sz w:val="32"/>
        <w:u w:val="none"/>
      </w:rPr>
    </w:lvl>
    <w:lvl w:ilvl="1" w:tentative="0">
      <w:start w:val="1"/>
      <w:numFmt w:val="none"/>
      <w:pStyle w:val="3"/>
      <w:suff w:val="space"/>
      <w:lvlText w:val=""/>
      <w:lvlJc w:val="left"/>
      <w:pPr>
        <w:ind w:left="0" w:firstLine="0"/>
      </w:pPr>
      <w:rPr>
        <w:rFonts w:hint="eastAsia" w:ascii="Arial" w:hAnsi="Arial" w:eastAsia="黑体"/>
        <w:b/>
        <w:i w:val="0"/>
        <w:caps w:val="0"/>
        <w:smallCaps w:val="0"/>
        <w:strike w:val="0"/>
        <w:dstrike w:val="0"/>
        <w:color w:val="auto"/>
        <w:spacing w:val="0"/>
        <w:w w:val="100"/>
        <w:kern w:val="2"/>
        <w:position w:val="0"/>
        <w:sz w:val="32"/>
        <w:u w:val="none"/>
      </w:rPr>
    </w:lvl>
    <w:lvl w:ilvl="2"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color w:val="auto"/>
        <w:spacing w:val="0"/>
        <w:w w:val="100"/>
        <w:kern w:val="2"/>
        <w:position w:val="0"/>
        <w:sz w:val="32"/>
        <w:u w:val="none"/>
      </w:rPr>
    </w:lvl>
    <w:lvl w:ilvl="3" w:tentative="0">
      <w:start w:val="1"/>
      <w:numFmt w:val="none"/>
      <w:suff w:val="space"/>
      <w:lvlText w:val=""/>
      <w:lvlJc w:val="left"/>
      <w:pPr>
        <w:ind w:left="0" w:firstLine="0"/>
      </w:pPr>
      <w:rPr>
        <w:rFonts w:hint="eastAsia" w:ascii="Arial" w:hAnsi="Arial" w:eastAsia="黑体"/>
        <w:b/>
        <w:i w:val="0"/>
        <w:caps w:val="0"/>
        <w:smallCaps w:val="0"/>
        <w:strike w:val="0"/>
        <w:dstrike w:val="0"/>
        <w:color w:val="auto"/>
        <w:spacing w:val="0"/>
        <w:w w:val="100"/>
        <w:kern w:val="2"/>
        <w:position w:val="0"/>
        <w:sz w:val="28"/>
        <w:u w:val="none"/>
      </w:rPr>
    </w:lvl>
    <w:lvl w:ilvl="4" w:tentative="0">
      <w:start w:val="1"/>
      <w:numFmt w:val="none"/>
      <w:pStyle w:val="6"/>
      <w:suff w:val="space"/>
      <w:lvlText w:val=""/>
      <w:lvlJc w:val="left"/>
      <w:pPr>
        <w:ind w:left="0" w:firstLine="0"/>
      </w:pPr>
      <w:rPr>
        <w:rFonts w:hint="eastAsia" w:ascii="Times New Roman" w:hAnsi="Times New Roman" w:eastAsia="宋体"/>
        <w:b/>
        <w:i w:val="0"/>
        <w:caps w:val="0"/>
        <w:smallCaps w:val="0"/>
        <w:strike w:val="0"/>
        <w:dstrike w:val="0"/>
        <w:color w:val="auto"/>
        <w:spacing w:val="0"/>
        <w:w w:val="100"/>
        <w:kern w:val="2"/>
        <w:position w:val="0"/>
        <w:sz w:val="28"/>
        <w:u w:val="none"/>
      </w:rPr>
    </w:lvl>
    <w:lvl w:ilvl="5" w:tentative="0">
      <w:start w:val="1"/>
      <w:numFmt w:val="none"/>
      <w:suff w:val="space"/>
      <w:lvlText w:val=""/>
      <w:lvlJc w:val="left"/>
      <w:pPr>
        <w:ind w:left="0" w:firstLine="0"/>
      </w:pPr>
      <w:rPr>
        <w:rFonts w:hint="eastAsia" w:ascii="Arial" w:hAnsi="Arial" w:eastAsia="黑体"/>
        <w:b/>
        <w:i w:val="0"/>
        <w:caps w:val="0"/>
        <w:smallCaps w:val="0"/>
        <w:strike w:val="0"/>
        <w:dstrike w:val="0"/>
        <w:color w:val="auto"/>
        <w:spacing w:val="0"/>
        <w:w w:val="100"/>
        <w:kern w:val="2"/>
        <w:position w:val="0"/>
        <w:sz w:val="24"/>
        <w:u w:val="none"/>
      </w:rPr>
    </w:lvl>
    <w:lvl w:ilvl="6" w:tentative="0">
      <w:start w:val="1"/>
      <w:numFmt w:val="none"/>
      <w:suff w:val="space"/>
      <w:lvlText w:val=""/>
      <w:lvlJc w:val="left"/>
      <w:pPr>
        <w:ind w:left="0" w:firstLine="0"/>
      </w:pPr>
      <w:rPr>
        <w:rFonts w:hint="eastAsia" w:ascii="Times New Roman" w:hAnsi="Times New Roman" w:eastAsia="宋体"/>
        <w:b/>
        <w:i w:val="0"/>
        <w:caps w:val="0"/>
        <w:smallCaps w:val="0"/>
        <w:strike w:val="0"/>
        <w:dstrike w:val="0"/>
        <w:color w:val="auto"/>
        <w:spacing w:val="0"/>
        <w:w w:val="100"/>
        <w:kern w:val="2"/>
        <w:position w:val="0"/>
        <w:sz w:val="24"/>
        <w:u w:val="none"/>
      </w:rPr>
    </w:lvl>
    <w:lvl w:ilvl="7" w:tentative="0">
      <w:start w:val="1"/>
      <w:numFmt w:val="none"/>
      <w:suff w:val="space"/>
      <w:lvlText w:val=""/>
      <w:lvlJc w:val="left"/>
      <w:pPr>
        <w:ind w:left="0" w:firstLine="0"/>
      </w:pPr>
      <w:rPr>
        <w:rFonts w:hint="eastAsia" w:ascii="Arial" w:hAnsi="Arial" w:eastAsia="黑体"/>
        <w:b w:val="0"/>
        <w:i w:val="0"/>
        <w:caps w:val="0"/>
        <w:smallCaps w:val="0"/>
        <w:strike w:val="0"/>
        <w:dstrike w:val="0"/>
        <w:color w:val="auto"/>
        <w:spacing w:val="0"/>
        <w:w w:val="100"/>
        <w:kern w:val="2"/>
        <w:position w:val="0"/>
        <w:sz w:val="24"/>
        <w:u w:val="none"/>
      </w:rPr>
    </w:lvl>
    <w:lvl w:ilvl="8" w:tentative="0">
      <w:start w:val="1"/>
      <w:numFmt w:val="none"/>
      <w:suff w:val="space"/>
      <w:lvlText w:val=""/>
      <w:lvlJc w:val="left"/>
      <w:pPr>
        <w:ind w:left="0" w:firstLine="0"/>
      </w:pPr>
      <w:rPr>
        <w:rFonts w:hint="eastAsia" w:ascii="Arial" w:hAnsi="Arial" w:eastAsia="黑体"/>
        <w:b w:val="0"/>
        <w:i w:val="0"/>
        <w:caps w:val="0"/>
        <w:smallCaps w:val="0"/>
        <w:strike w:val="0"/>
        <w:dstrike w:val="0"/>
        <w:color w:val="auto"/>
        <w:spacing w:val="0"/>
        <w:w w:val="100"/>
        <w:kern w:val="2"/>
        <w:position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B7752B"/>
    <w:rsid w:val="000045F4"/>
    <w:rsid w:val="00016CC4"/>
    <w:rsid w:val="00020C88"/>
    <w:rsid w:val="00037BD8"/>
    <w:rsid w:val="00052CD7"/>
    <w:rsid w:val="000538BA"/>
    <w:rsid w:val="00054CF2"/>
    <w:rsid w:val="00057A27"/>
    <w:rsid w:val="000625EB"/>
    <w:rsid w:val="00077B30"/>
    <w:rsid w:val="00091A40"/>
    <w:rsid w:val="000946A2"/>
    <w:rsid w:val="0009564A"/>
    <w:rsid w:val="000B4224"/>
    <w:rsid w:val="000D551A"/>
    <w:rsid w:val="0012759B"/>
    <w:rsid w:val="00147237"/>
    <w:rsid w:val="0016058E"/>
    <w:rsid w:val="00182310"/>
    <w:rsid w:val="00195C31"/>
    <w:rsid w:val="00196BAE"/>
    <w:rsid w:val="001A4181"/>
    <w:rsid w:val="001D474E"/>
    <w:rsid w:val="002133C5"/>
    <w:rsid w:val="0022399E"/>
    <w:rsid w:val="0023168A"/>
    <w:rsid w:val="00250443"/>
    <w:rsid w:val="0026720D"/>
    <w:rsid w:val="00281DB8"/>
    <w:rsid w:val="002A2879"/>
    <w:rsid w:val="002A6E32"/>
    <w:rsid w:val="002C1195"/>
    <w:rsid w:val="002D1428"/>
    <w:rsid w:val="002E66F7"/>
    <w:rsid w:val="002F087D"/>
    <w:rsid w:val="003243EE"/>
    <w:rsid w:val="00330B79"/>
    <w:rsid w:val="003718E7"/>
    <w:rsid w:val="00390C71"/>
    <w:rsid w:val="003A1CF5"/>
    <w:rsid w:val="003A6C19"/>
    <w:rsid w:val="003C441B"/>
    <w:rsid w:val="003D198C"/>
    <w:rsid w:val="003E09BF"/>
    <w:rsid w:val="003E0B44"/>
    <w:rsid w:val="003E2612"/>
    <w:rsid w:val="003F481F"/>
    <w:rsid w:val="00421AA0"/>
    <w:rsid w:val="004633EE"/>
    <w:rsid w:val="00470748"/>
    <w:rsid w:val="0048160F"/>
    <w:rsid w:val="004841F8"/>
    <w:rsid w:val="00485505"/>
    <w:rsid w:val="004D506F"/>
    <w:rsid w:val="004F3F06"/>
    <w:rsid w:val="00524232"/>
    <w:rsid w:val="005254DE"/>
    <w:rsid w:val="00550063"/>
    <w:rsid w:val="00567AE4"/>
    <w:rsid w:val="00581F84"/>
    <w:rsid w:val="00583328"/>
    <w:rsid w:val="005B3041"/>
    <w:rsid w:val="005C5831"/>
    <w:rsid w:val="005C6E43"/>
    <w:rsid w:val="005D09FB"/>
    <w:rsid w:val="005F631D"/>
    <w:rsid w:val="00610701"/>
    <w:rsid w:val="00627DE3"/>
    <w:rsid w:val="00634C5E"/>
    <w:rsid w:val="00664277"/>
    <w:rsid w:val="006876D0"/>
    <w:rsid w:val="00690741"/>
    <w:rsid w:val="00697AFB"/>
    <w:rsid w:val="006D0191"/>
    <w:rsid w:val="006D3F6B"/>
    <w:rsid w:val="006D4FD9"/>
    <w:rsid w:val="00704770"/>
    <w:rsid w:val="0070752E"/>
    <w:rsid w:val="00743C9E"/>
    <w:rsid w:val="00787111"/>
    <w:rsid w:val="00837148"/>
    <w:rsid w:val="008438AB"/>
    <w:rsid w:val="008B1C65"/>
    <w:rsid w:val="008E7A1F"/>
    <w:rsid w:val="009073EB"/>
    <w:rsid w:val="00907614"/>
    <w:rsid w:val="009D0BB2"/>
    <w:rsid w:val="009F1CE3"/>
    <w:rsid w:val="00A060FD"/>
    <w:rsid w:val="00A21E21"/>
    <w:rsid w:val="00A24863"/>
    <w:rsid w:val="00A305A7"/>
    <w:rsid w:val="00A34EF4"/>
    <w:rsid w:val="00A44113"/>
    <w:rsid w:val="00A4507A"/>
    <w:rsid w:val="00A5217D"/>
    <w:rsid w:val="00AB4BE3"/>
    <w:rsid w:val="00B111BB"/>
    <w:rsid w:val="00B353AF"/>
    <w:rsid w:val="00B6303E"/>
    <w:rsid w:val="00B72DBF"/>
    <w:rsid w:val="00B72E3E"/>
    <w:rsid w:val="00B7752B"/>
    <w:rsid w:val="00BE305C"/>
    <w:rsid w:val="00BE3805"/>
    <w:rsid w:val="00C05BF0"/>
    <w:rsid w:val="00C07027"/>
    <w:rsid w:val="00C21152"/>
    <w:rsid w:val="00C50FEF"/>
    <w:rsid w:val="00C55CD8"/>
    <w:rsid w:val="00C56FCB"/>
    <w:rsid w:val="00C63A07"/>
    <w:rsid w:val="00CE6EB1"/>
    <w:rsid w:val="00CF5D50"/>
    <w:rsid w:val="00D12A8A"/>
    <w:rsid w:val="00D50F07"/>
    <w:rsid w:val="00D664FC"/>
    <w:rsid w:val="00D70F42"/>
    <w:rsid w:val="00D81E1B"/>
    <w:rsid w:val="00D95FD2"/>
    <w:rsid w:val="00DE24ED"/>
    <w:rsid w:val="00DE2E24"/>
    <w:rsid w:val="00DF726C"/>
    <w:rsid w:val="00DF7779"/>
    <w:rsid w:val="00E3290E"/>
    <w:rsid w:val="00E33C89"/>
    <w:rsid w:val="00E41088"/>
    <w:rsid w:val="00E5073F"/>
    <w:rsid w:val="00E65D39"/>
    <w:rsid w:val="00E96668"/>
    <w:rsid w:val="00EC4CBA"/>
    <w:rsid w:val="00ED095D"/>
    <w:rsid w:val="00EE38F0"/>
    <w:rsid w:val="00EF540F"/>
    <w:rsid w:val="00F329A2"/>
    <w:rsid w:val="00F4071D"/>
    <w:rsid w:val="00F533BD"/>
    <w:rsid w:val="00FA53C6"/>
    <w:rsid w:val="00FC5D47"/>
    <w:rsid w:val="00FD6E7F"/>
    <w:rsid w:val="00FE3A59"/>
    <w:rsid w:val="00FF739D"/>
    <w:rsid w:val="73B7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color w:val="000000"/>
      <w:sz w:val="32"/>
    </w:rPr>
  </w:style>
  <w:style w:type="paragraph" w:styleId="4">
    <w:name w:val="heading 4"/>
    <w:basedOn w:val="1"/>
    <w:next w:val="5"/>
    <w:link w:val="9"/>
    <w:qFormat/>
    <w:uiPriority w:val="99"/>
    <w:pPr>
      <w:keepNext/>
      <w:adjustRightInd w:val="0"/>
      <w:spacing w:line="420" w:lineRule="atLeast"/>
      <w:jc w:val="left"/>
      <w:textAlignment w:val="baseline"/>
      <w:outlineLvl w:val="3"/>
    </w:pPr>
    <w:rPr>
      <w:kern w:val="0"/>
    </w:rPr>
  </w:style>
  <w:style w:type="paragraph" w:styleId="6">
    <w:name w:val="heading 5"/>
    <w:basedOn w:val="1"/>
    <w:next w:val="1"/>
    <w:qFormat/>
    <w:uiPriority w:val="0"/>
    <w:pPr>
      <w:keepNext/>
      <w:keepLines/>
      <w:numPr>
        <w:ilvl w:val="4"/>
        <w:numId w:val="1"/>
      </w:numPr>
      <w:spacing w:before="280" w:after="290" w:line="372" w:lineRule="auto"/>
      <w:outlineLvl w:val="4"/>
    </w:pPr>
    <w:rPr>
      <w:color w:val="000000"/>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Normal Indent"/>
    <w:basedOn w:val="1"/>
    <w:unhideWhenUsed/>
    <w:uiPriority w:val="99"/>
    <w:pPr>
      <w:ind w:firstLine="420" w:firstLineChars="200"/>
    </w:pPr>
  </w:style>
  <w:style w:type="character" w:customStyle="1" w:styleId="9">
    <w:name w:val="标题 4 Char"/>
    <w:basedOn w:val="8"/>
    <w:link w:val="4"/>
    <w:uiPriority w:val="99"/>
    <w:rPr>
      <w:rFonts w:ascii="Times New Roman" w:hAnsi="Times New Roman" w:eastAsia="宋体" w:cs="Times New Roman"/>
      <w:kern w:val="0"/>
      <w:szCs w:val="21"/>
    </w:rPr>
  </w:style>
  <w:style w:type="paragraph" w:customStyle="1" w:styleId="10">
    <w:name w:val="Table Paragraph"/>
    <w:basedOn w:val="1"/>
    <w:uiPriority w:val="0"/>
    <w:pPr>
      <w:autoSpaceDE w:val="0"/>
      <w:autoSpaceDN w:val="0"/>
      <w:adjustRightInd w:val="0"/>
      <w:jc w:val="left"/>
    </w:pPr>
    <w:rPr>
      <w:kern w:val="0"/>
      <w:sz w:val="24"/>
      <w:szCs w:val="24"/>
    </w:rPr>
  </w:style>
  <w:style w:type="paragraph" w:customStyle="1" w:styleId="11">
    <w:name w:val="p0"/>
    <w:basedOn w:val="1"/>
    <w:uiPriority w:val="0"/>
    <w:pPr>
      <w:widowControl/>
    </w:pPr>
    <w:rPr>
      <w:kern w:val="0"/>
    </w:rPr>
  </w:style>
  <w:style w:type="paragraph" w:customStyle="1" w:styleId="12">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925</Words>
  <Characters>5274</Characters>
  <Lines>43</Lines>
  <Paragraphs>12</Paragraphs>
  <TotalTime>0</TotalTime>
  <ScaleCrop>false</ScaleCrop>
  <LinksUpToDate>false</LinksUpToDate>
  <CharactersWithSpaces>6187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2021-11-22T05:56:00Z</dcterms:created>
  <dc:creator>AutoBVT</dc:creator>
  <cp:lastModifiedBy>。烟末凉</cp:lastModifiedBy>
  <dcterms:modified xsi:type="dcterms:W3CDTF">2022-01-19T02:02:48Z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6316DBE764CB4A76AA26A05D06E4EB0C</vt:lpwstr>
  </property>
</Properties>
</file>