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宋体" w:hAnsi="宋体"/>
          <w:kern w:val="0"/>
          <w:sz w:val="24"/>
        </w:rPr>
      </w:pPr>
      <w:r>
        <w:rPr>
          <w:rFonts w:hint="eastAsia" w:ascii="宋体" w:hAnsi="宋体"/>
          <w:b/>
          <w:bCs/>
          <w:sz w:val="24"/>
        </w:rPr>
        <w:t>附：资格审查条件和评标办法</w:t>
      </w:r>
      <w:r>
        <w:rPr>
          <w:rFonts w:hint="eastAsia" w:ascii="宋体" w:hAnsi="宋体"/>
          <w:kern w:val="0"/>
          <w:sz w:val="24"/>
        </w:rPr>
        <w:t xml:space="preserve">   </w:t>
      </w:r>
      <w:bookmarkStart w:id="0" w:name="_Toc222740126"/>
    </w:p>
    <w:p>
      <w:pPr>
        <w:spacing w:before="142"/>
        <w:ind w:left="143"/>
        <w:jc w:val="center"/>
        <w:rPr>
          <w:rFonts w:hint="eastAsia" w:ascii="宋体" w:hAnsi="宋体" w:cs="宋体"/>
          <w:b/>
          <w:sz w:val="24"/>
          <w:highlight w:val="none"/>
        </w:rPr>
      </w:pPr>
      <w:r>
        <w:rPr>
          <w:rFonts w:hint="eastAsia" w:ascii="宋体" w:hAnsi="宋体" w:cs="宋体"/>
          <w:b/>
          <w:sz w:val="24"/>
          <w:highlight w:val="none"/>
        </w:rPr>
        <w:t>附录 1  资格审查条件（资质最低要求）</w:t>
      </w:r>
    </w:p>
    <w:p>
      <w:pPr>
        <w:pStyle w:val="2"/>
        <w:rPr>
          <w:rFonts w:hint="eastAsia"/>
          <w:highlight w:val="none"/>
        </w:rPr>
      </w:pPr>
    </w:p>
    <w:p>
      <w:pPr>
        <w:spacing w:line="20" w:lineRule="exact"/>
        <w:ind w:left="241"/>
        <w:rPr>
          <w:rFonts w:hint="eastAsia" w:ascii="宋体" w:hAnsi="宋体" w:cs="宋体"/>
          <w:sz w:val="24"/>
          <w:highlight w:val="none"/>
        </w:rPr>
      </w:pPr>
    </w:p>
    <w:tbl>
      <w:tblPr>
        <w:tblStyle w:val="8"/>
        <w:tblW w:w="9563"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55"/>
        <w:gridCol w:w="860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35" w:hRule="atLeast"/>
          <w:jc w:val="center"/>
        </w:trPr>
        <w:tc>
          <w:tcPr>
            <w:tcW w:w="955"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cs="宋体"/>
                <w:sz w:val="24"/>
                <w:highlight w:val="none"/>
              </w:rPr>
            </w:pPr>
            <w:r>
              <w:rPr>
                <w:rFonts w:hint="eastAsia" w:ascii="宋体" w:hAnsi="宋体" w:cs="宋体"/>
                <w:sz w:val="24"/>
                <w:highlight w:val="none"/>
              </w:rPr>
              <w:t>项 目</w:t>
            </w:r>
          </w:p>
        </w:tc>
        <w:tc>
          <w:tcPr>
            <w:tcW w:w="8608"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cs="宋体"/>
                <w:sz w:val="24"/>
                <w:highlight w:val="none"/>
              </w:rPr>
            </w:pPr>
            <w:r>
              <w:rPr>
                <w:rFonts w:hint="eastAsia" w:ascii="宋体" w:hAnsi="宋体" w:cs="宋体"/>
                <w:sz w:val="24"/>
                <w:highlight w:val="none"/>
              </w:rPr>
              <w:t>要    求</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58" w:hRule="atLeast"/>
          <w:jc w:val="center"/>
        </w:trPr>
        <w:tc>
          <w:tcPr>
            <w:tcW w:w="955"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cs="宋体"/>
                <w:sz w:val="24"/>
                <w:highlight w:val="none"/>
              </w:rPr>
            </w:pPr>
            <w:r>
              <w:rPr>
                <w:rFonts w:hint="eastAsia" w:ascii="宋体" w:hAnsi="宋体" w:cs="宋体"/>
                <w:sz w:val="24"/>
                <w:highlight w:val="none"/>
              </w:rPr>
              <w:t>资 质</w:t>
            </w:r>
          </w:p>
        </w:tc>
        <w:tc>
          <w:tcPr>
            <w:tcW w:w="8608" w:type="dxa"/>
            <w:vAlign w:val="center"/>
          </w:tcPr>
          <w:p>
            <w:pPr>
              <w:keepNext w:val="0"/>
              <w:keepLines w:val="0"/>
              <w:suppressLineNumbers w:val="0"/>
              <w:snapToGrid w:val="0"/>
              <w:spacing w:before="0" w:beforeAutospacing="0" w:after="0" w:afterAutospacing="0" w:line="360" w:lineRule="auto"/>
              <w:ind w:left="0" w:right="0"/>
              <w:rPr>
                <w:rFonts w:hint="eastAsia" w:ascii="宋体" w:hAnsi="宋体" w:cs="宋体"/>
                <w:kern w:val="0"/>
                <w:sz w:val="24"/>
                <w:highlight w:val="none"/>
              </w:rPr>
            </w:pPr>
            <w:r>
              <w:rPr>
                <w:rFonts w:hint="eastAsia" w:ascii="宋体" w:hAnsi="宋体" w:cs="宋体"/>
                <w:kern w:val="0"/>
                <w:sz w:val="24"/>
                <w:highlight w:val="none"/>
              </w:rPr>
              <w:t>1.在中国境内依法注册的企业法人，且合法存续，持有效的企业法人营业执照、基本账户开户许可证（或基本存款账户信息）。</w:t>
            </w:r>
          </w:p>
          <w:p>
            <w:pPr>
              <w:keepNext w:val="0"/>
              <w:keepLines w:val="0"/>
              <w:suppressLineNumbers w:val="0"/>
              <w:snapToGrid w:val="0"/>
              <w:spacing w:before="0" w:beforeAutospacing="0" w:after="0" w:afterAutospacing="0" w:line="360" w:lineRule="auto"/>
              <w:ind w:left="0" w:right="0"/>
              <w:rPr>
                <w:rFonts w:hint="eastAsia" w:ascii="宋体" w:hAnsi="宋体" w:cs="宋体"/>
                <w:sz w:val="24"/>
                <w:highlight w:val="none"/>
              </w:rPr>
            </w:pPr>
            <w:r>
              <w:rPr>
                <w:rFonts w:hint="eastAsia" w:ascii="宋体" w:hAnsi="宋体" w:cs="宋体"/>
                <w:kern w:val="0"/>
                <w:sz w:val="24"/>
                <w:highlight w:val="none"/>
              </w:rPr>
              <w:t>2.单位负责人为同一人或者存在控股、管理关系的不同单位，不得对本项目同一标段投标。否则，相关投标均无效，招标人有权拒绝其投标文件。</w:t>
            </w:r>
          </w:p>
        </w:tc>
      </w:tr>
    </w:tbl>
    <w:p>
      <w:pPr>
        <w:rPr>
          <w:rFonts w:hint="eastAsia" w:ascii="宋体" w:hAnsi="宋体" w:cs="宋体"/>
          <w:sz w:val="24"/>
          <w:highlight w:val="none"/>
        </w:rPr>
      </w:pPr>
    </w:p>
    <w:p>
      <w:pPr>
        <w:spacing w:before="142"/>
        <w:ind w:left="143"/>
        <w:jc w:val="center"/>
        <w:rPr>
          <w:rFonts w:hint="eastAsia" w:ascii="宋体" w:hAnsi="宋体" w:cs="宋体"/>
          <w:b/>
          <w:sz w:val="24"/>
          <w:highlight w:val="none"/>
        </w:rPr>
      </w:pPr>
      <w:r>
        <w:rPr>
          <w:rFonts w:hint="eastAsia" w:ascii="宋体" w:hAnsi="宋体" w:cs="宋体"/>
          <w:b/>
          <w:sz w:val="24"/>
          <w:highlight w:val="none"/>
        </w:rPr>
        <w:t>附录 2</w:t>
      </w:r>
      <w:r>
        <w:rPr>
          <w:rFonts w:hint="eastAsia" w:ascii="宋体" w:hAnsi="宋体" w:cs="宋体"/>
          <w:b/>
          <w:sz w:val="24"/>
          <w:highlight w:val="none"/>
        </w:rPr>
        <w:tab/>
      </w:r>
      <w:r>
        <w:rPr>
          <w:rFonts w:hint="eastAsia" w:ascii="宋体" w:hAnsi="宋体" w:cs="宋体"/>
          <w:b/>
          <w:sz w:val="24"/>
          <w:highlight w:val="none"/>
        </w:rPr>
        <w:t>（财务最低要求）</w:t>
      </w:r>
    </w:p>
    <w:p>
      <w:pPr>
        <w:pStyle w:val="2"/>
        <w:rPr>
          <w:rFonts w:hint="eastAsia"/>
          <w:highlight w:val="none"/>
        </w:rPr>
      </w:pPr>
    </w:p>
    <w:tbl>
      <w:tblPr>
        <w:tblStyle w:val="8"/>
        <w:tblW w:w="9546"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47"/>
        <w:gridCol w:w="859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35" w:hRule="atLeast"/>
          <w:jc w:val="center"/>
        </w:trPr>
        <w:tc>
          <w:tcPr>
            <w:tcW w:w="947"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cs="宋体"/>
                <w:sz w:val="24"/>
                <w:highlight w:val="none"/>
              </w:rPr>
            </w:pPr>
            <w:r>
              <w:rPr>
                <w:rFonts w:hint="eastAsia" w:ascii="宋体" w:hAnsi="宋体" w:cs="宋体"/>
                <w:sz w:val="24"/>
                <w:highlight w:val="none"/>
              </w:rPr>
              <w:t>项 目</w:t>
            </w:r>
          </w:p>
        </w:tc>
        <w:tc>
          <w:tcPr>
            <w:tcW w:w="8599"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cs="宋体"/>
                <w:sz w:val="24"/>
                <w:highlight w:val="none"/>
              </w:rPr>
            </w:pPr>
            <w:r>
              <w:rPr>
                <w:rFonts w:hint="eastAsia" w:ascii="宋体" w:hAnsi="宋体" w:cs="宋体"/>
                <w:sz w:val="24"/>
                <w:highlight w:val="none"/>
              </w:rPr>
              <w:t>要    求</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27" w:hRule="atLeast"/>
          <w:jc w:val="center"/>
        </w:trPr>
        <w:tc>
          <w:tcPr>
            <w:tcW w:w="947"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cs="宋体"/>
                <w:sz w:val="24"/>
                <w:highlight w:val="none"/>
              </w:rPr>
            </w:pPr>
            <w:r>
              <w:rPr>
                <w:rFonts w:hint="eastAsia" w:ascii="宋体" w:hAnsi="宋体" w:cs="宋体"/>
                <w:sz w:val="24"/>
                <w:highlight w:val="none"/>
              </w:rPr>
              <w:t>财务</w:t>
            </w:r>
          </w:p>
        </w:tc>
        <w:tc>
          <w:tcPr>
            <w:tcW w:w="8599" w:type="dxa"/>
            <w:vAlign w:val="center"/>
          </w:tcPr>
          <w:p>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cs="宋体"/>
                <w:sz w:val="24"/>
                <w:highlight w:val="none"/>
              </w:rPr>
            </w:pPr>
            <w:r>
              <w:rPr>
                <w:rFonts w:hint="eastAsia" w:ascii="宋体" w:hAnsi="宋体" w:cs="宋体"/>
                <w:sz w:val="24"/>
                <w:highlight w:val="none"/>
              </w:rPr>
              <w:t>具有会计师事务所出具的2020年度财务审计报告（含资产负债表、利润或利润分配表、现金流量表和财务报表附注），</w:t>
            </w:r>
            <w:r>
              <w:rPr>
                <w:rFonts w:hint="eastAsia" w:ascii="宋体" w:hAnsi="宋体" w:cs="宋体"/>
                <w:kern w:val="0"/>
                <w:sz w:val="24"/>
                <w:highlight w:val="none"/>
              </w:rPr>
              <w:t>新成立公司（2020年3月1日之后成立）提供银行资信证明材料。</w:t>
            </w:r>
          </w:p>
        </w:tc>
      </w:tr>
    </w:tbl>
    <w:p>
      <w:pPr>
        <w:pStyle w:val="2"/>
        <w:ind w:left="0" w:firstLine="0"/>
        <w:rPr>
          <w:rFonts w:hint="eastAsia" w:ascii="宋体" w:hAnsi="宋体" w:cs="宋体"/>
          <w:highlight w:val="none"/>
        </w:rPr>
      </w:pPr>
    </w:p>
    <w:p>
      <w:pPr>
        <w:tabs>
          <w:tab w:val="left" w:pos="1189"/>
        </w:tabs>
        <w:spacing w:before="13"/>
        <w:ind w:left="143"/>
        <w:jc w:val="center"/>
        <w:rPr>
          <w:rFonts w:hint="eastAsia" w:ascii="宋体" w:hAnsi="宋体" w:cs="宋体"/>
          <w:b/>
          <w:sz w:val="24"/>
          <w:highlight w:val="none"/>
        </w:rPr>
      </w:pPr>
      <w:r>
        <w:rPr>
          <w:rFonts w:hint="eastAsia" w:ascii="宋体" w:hAnsi="宋体" w:cs="宋体"/>
          <w:b/>
          <w:sz w:val="24"/>
          <w:highlight w:val="none"/>
        </w:rPr>
        <w:t>附录 3</w:t>
      </w:r>
      <w:r>
        <w:rPr>
          <w:rFonts w:hint="eastAsia" w:ascii="宋体" w:hAnsi="宋体" w:cs="宋体"/>
          <w:b/>
          <w:sz w:val="24"/>
          <w:highlight w:val="none"/>
        </w:rPr>
        <w:tab/>
      </w:r>
      <w:r>
        <w:rPr>
          <w:rFonts w:hint="eastAsia" w:ascii="宋体" w:hAnsi="宋体" w:cs="宋体"/>
          <w:b/>
          <w:sz w:val="24"/>
          <w:highlight w:val="none"/>
        </w:rPr>
        <w:t>资格审查条件 （信誉最低要求）</w:t>
      </w:r>
    </w:p>
    <w:p>
      <w:pPr>
        <w:pStyle w:val="2"/>
        <w:rPr>
          <w:rFonts w:hint="eastAsia"/>
          <w:highlight w:val="none"/>
        </w:rPr>
      </w:pPr>
    </w:p>
    <w:tbl>
      <w:tblPr>
        <w:tblStyle w:val="8"/>
        <w:tblW w:w="9596"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72"/>
        <w:gridCol w:w="862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1" w:hRule="atLeast"/>
          <w:jc w:val="center"/>
        </w:trPr>
        <w:tc>
          <w:tcPr>
            <w:tcW w:w="972"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cs="宋体"/>
                <w:sz w:val="24"/>
                <w:highlight w:val="none"/>
              </w:rPr>
            </w:pPr>
            <w:r>
              <w:rPr>
                <w:rFonts w:hint="eastAsia" w:ascii="宋体" w:hAnsi="宋体" w:cs="宋体"/>
                <w:sz w:val="24"/>
                <w:highlight w:val="none"/>
              </w:rPr>
              <w:t>项 目</w:t>
            </w:r>
          </w:p>
        </w:tc>
        <w:tc>
          <w:tcPr>
            <w:tcW w:w="8624"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cs="宋体"/>
                <w:sz w:val="24"/>
                <w:highlight w:val="none"/>
              </w:rPr>
            </w:pPr>
            <w:r>
              <w:rPr>
                <w:rFonts w:hint="eastAsia" w:ascii="宋体" w:hAnsi="宋体" w:cs="宋体"/>
                <w:sz w:val="24"/>
                <w:highlight w:val="none"/>
              </w:rPr>
              <w:t>要     求</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168" w:hRule="atLeast"/>
          <w:jc w:val="center"/>
        </w:trPr>
        <w:tc>
          <w:tcPr>
            <w:tcW w:w="972"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cs="宋体"/>
                <w:sz w:val="24"/>
                <w:highlight w:val="none"/>
              </w:rPr>
            </w:pPr>
            <w:r>
              <w:rPr>
                <w:rFonts w:hint="eastAsia" w:ascii="宋体" w:hAnsi="宋体" w:cs="宋体"/>
                <w:sz w:val="24"/>
                <w:highlight w:val="none"/>
              </w:rPr>
              <w:t>信誉</w:t>
            </w:r>
          </w:p>
        </w:tc>
        <w:tc>
          <w:tcPr>
            <w:tcW w:w="8624" w:type="dxa"/>
            <w:vAlign w:val="center"/>
          </w:tcPr>
          <w:p>
            <w:pPr>
              <w:keepNext w:val="0"/>
              <w:keepLines w:val="0"/>
              <w:suppressLineNumbers w:val="0"/>
              <w:snapToGrid w:val="0"/>
              <w:spacing w:before="0" w:beforeAutospacing="0" w:after="0" w:afterAutospacing="0" w:line="360" w:lineRule="auto"/>
              <w:ind w:left="0" w:right="0"/>
              <w:rPr>
                <w:rFonts w:hint="eastAsia" w:ascii="宋体" w:hAnsi="宋体" w:cs="宋体"/>
                <w:kern w:val="0"/>
                <w:sz w:val="24"/>
                <w:highlight w:val="none"/>
              </w:rPr>
            </w:pPr>
            <w:r>
              <w:rPr>
                <w:rFonts w:hint="eastAsia" w:ascii="宋体" w:hAnsi="宋体" w:cs="宋体"/>
                <w:kern w:val="0"/>
                <w:sz w:val="24"/>
                <w:highlight w:val="none"/>
              </w:rPr>
              <w:t xml:space="preserve">1.投标人商业信誉良好，在经济活动中无重大违法违规行为； </w:t>
            </w:r>
          </w:p>
          <w:p>
            <w:pPr>
              <w:keepNext w:val="0"/>
              <w:keepLines w:val="0"/>
              <w:suppressLineNumbers w:val="0"/>
              <w:snapToGrid w:val="0"/>
              <w:spacing w:before="0" w:beforeAutospacing="0" w:after="0" w:afterAutospacing="0" w:line="360" w:lineRule="auto"/>
              <w:ind w:left="0" w:right="0"/>
              <w:rPr>
                <w:rFonts w:hint="eastAsia" w:ascii="宋体" w:hAnsi="宋体" w:cs="宋体"/>
                <w:kern w:val="0"/>
                <w:sz w:val="24"/>
                <w:highlight w:val="none"/>
              </w:rPr>
            </w:pPr>
            <w:r>
              <w:rPr>
                <w:rFonts w:hint="eastAsia" w:ascii="宋体" w:hAnsi="宋体" w:cs="宋体"/>
                <w:kern w:val="0"/>
                <w:sz w:val="24"/>
                <w:highlight w:val="none"/>
              </w:rPr>
              <w:t>2.投标人未被交通运输部、住房和城乡建设部、贵州省交通运输厅、贵州省住房和城乡建设厅取消投标资格或禁止进入项目区域建设市场且处罚期未满的；</w:t>
            </w:r>
          </w:p>
          <w:p>
            <w:pPr>
              <w:keepNext w:val="0"/>
              <w:keepLines w:val="0"/>
              <w:suppressLineNumbers w:val="0"/>
              <w:snapToGrid w:val="0"/>
              <w:spacing w:before="0" w:beforeAutospacing="0" w:after="0" w:afterAutospacing="0" w:line="360" w:lineRule="auto"/>
              <w:ind w:left="0" w:right="0"/>
              <w:rPr>
                <w:rFonts w:hint="eastAsia" w:ascii="宋体" w:hAnsi="宋体" w:cs="宋体"/>
                <w:kern w:val="0"/>
                <w:sz w:val="24"/>
                <w:highlight w:val="none"/>
              </w:rPr>
            </w:pPr>
            <w:r>
              <w:rPr>
                <w:rFonts w:hint="eastAsia" w:ascii="宋体" w:hAnsi="宋体" w:cs="宋体"/>
                <w:kern w:val="0"/>
                <w:sz w:val="24"/>
                <w:highlight w:val="none"/>
              </w:rPr>
              <w:t>3.投标人没有涉及正在诉讼的案件，或涉及正在诉讼的案件但经本项目评标委员会认定不会对承担本项目造成重大影响；</w:t>
            </w:r>
          </w:p>
          <w:p>
            <w:pPr>
              <w:keepNext w:val="0"/>
              <w:keepLines w:val="0"/>
              <w:suppressLineNumbers w:val="0"/>
              <w:snapToGrid w:val="0"/>
              <w:spacing w:before="0" w:beforeAutospacing="0" w:after="0" w:afterAutospacing="0" w:line="360" w:lineRule="auto"/>
              <w:ind w:left="0" w:right="0"/>
              <w:rPr>
                <w:rFonts w:hint="default" w:ascii="宋体" w:hAnsi="宋体"/>
                <w:sz w:val="24"/>
                <w:highlight w:val="none"/>
              </w:rPr>
            </w:pPr>
            <w:r>
              <w:rPr>
                <w:rFonts w:hint="eastAsia" w:ascii="宋体" w:hAnsi="宋体" w:cs="宋体"/>
                <w:kern w:val="0"/>
                <w:sz w:val="24"/>
                <w:highlight w:val="none"/>
              </w:rPr>
              <w:t>4.企业信誉良好，在建设项目审计服务领域无重大违法违规行为。</w:t>
            </w:r>
          </w:p>
        </w:tc>
      </w:tr>
    </w:tbl>
    <w:p>
      <w:pPr>
        <w:tabs>
          <w:tab w:val="left" w:pos="1433"/>
        </w:tabs>
        <w:spacing w:before="13"/>
        <w:ind w:left="382" w:right="140"/>
        <w:jc w:val="center"/>
        <w:rPr>
          <w:rFonts w:hint="eastAsia" w:ascii="宋体" w:hAnsi="宋体" w:cs="宋体"/>
          <w:b/>
          <w:spacing w:val="-18"/>
          <w:sz w:val="24"/>
          <w:highlight w:val="none"/>
        </w:rPr>
      </w:pPr>
    </w:p>
    <w:p>
      <w:pPr>
        <w:tabs>
          <w:tab w:val="left" w:pos="1433"/>
        </w:tabs>
        <w:spacing w:before="13"/>
        <w:ind w:left="382" w:right="140"/>
        <w:jc w:val="center"/>
        <w:rPr>
          <w:rFonts w:hint="eastAsia" w:ascii="宋体" w:hAnsi="宋体" w:cs="宋体"/>
          <w:b/>
          <w:sz w:val="24"/>
          <w:highlight w:val="none"/>
        </w:rPr>
      </w:pPr>
      <w:r>
        <w:rPr>
          <w:rFonts w:ascii="宋体" w:hAnsi="宋体" w:cs="宋体"/>
          <w:b/>
          <w:sz w:val="24"/>
          <w:highlight w:val="none"/>
        </w:rPr>
        <w:br w:type="page"/>
      </w:r>
      <w:r>
        <w:rPr>
          <w:rFonts w:hint="eastAsia" w:ascii="宋体" w:hAnsi="宋体" w:cs="宋体"/>
          <w:b/>
          <w:sz w:val="24"/>
          <w:highlight w:val="none"/>
        </w:rPr>
        <w:t>附录 4</w:t>
      </w:r>
      <w:r>
        <w:rPr>
          <w:rFonts w:hint="eastAsia" w:ascii="宋体" w:hAnsi="宋体" w:cs="宋体"/>
          <w:b/>
          <w:sz w:val="24"/>
          <w:highlight w:val="none"/>
        </w:rPr>
        <w:tab/>
      </w:r>
      <w:r>
        <w:rPr>
          <w:rFonts w:hint="eastAsia" w:ascii="宋体" w:hAnsi="宋体" w:cs="宋体"/>
          <w:b/>
          <w:sz w:val="24"/>
          <w:highlight w:val="none"/>
        </w:rPr>
        <w:t>资格审查条件（项目负责人最低要求）</w:t>
      </w:r>
    </w:p>
    <w:p>
      <w:pPr>
        <w:tabs>
          <w:tab w:val="left" w:pos="1433"/>
        </w:tabs>
        <w:spacing w:before="13"/>
        <w:ind w:left="382" w:right="140"/>
        <w:jc w:val="center"/>
        <w:rPr>
          <w:rFonts w:hint="eastAsia" w:ascii="宋体" w:hAnsi="宋体" w:cs="宋体"/>
          <w:b/>
          <w:sz w:val="24"/>
          <w:highlight w:val="none"/>
        </w:rPr>
      </w:pPr>
    </w:p>
    <w:tbl>
      <w:tblPr>
        <w:tblStyle w:val="8"/>
        <w:tblpPr w:vertAnchor="text" w:tblpX="-253" w:tblpY="1"/>
        <w:tblW w:w="95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0" w:type="dxa"/>
          <w:bottom w:w="0" w:type="dxa"/>
          <w:right w:w="0" w:type="dxa"/>
        </w:tblCellMar>
      </w:tblPr>
      <w:tblGrid>
        <w:gridCol w:w="866"/>
        <w:gridCol w:w="1661"/>
        <w:gridCol w:w="749"/>
        <w:gridCol w:w="623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714" w:hRule="exact"/>
        </w:trPr>
        <w:tc>
          <w:tcPr>
            <w:tcW w:w="866" w:type="dxa"/>
            <w:vAlign w:val="center"/>
          </w:tcPr>
          <w:p>
            <w:pPr>
              <w:keepNext w:val="0"/>
              <w:keepLines w:val="0"/>
              <w:suppressLineNumbers w:val="0"/>
              <w:spacing w:before="140" w:beforeAutospacing="0" w:after="0" w:afterAutospacing="0" w:line="200" w:lineRule="exact"/>
              <w:ind w:left="0" w:right="0"/>
              <w:jc w:val="center"/>
              <w:rPr>
                <w:rFonts w:hint="eastAsia" w:ascii="宋体" w:hAnsi="宋体" w:cs="宋体"/>
                <w:sz w:val="24"/>
                <w:highlight w:val="none"/>
              </w:rPr>
            </w:pPr>
            <w:r>
              <w:rPr>
                <w:rFonts w:hint="eastAsia" w:ascii="宋体" w:hAnsi="宋体" w:cs="宋体"/>
                <w:sz w:val="24"/>
                <w:highlight w:val="none"/>
              </w:rPr>
              <w:t>序号</w:t>
            </w:r>
          </w:p>
        </w:tc>
        <w:tc>
          <w:tcPr>
            <w:tcW w:w="1661" w:type="dxa"/>
            <w:vAlign w:val="center"/>
          </w:tcPr>
          <w:p>
            <w:pPr>
              <w:keepNext w:val="0"/>
              <w:keepLines w:val="0"/>
              <w:suppressLineNumbers w:val="0"/>
              <w:spacing w:before="140" w:beforeAutospacing="0" w:after="0" w:afterAutospacing="0" w:line="200" w:lineRule="exact"/>
              <w:ind w:left="480" w:right="0"/>
              <w:rPr>
                <w:rFonts w:hint="eastAsia" w:ascii="宋体" w:hAnsi="宋体" w:cs="宋体"/>
                <w:sz w:val="24"/>
                <w:highlight w:val="none"/>
              </w:rPr>
            </w:pPr>
            <w:r>
              <w:rPr>
                <w:rFonts w:hint="eastAsia" w:ascii="宋体" w:hAnsi="宋体" w:cs="宋体"/>
                <w:sz w:val="24"/>
                <w:highlight w:val="none"/>
              </w:rPr>
              <w:t>人员</w:t>
            </w:r>
          </w:p>
        </w:tc>
        <w:tc>
          <w:tcPr>
            <w:tcW w:w="749" w:type="dxa"/>
            <w:vAlign w:val="center"/>
          </w:tcPr>
          <w:p>
            <w:pPr>
              <w:keepNext w:val="0"/>
              <w:keepLines w:val="0"/>
              <w:suppressLineNumbers w:val="0"/>
              <w:spacing w:before="140" w:beforeAutospacing="0" w:after="0" w:afterAutospacing="0" w:line="200" w:lineRule="exact"/>
              <w:ind w:left="2" w:right="0"/>
              <w:jc w:val="center"/>
              <w:rPr>
                <w:rFonts w:hint="eastAsia" w:ascii="宋体" w:hAnsi="宋体" w:cs="宋体"/>
                <w:sz w:val="24"/>
                <w:highlight w:val="none"/>
              </w:rPr>
            </w:pPr>
            <w:r>
              <w:rPr>
                <w:rFonts w:hint="eastAsia" w:ascii="宋体" w:hAnsi="宋体" w:cs="宋体"/>
                <w:sz w:val="24"/>
                <w:highlight w:val="none"/>
              </w:rPr>
              <w:t>数量</w:t>
            </w:r>
          </w:p>
        </w:tc>
        <w:tc>
          <w:tcPr>
            <w:tcW w:w="6237" w:type="dxa"/>
            <w:vAlign w:val="center"/>
          </w:tcPr>
          <w:p>
            <w:pPr>
              <w:keepNext w:val="0"/>
              <w:keepLines w:val="0"/>
              <w:suppressLineNumbers w:val="0"/>
              <w:spacing w:before="140" w:beforeAutospacing="0" w:after="0" w:afterAutospacing="0" w:line="200" w:lineRule="exact"/>
              <w:ind w:left="1560" w:right="0"/>
              <w:rPr>
                <w:rFonts w:hint="eastAsia" w:ascii="宋体" w:hAnsi="宋体" w:cs="宋体"/>
                <w:sz w:val="24"/>
                <w:highlight w:val="none"/>
              </w:rPr>
            </w:pPr>
            <w:r>
              <w:rPr>
                <w:rFonts w:hint="eastAsia" w:ascii="宋体" w:hAnsi="宋体" w:cs="宋体"/>
                <w:sz w:val="24"/>
                <w:highlight w:val="none"/>
              </w:rPr>
              <w:t>资格要求</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2288" w:hRule="exact"/>
        </w:trPr>
        <w:tc>
          <w:tcPr>
            <w:tcW w:w="866" w:type="dxa"/>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cs="宋体"/>
                <w:kern w:val="0"/>
                <w:sz w:val="24"/>
                <w:highlight w:val="none"/>
              </w:rPr>
            </w:pPr>
            <w:r>
              <w:rPr>
                <w:rFonts w:hint="eastAsia" w:ascii="宋体" w:hAnsi="宋体" w:cs="宋体"/>
                <w:kern w:val="0"/>
                <w:sz w:val="24"/>
                <w:highlight w:val="none"/>
              </w:rPr>
              <w:t>1</w:t>
            </w:r>
          </w:p>
        </w:tc>
        <w:tc>
          <w:tcPr>
            <w:tcW w:w="1661" w:type="dxa"/>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cs="宋体"/>
                <w:kern w:val="0"/>
                <w:sz w:val="24"/>
                <w:highlight w:val="none"/>
              </w:rPr>
            </w:pPr>
            <w:r>
              <w:rPr>
                <w:rFonts w:hint="eastAsia" w:ascii="宋体" w:hAnsi="宋体" w:cs="宋体"/>
                <w:kern w:val="0"/>
                <w:sz w:val="24"/>
                <w:highlight w:val="none"/>
              </w:rPr>
              <w:t>项目负责人</w:t>
            </w:r>
          </w:p>
        </w:tc>
        <w:tc>
          <w:tcPr>
            <w:tcW w:w="749" w:type="dxa"/>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cs="宋体"/>
                <w:kern w:val="0"/>
                <w:sz w:val="24"/>
                <w:highlight w:val="none"/>
              </w:rPr>
            </w:pPr>
            <w:r>
              <w:rPr>
                <w:rFonts w:hint="eastAsia" w:ascii="宋体" w:hAnsi="宋体" w:cs="宋体"/>
                <w:kern w:val="0"/>
                <w:sz w:val="24"/>
                <w:highlight w:val="none"/>
              </w:rPr>
              <w:t>1</w:t>
            </w:r>
          </w:p>
        </w:tc>
        <w:tc>
          <w:tcPr>
            <w:tcW w:w="6237" w:type="dxa"/>
            <w:vAlign w:val="center"/>
          </w:tcPr>
          <w:p>
            <w:pPr>
              <w:keepNext w:val="0"/>
              <w:keepLines w:val="0"/>
              <w:suppressLineNumbers w:val="0"/>
              <w:snapToGrid w:val="0"/>
              <w:spacing w:before="0" w:beforeAutospacing="0" w:after="0" w:afterAutospacing="0" w:line="360" w:lineRule="auto"/>
              <w:ind w:left="0" w:right="0"/>
              <w:rPr>
                <w:rFonts w:hint="eastAsia" w:ascii="宋体" w:hAnsi="宋体" w:cs="宋体"/>
                <w:kern w:val="0"/>
                <w:sz w:val="24"/>
                <w:highlight w:val="none"/>
              </w:rPr>
            </w:pPr>
            <w:r>
              <w:rPr>
                <w:rFonts w:hint="eastAsia" w:ascii="宋体" w:hAnsi="宋体"/>
                <w:sz w:val="24"/>
                <w:highlight w:val="none"/>
              </w:rPr>
              <w:t>具有高级或以上技术职称，持有住房和城乡建设部颁发的注册造价工程师证书，具有8年及以上工程造价审计工作经验，作为项目负责人至少担任过1个国内道路工程建设项目的造价审计工作。</w:t>
            </w:r>
          </w:p>
        </w:tc>
      </w:tr>
    </w:tbl>
    <w:p>
      <w:pPr>
        <w:pStyle w:val="4"/>
        <w:spacing w:line="240" w:lineRule="auto"/>
        <w:jc w:val="center"/>
        <w:rPr>
          <w:rFonts w:hint="eastAsia" w:ascii="宋体" w:hAnsi="宋体" w:cs="宋体"/>
          <w:sz w:val="24"/>
          <w:szCs w:val="28"/>
          <w:highlight w:val="none"/>
        </w:rPr>
      </w:pPr>
    </w:p>
    <w:p>
      <w:pPr>
        <w:pStyle w:val="4"/>
        <w:spacing w:line="240" w:lineRule="auto"/>
        <w:jc w:val="center"/>
        <w:rPr>
          <w:rFonts w:hint="eastAsia" w:ascii="宋体" w:hAnsi="宋体" w:cs="宋体"/>
          <w:iCs/>
          <w:snapToGrid w:val="0"/>
          <w:kern w:val="0"/>
          <w:sz w:val="24"/>
          <w:szCs w:val="28"/>
          <w:highlight w:val="none"/>
        </w:rPr>
      </w:pPr>
      <w:r>
        <w:rPr>
          <w:rFonts w:hint="eastAsia" w:ascii="宋体" w:hAnsi="宋体" w:cs="宋体"/>
          <w:sz w:val="24"/>
          <w:szCs w:val="28"/>
          <w:highlight w:val="none"/>
        </w:rPr>
        <w:t>附录5 资格审查条件（主要设备、设施最低要求）</w:t>
      </w:r>
    </w:p>
    <w:tbl>
      <w:tblPr>
        <w:tblStyle w:val="8"/>
        <w:tblW w:w="9498"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10"/>
        <w:gridCol w:w="4252"/>
        <w:gridCol w:w="992"/>
        <w:gridCol w:w="1843"/>
        <w:gridCol w:w="170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04" w:hRule="atLeast"/>
        </w:trPr>
        <w:tc>
          <w:tcPr>
            <w:tcW w:w="710" w:type="dxa"/>
            <w:vAlign w:val="center"/>
          </w:tcPr>
          <w:p>
            <w:pPr>
              <w:keepNext w:val="0"/>
              <w:keepLines w:val="0"/>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序号</w:t>
            </w:r>
          </w:p>
        </w:tc>
        <w:tc>
          <w:tcPr>
            <w:tcW w:w="4252" w:type="dxa"/>
            <w:vAlign w:val="center"/>
          </w:tcPr>
          <w:p>
            <w:pPr>
              <w:keepNext w:val="0"/>
              <w:keepLines w:val="0"/>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要求标准</w:t>
            </w:r>
          </w:p>
        </w:tc>
        <w:tc>
          <w:tcPr>
            <w:tcW w:w="992" w:type="dxa"/>
            <w:vAlign w:val="center"/>
          </w:tcPr>
          <w:p>
            <w:pPr>
              <w:keepNext w:val="0"/>
              <w:keepLines w:val="0"/>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单位</w:t>
            </w:r>
          </w:p>
        </w:tc>
        <w:tc>
          <w:tcPr>
            <w:tcW w:w="1843" w:type="dxa"/>
            <w:vAlign w:val="center"/>
          </w:tcPr>
          <w:p>
            <w:pPr>
              <w:keepNext w:val="0"/>
              <w:keepLines w:val="0"/>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最低数量要求</w:t>
            </w:r>
          </w:p>
        </w:tc>
        <w:tc>
          <w:tcPr>
            <w:tcW w:w="1701" w:type="dxa"/>
            <w:vAlign w:val="center"/>
          </w:tcPr>
          <w:p>
            <w:pPr>
              <w:keepNext w:val="0"/>
              <w:keepLines w:val="0"/>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 xml:space="preserve">由投标人填写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6" w:hRule="atLeast"/>
        </w:trPr>
        <w:tc>
          <w:tcPr>
            <w:tcW w:w="710" w:type="dxa"/>
            <w:vAlign w:val="center"/>
          </w:tcPr>
          <w:p>
            <w:pPr>
              <w:keepNext w:val="0"/>
              <w:keepLines w:val="0"/>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1</w:t>
            </w:r>
          </w:p>
        </w:tc>
        <w:tc>
          <w:tcPr>
            <w:tcW w:w="4252" w:type="dxa"/>
            <w:vAlign w:val="center"/>
          </w:tcPr>
          <w:p>
            <w:pPr>
              <w:keepNext w:val="0"/>
              <w:keepLines w:val="0"/>
              <w:suppressLineNumbers w:val="0"/>
              <w:spacing w:before="0" w:beforeAutospacing="0" w:after="0" w:afterAutospacing="0"/>
              <w:ind w:left="0" w:right="0"/>
              <w:rPr>
                <w:rFonts w:hint="eastAsia" w:ascii="宋体" w:hAnsi="宋体" w:cs="宋体"/>
                <w:kern w:val="0"/>
                <w:sz w:val="24"/>
                <w:highlight w:val="none"/>
              </w:rPr>
            </w:pPr>
            <w:r>
              <w:rPr>
                <w:rFonts w:hint="eastAsia" w:ascii="宋体" w:hAnsi="宋体" w:cs="宋体"/>
                <w:kern w:val="0"/>
                <w:sz w:val="24"/>
                <w:highlight w:val="none"/>
              </w:rPr>
              <w:t>台式电脑</w:t>
            </w:r>
          </w:p>
        </w:tc>
        <w:tc>
          <w:tcPr>
            <w:tcW w:w="992" w:type="dxa"/>
            <w:vAlign w:val="center"/>
          </w:tcPr>
          <w:p>
            <w:pPr>
              <w:keepNext w:val="0"/>
              <w:keepLines w:val="0"/>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台</w:t>
            </w:r>
          </w:p>
        </w:tc>
        <w:tc>
          <w:tcPr>
            <w:tcW w:w="1843" w:type="dxa"/>
            <w:vAlign w:val="center"/>
          </w:tcPr>
          <w:p>
            <w:pPr>
              <w:keepNext w:val="0"/>
              <w:keepLines w:val="0"/>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8</w:t>
            </w:r>
          </w:p>
        </w:tc>
        <w:tc>
          <w:tcPr>
            <w:tcW w:w="1701" w:type="dxa"/>
            <w:vAlign w:val="center"/>
          </w:tcPr>
          <w:p>
            <w:pPr>
              <w:keepNext w:val="0"/>
              <w:keepLines w:val="0"/>
              <w:suppressLineNumbers w:val="0"/>
              <w:spacing w:before="0" w:beforeAutospacing="0" w:after="0" w:afterAutospacing="0"/>
              <w:ind w:left="0" w:right="0"/>
              <w:rPr>
                <w:rFonts w:hint="eastAsia" w:ascii="宋体" w:hAnsi="宋体" w:cs="宋体"/>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34" w:hRule="atLeast"/>
        </w:trPr>
        <w:tc>
          <w:tcPr>
            <w:tcW w:w="710" w:type="dxa"/>
            <w:vAlign w:val="center"/>
          </w:tcPr>
          <w:p>
            <w:pPr>
              <w:keepNext w:val="0"/>
              <w:keepLines w:val="0"/>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2</w:t>
            </w:r>
          </w:p>
        </w:tc>
        <w:tc>
          <w:tcPr>
            <w:tcW w:w="4252" w:type="dxa"/>
            <w:vAlign w:val="center"/>
          </w:tcPr>
          <w:p>
            <w:pPr>
              <w:keepNext w:val="0"/>
              <w:keepLines w:val="0"/>
              <w:suppressLineNumbers w:val="0"/>
              <w:spacing w:before="0" w:beforeAutospacing="0" w:after="0" w:afterAutospacing="0"/>
              <w:ind w:left="0" w:right="0"/>
              <w:rPr>
                <w:rFonts w:hint="eastAsia" w:ascii="宋体" w:hAnsi="宋体" w:cs="宋体"/>
                <w:kern w:val="0"/>
                <w:sz w:val="24"/>
                <w:highlight w:val="none"/>
              </w:rPr>
            </w:pPr>
            <w:r>
              <w:rPr>
                <w:rFonts w:hint="eastAsia" w:ascii="宋体" w:hAnsi="宋体" w:cs="宋体"/>
                <w:kern w:val="0"/>
                <w:sz w:val="24"/>
                <w:highlight w:val="none"/>
              </w:rPr>
              <w:t>手提电脑</w:t>
            </w:r>
          </w:p>
        </w:tc>
        <w:tc>
          <w:tcPr>
            <w:tcW w:w="992" w:type="dxa"/>
            <w:vAlign w:val="center"/>
          </w:tcPr>
          <w:p>
            <w:pPr>
              <w:keepNext w:val="0"/>
              <w:keepLines w:val="0"/>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台</w:t>
            </w:r>
          </w:p>
        </w:tc>
        <w:tc>
          <w:tcPr>
            <w:tcW w:w="1843" w:type="dxa"/>
            <w:vAlign w:val="center"/>
          </w:tcPr>
          <w:p>
            <w:pPr>
              <w:keepNext w:val="0"/>
              <w:keepLines w:val="0"/>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4</w:t>
            </w:r>
          </w:p>
        </w:tc>
        <w:tc>
          <w:tcPr>
            <w:tcW w:w="1701" w:type="dxa"/>
            <w:vAlign w:val="center"/>
          </w:tcPr>
          <w:p>
            <w:pPr>
              <w:keepNext w:val="0"/>
              <w:keepLines w:val="0"/>
              <w:suppressLineNumbers w:val="0"/>
              <w:spacing w:before="0" w:beforeAutospacing="0" w:after="0" w:afterAutospacing="0"/>
              <w:ind w:left="0" w:right="0"/>
              <w:rPr>
                <w:rFonts w:hint="eastAsia" w:ascii="宋体" w:hAnsi="宋体" w:cs="宋体"/>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2" w:hRule="atLeast"/>
        </w:trPr>
        <w:tc>
          <w:tcPr>
            <w:tcW w:w="710" w:type="dxa"/>
            <w:vAlign w:val="center"/>
          </w:tcPr>
          <w:p>
            <w:pPr>
              <w:keepNext w:val="0"/>
              <w:keepLines w:val="0"/>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3</w:t>
            </w:r>
          </w:p>
        </w:tc>
        <w:tc>
          <w:tcPr>
            <w:tcW w:w="4252" w:type="dxa"/>
            <w:vAlign w:val="center"/>
          </w:tcPr>
          <w:p>
            <w:pPr>
              <w:keepNext w:val="0"/>
              <w:keepLines w:val="0"/>
              <w:suppressLineNumbers w:val="0"/>
              <w:spacing w:before="0" w:beforeAutospacing="0" w:after="0" w:afterAutospacing="0"/>
              <w:ind w:left="0" w:right="0"/>
              <w:rPr>
                <w:rFonts w:hint="eastAsia" w:ascii="宋体" w:hAnsi="宋体" w:cs="宋体"/>
                <w:kern w:val="0"/>
                <w:sz w:val="24"/>
                <w:highlight w:val="none"/>
              </w:rPr>
            </w:pPr>
            <w:r>
              <w:rPr>
                <w:rFonts w:hint="eastAsia" w:ascii="宋体" w:hAnsi="宋体" w:cs="宋体"/>
                <w:kern w:val="0"/>
                <w:sz w:val="24"/>
                <w:highlight w:val="none"/>
              </w:rPr>
              <w:t>打印机</w:t>
            </w:r>
          </w:p>
        </w:tc>
        <w:tc>
          <w:tcPr>
            <w:tcW w:w="992" w:type="dxa"/>
            <w:vAlign w:val="center"/>
          </w:tcPr>
          <w:p>
            <w:pPr>
              <w:keepNext w:val="0"/>
              <w:keepLines w:val="0"/>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台</w:t>
            </w:r>
          </w:p>
        </w:tc>
        <w:tc>
          <w:tcPr>
            <w:tcW w:w="1843" w:type="dxa"/>
            <w:vAlign w:val="center"/>
          </w:tcPr>
          <w:p>
            <w:pPr>
              <w:keepNext w:val="0"/>
              <w:keepLines w:val="0"/>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2</w:t>
            </w:r>
          </w:p>
        </w:tc>
        <w:tc>
          <w:tcPr>
            <w:tcW w:w="1701" w:type="dxa"/>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cs="宋体"/>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2" w:hRule="atLeast"/>
        </w:trPr>
        <w:tc>
          <w:tcPr>
            <w:tcW w:w="710" w:type="dxa"/>
            <w:vAlign w:val="center"/>
          </w:tcPr>
          <w:p>
            <w:pPr>
              <w:keepNext w:val="0"/>
              <w:keepLines w:val="0"/>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4</w:t>
            </w:r>
          </w:p>
        </w:tc>
        <w:tc>
          <w:tcPr>
            <w:tcW w:w="4252" w:type="dxa"/>
            <w:vAlign w:val="center"/>
          </w:tcPr>
          <w:p>
            <w:pPr>
              <w:keepNext w:val="0"/>
              <w:keepLines w:val="0"/>
              <w:suppressLineNumbers w:val="0"/>
              <w:spacing w:before="0" w:beforeAutospacing="0" w:after="0" w:afterAutospacing="0"/>
              <w:ind w:left="0" w:right="0"/>
              <w:rPr>
                <w:rFonts w:hint="eastAsia" w:ascii="宋体" w:hAnsi="宋体" w:cs="宋体"/>
                <w:kern w:val="0"/>
                <w:sz w:val="24"/>
                <w:highlight w:val="none"/>
              </w:rPr>
            </w:pPr>
            <w:r>
              <w:rPr>
                <w:rFonts w:hint="eastAsia" w:ascii="宋体" w:hAnsi="宋体" w:cs="宋体"/>
                <w:kern w:val="0"/>
                <w:sz w:val="24"/>
                <w:highlight w:val="none"/>
              </w:rPr>
              <w:t>复印机</w:t>
            </w:r>
          </w:p>
        </w:tc>
        <w:tc>
          <w:tcPr>
            <w:tcW w:w="992" w:type="dxa"/>
            <w:vAlign w:val="center"/>
          </w:tcPr>
          <w:p>
            <w:pPr>
              <w:keepNext w:val="0"/>
              <w:keepLines w:val="0"/>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台</w:t>
            </w:r>
          </w:p>
        </w:tc>
        <w:tc>
          <w:tcPr>
            <w:tcW w:w="1843" w:type="dxa"/>
            <w:vAlign w:val="center"/>
          </w:tcPr>
          <w:p>
            <w:pPr>
              <w:keepNext w:val="0"/>
              <w:keepLines w:val="0"/>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1</w:t>
            </w:r>
          </w:p>
        </w:tc>
        <w:tc>
          <w:tcPr>
            <w:tcW w:w="1701" w:type="dxa"/>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cs="宋体"/>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2" w:hRule="atLeast"/>
        </w:trPr>
        <w:tc>
          <w:tcPr>
            <w:tcW w:w="710" w:type="dxa"/>
            <w:vAlign w:val="center"/>
          </w:tcPr>
          <w:p>
            <w:pPr>
              <w:keepNext w:val="0"/>
              <w:keepLines w:val="0"/>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5</w:t>
            </w:r>
          </w:p>
        </w:tc>
        <w:tc>
          <w:tcPr>
            <w:tcW w:w="4252" w:type="dxa"/>
            <w:vAlign w:val="center"/>
          </w:tcPr>
          <w:p>
            <w:pPr>
              <w:keepNext w:val="0"/>
              <w:keepLines w:val="0"/>
              <w:suppressLineNumbers w:val="0"/>
              <w:spacing w:before="0" w:beforeAutospacing="0" w:after="0" w:afterAutospacing="0"/>
              <w:ind w:left="0" w:right="0"/>
              <w:rPr>
                <w:rFonts w:hint="eastAsia" w:ascii="宋体" w:hAnsi="宋体" w:cs="宋体"/>
                <w:kern w:val="0"/>
                <w:sz w:val="24"/>
                <w:highlight w:val="none"/>
              </w:rPr>
            </w:pPr>
            <w:r>
              <w:rPr>
                <w:rFonts w:hint="eastAsia" w:ascii="宋体" w:hAnsi="宋体" w:cs="宋体"/>
                <w:kern w:val="0"/>
                <w:sz w:val="24"/>
                <w:highlight w:val="none"/>
              </w:rPr>
              <w:t>专用公务车</w:t>
            </w:r>
          </w:p>
        </w:tc>
        <w:tc>
          <w:tcPr>
            <w:tcW w:w="992" w:type="dxa"/>
            <w:vAlign w:val="center"/>
          </w:tcPr>
          <w:p>
            <w:pPr>
              <w:keepNext w:val="0"/>
              <w:keepLines w:val="0"/>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辆</w:t>
            </w:r>
          </w:p>
        </w:tc>
        <w:tc>
          <w:tcPr>
            <w:tcW w:w="1843" w:type="dxa"/>
            <w:vAlign w:val="center"/>
          </w:tcPr>
          <w:p>
            <w:pPr>
              <w:keepNext w:val="0"/>
              <w:keepLines w:val="0"/>
              <w:suppressLineNumbers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1</w:t>
            </w:r>
          </w:p>
        </w:tc>
        <w:tc>
          <w:tcPr>
            <w:tcW w:w="1701" w:type="dxa"/>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cs="宋体"/>
                <w:kern w:val="0"/>
                <w:sz w:val="24"/>
                <w:highlight w:val="none"/>
              </w:rPr>
            </w:pPr>
          </w:p>
        </w:tc>
      </w:tr>
    </w:tbl>
    <w:p>
      <w:pPr>
        <w:spacing w:line="360" w:lineRule="auto"/>
        <w:ind w:firstLine="422" w:firstLineChars="200"/>
        <w:contextualSpacing/>
        <w:rPr>
          <w:rFonts w:hint="eastAsia" w:ascii="宋体" w:hAnsi="宋体" w:cs="宋体"/>
          <w:b/>
          <w:bCs/>
          <w:szCs w:val="21"/>
          <w:highlight w:val="none"/>
        </w:rPr>
      </w:pPr>
    </w:p>
    <w:p>
      <w:pPr>
        <w:ind w:firstLine="422" w:firstLineChars="200"/>
        <w:contextualSpacing/>
        <w:rPr>
          <w:rFonts w:hint="eastAsia" w:ascii="宋体" w:hAnsi="宋体" w:cs="宋体"/>
          <w:b/>
          <w:bCs/>
          <w:szCs w:val="21"/>
          <w:highlight w:val="none"/>
        </w:rPr>
      </w:pPr>
      <w:r>
        <w:rPr>
          <w:rFonts w:hint="eastAsia" w:ascii="宋体" w:hAnsi="宋体" w:cs="宋体"/>
          <w:b/>
          <w:bCs/>
          <w:szCs w:val="21"/>
          <w:highlight w:val="none"/>
        </w:rPr>
        <w:t>注：</w:t>
      </w:r>
    </w:p>
    <w:p>
      <w:pPr>
        <w:ind w:firstLine="422" w:firstLineChars="200"/>
        <w:contextualSpacing/>
        <w:rPr>
          <w:rFonts w:hint="eastAsia" w:ascii="宋体" w:hAnsi="宋体" w:cs="宋体"/>
          <w:b/>
          <w:bCs/>
          <w:szCs w:val="21"/>
          <w:highlight w:val="none"/>
        </w:rPr>
      </w:pPr>
      <w:r>
        <w:rPr>
          <w:rFonts w:hint="eastAsia" w:ascii="宋体" w:hAnsi="宋体" w:cs="宋体"/>
          <w:b/>
          <w:bCs/>
          <w:szCs w:val="21"/>
          <w:highlight w:val="none"/>
        </w:rPr>
        <w:t>1.本次招标不审查主要设备、设施，但投标人应按投标文件格式提供承诺书。在中标通知书发出之日起10日内，招标人将进行实地考察，若不具备以上条件，将取消投标人中标资格，没收其投标保证金；</w:t>
      </w:r>
    </w:p>
    <w:p>
      <w:pPr>
        <w:ind w:firstLine="422" w:firstLineChars="200"/>
        <w:contextualSpacing/>
        <w:rPr>
          <w:rFonts w:hint="eastAsia" w:ascii="宋体" w:hAnsi="宋体" w:cs="宋体"/>
          <w:b/>
          <w:bCs/>
          <w:szCs w:val="21"/>
          <w:highlight w:val="none"/>
        </w:rPr>
      </w:pPr>
      <w:r>
        <w:rPr>
          <w:rFonts w:hint="eastAsia" w:ascii="宋体" w:hAnsi="宋体" w:cs="宋体"/>
          <w:b/>
          <w:bCs/>
          <w:szCs w:val="21"/>
          <w:highlight w:val="none"/>
        </w:rPr>
        <w:t>2.投标人所配备的主要办公设备、交通工具不局限于上表要求，可根据工作具体情况和工作实际需要配置，但不得少于和低于上述配置要求。</w:t>
      </w:r>
    </w:p>
    <w:p>
      <w:pPr>
        <w:pStyle w:val="2"/>
        <w:rPr>
          <w:rFonts w:ascii="宋体" w:hAnsi="宋体" w:cs="宋体"/>
          <w:highlight w:val="none"/>
        </w:rPr>
        <w:sectPr>
          <w:headerReference r:id="rId3" w:type="default"/>
          <w:footerReference r:id="rId4" w:type="default"/>
          <w:pgSz w:w="11907" w:h="16840"/>
          <w:pgMar w:top="1531" w:right="1418" w:bottom="1361" w:left="1418" w:header="720" w:footer="720" w:gutter="0"/>
          <w:cols w:space="720" w:num="1"/>
          <w:docGrid w:linePitch="285" w:charSpace="0"/>
        </w:sectPr>
      </w:pPr>
    </w:p>
    <w:p>
      <w:pPr>
        <w:tabs>
          <w:tab w:val="left" w:pos="1433"/>
        </w:tabs>
        <w:spacing w:line="360" w:lineRule="auto"/>
        <w:ind w:firstLine="482" w:firstLineChars="200"/>
        <w:jc w:val="center"/>
        <w:rPr>
          <w:rFonts w:hint="eastAsia" w:ascii="宋体" w:hAnsi="宋体" w:cs="宋体"/>
          <w:b/>
          <w:sz w:val="24"/>
          <w:highlight w:val="none"/>
        </w:rPr>
      </w:pPr>
      <w:r>
        <w:rPr>
          <w:rFonts w:hint="eastAsia" w:ascii="宋体" w:hAnsi="宋体" w:cs="宋体"/>
          <w:b/>
          <w:sz w:val="24"/>
          <w:highlight w:val="none"/>
        </w:rPr>
        <w:t>附录 6</w:t>
      </w:r>
      <w:r>
        <w:rPr>
          <w:rFonts w:hint="eastAsia" w:ascii="宋体" w:hAnsi="宋体" w:cs="宋体"/>
          <w:b/>
          <w:sz w:val="24"/>
          <w:highlight w:val="none"/>
        </w:rPr>
        <w:tab/>
      </w:r>
      <w:r>
        <w:rPr>
          <w:rFonts w:hint="eastAsia" w:ascii="宋体" w:hAnsi="宋体" w:cs="宋体"/>
          <w:b/>
          <w:sz w:val="24"/>
          <w:highlight w:val="none"/>
        </w:rPr>
        <w:t xml:space="preserve"> 收费项目和收费标准值表</w:t>
      </w:r>
    </w:p>
    <w:p>
      <w:pPr>
        <w:tabs>
          <w:tab w:val="left" w:pos="1433"/>
        </w:tabs>
        <w:spacing w:before="13"/>
        <w:ind w:left="382" w:right="140"/>
        <w:jc w:val="center"/>
        <w:rPr>
          <w:rFonts w:hint="eastAsia" w:ascii="宋体" w:hAnsi="宋体" w:cs="宋体"/>
          <w:b/>
          <w:sz w:val="27"/>
          <w:szCs w:val="27"/>
          <w:highlight w:val="none"/>
        </w:rPr>
      </w:pPr>
    </w:p>
    <w:tbl>
      <w:tblPr>
        <w:tblStyle w:val="8"/>
        <w:tblpPr w:leftFromText="180" w:rightFromText="180" w:vertAnchor="text" w:horzAnchor="page" w:tblpXSpec="center" w:tblpY="363"/>
        <w:tblOverlap w:val="never"/>
        <w:tblW w:w="1452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28" w:type="dxa"/>
          <w:bottom w:w="0" w:type="dxa"/>
          <w:right w:w="28" w:type="dxa"/>
        </w:tblCellMar>
      </w:tblPr>
      <w:tblGrid>
        <w:gridCol w:w="848"/>
        <w:gridCol w:w="1478"/>
        <w:gridCol w:w="2316"/>
        <w:gridCol w:w="1059"/>
        <w:gridCol w:w="1014"/>
        <w:gridCol w:w="971"/>
        <w:gridCol w:w="941"/>
        <w:gridCol w:w="1015"/>
        <w:gridCol w:w="985"/>
        <w:gridCol w:w="985"/>
        <w:gridCol w:w="956"/>
        <w:gridCol w:w="971"/>
        <w:gridCol w:w="98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28" w:type="dxa"/>
            <w:bottom w:w="0" w:type="dxa"/>
            <w:right w:w="28" w:type="dxa"/>
          </w:tblCellMar>
        </w:tblPrEx>
        <w:trPr>
          <w:trHeight w:val="1247" w:hRule="atLeast"/>
          <w:jc w:val="center"/>
        </w:trPr>
        <w:tc>
          <w:tcPr>
            <w:tcW w:w="848" w:type="dxa"/>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序号</w:t>
            </w:r>
          </w:p>
        </w:tc>
        <w:tc>
          <w:tcPr>
            <w:tcW w:w="1478"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项目名称</w:t>
            </w:r>
          </w:p>
        </w:tc>
        <w:tc>
          <w:tcPr>
            <w:tcW w:w="2316"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收费基数</w:t>
            </w:r>
          </w:p>
        </w:tc>
        <w:tc>
          <w:tcPr>
            <w:tcW w:w="1059"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kern w:val="0"/>
                <w:sz w:val="24"/>
                <w:highlight w:val="none"/>
                <w:lang w:eastAsia="zh-CN"/>
              </w:rPr>
            </w:pPr>
            <w:r>
              <w:rPr>
                <w:rFonts w:hint="eastAsia" w:ascii="宋体" w:hAnsi="宋体" w:cs="宋体"/>
                <w:kern w:val="0"/>
                <w:sz w:val="24"/>
                <w:highlight w:val="none"/>
              </w:rPr>
              <w:t>1</w:t>
            </w:r>
            <w:r>
              <w:rPr>
                <w:rFonts w:hint="eastAsia" w:ascii="宋体" w:hAnsi="宋体" w:cs="宋体"/>
                <w:kern w:val="0"/>
                <w:sz w:val="24"/>
                <w:highlight w:val="none"/>
                <w:lang w:eastAsia="zh-CN"/>
              </w:rPr>
              <w:t>万</w:t>
            </w:r>
          </w:p>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24"/>
                <w:highlight w:val="none"/>
              </w:rPr>
            </w:pPr>
            <w:r>
              <w:rPr>
                <w:rFonts w:hint="eastAsia" w:ascii="宋体" w:hAnsi="宋体" w:cs="宋体"/>
                <w:kern w:val="0"/>
                <w:sz w:val="24"/>
                <w:highlight w:val="none"/>
              </w:rPr>
              <w:t>-</w:t>
            </w:r>
          </w:p>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24"/>
                <w:highlight w:val="none"/>
              </w:rPr>
            </w:pPr>
            <w:r>
              <w:rPr>
                <w:rFonts w:hint="eastAsia" w:ascii="宋体" w:hAnsi="宋体" w:cs="宋体"/>
                <w:kern w:val="0"/>
                <w:sz w:val="24"/>
                <w:highlight w:val="none"/>
              </w:rPr>
              <w:t>500万</w:t>
            </w:r>
          </w:p>
        </w:tc>
        <w:tc>
          <w:tcPr>
            <w:tcW w:w="1014"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24"/>
                <w:highlight w:val="none"/>
              </w:rPr>
            </w:pPr>
            <w:r>
              <w:rPr>
                <w:rFonts w:hint="eastAsia" w:ascii="宋体" w:hAnsi="宋体" w:cs="宋体"/>
                <w:kern w:val="0"/>
                <w:sz w:val="24"/>
                <w:highlight w:val="none"/>
              </w:rPr>
              <w:t>501万</w:t>
            </w:r>
          </w:p>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24"/>
                <w:highlight w:val="none"/>
              </w:rPr>
            </w:pPr>
            <w:r>
              <w:rPr>
                <w:rFonts w:hint="eastAsia" w:ascii="宋体" w:hAnsi="宋体" w:cs="宋体"/>
                <w:kern w:val="0"/>
                <w:sz w:val="24"/>
                <w:highlight w:val="none"/>
              </w:rPr>
              <w:t>-</w:t>
            </w:r>
          </w:p>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24"/>
                <w:highlight w:val="none"/>
              </w:rPr>
            </w:pPr>
            <w:r>
              <w:rPr>
                <w:rFonts w:hint="eastAsia" w:ascii="宋体" w:hAnsi="宋体" w:cs="宋体"/>
                <w:kern w:val="0"/>
                <w:sz w:val="24"/>
                <w:highlight w:val="none"/>
              </w:rPr>
              <w:t>1000万</w:t>
            </w:r>
          </w:p>
        </w:tc>
        <w:tc>
          <w:tcPr>
            <w:tcW w:w="971"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24"/>
                <w:highlight w:val="none"/>
              </w:rPr>
            </w:pPr>
            <w:r>
              <w:rPr>
                <w:rFonts w:hint="eastAsia" w:ascii="宋体" w:hAnsi="宋体" w:cs="宋体"/>
                <w:kern w:val="0"/>
                <w:sz w:val="24"/>
                <w:highlight w:val="none"/>
              </w:rPr>
              <w:t>1001万</w:t>
            </w:r>
          </w:p>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24"/>
                <w:highlight w:val="none"/>
              </w:rPr>
            </w:pPr>
            <w:r>
              <w:rPr>
                <w:rFonts w:hint="eastAsia" w:ascii="宋体" w:hAnsi="宋体" w:cs="宋体"/>
                <w:kern w:val="0"/>
                <w:sz w:val="24"/>
                <w:highlight w:val="none"/>
              </w:rPr>
              <w:t>-</w:t>
            </w:r>
          </w:p>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24"/>
                <w:highlight w:val="none"/>
              </w:rPr>
            </w:pPr>
            <w:r>
              <w:rPr>
                <w:rFonts w:hint="eastAsia" w:ascii="宋体" w:hAnsi="宋体" w:cs="宋体"/>
                <w:kern w:val="0"/>
                <w:sz w:val="24"/>
                <w:highlight w:val="none"/>
              </w:rPr>
              <w:t>5000万</w:t>
            </w:r>
          </w:p>
        </w:tc>
        <w:tc>
          <w:tcPr>
            <w:tcW w:w="941"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24"/>
                <w:highlight w:val="none"/>
              </w:rPr>
            </w:pPr>
            <w:r>
              <w:rPr>
                <w:rFonts w:hint="eastAsia" w:ascii="宋体" w:hAnsi="宋体" w:cs="宋体"/>
                <w:kern w:val="0"/>
                <w:sz w:val="24"/>
                <w:highlight w:val="none"/>
              </w:rPr>
              <w:t>5001万</w:t>
            </w:r>
          </w:p>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24"/>
                <w:highlight w:val="none"/>
              </w:rPr>
            </w:pPr>
            <w:r>
              <w:rPr>
                <w:rFonts w:hint="eastAsia" w:ascii="宋体" w:hAnsi="宋体" w:cs="宋体"/>
                <w:kern w:val="0"/>
                <w:sz w:val="24"/>
                <w:highlight w:val="none"/>
              </w:rPr>
              <w:t>-</w:t>
            </w:r>
          </w:p>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24"/>
                <w:highlight w:val="none"/>
              </w:rPr>
            </w:pPr>
            <w:r>
              <w:rPr>
                <w:rFonts w:hint="eastAsia" w:ascii="宋体" w:hAnsi="宋体" w:cs="宋体"/>
                <w:kern w:val="0"/>
                <w:sz w:val="24"/>
                <w:highlight w:val="none"/>
              </w:rPr>
              <w:t>10000万</w:t>
            </w:r>
          </w:p>
        </w:tc>
        <w:tc>
          <w:tcPr>
            <w:tcW w:w="1015"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24"/>
                <w:highlight w:val="none"/>
              </w:rPr>
            </w:pPr>
            <w:r>
              <w:rPr>
                <w:rFonts w:hint="eastAsia" w:ascii="宋体" w:hAnsi="宋体" w:cs="宋体"/>
                <w:kern w:val="0"/>
                <w:sz w:val="24"/>
                <w:highlight w:val="none"/>
              </w:rPr>
              <w:t>10001万-</w:t>
            </w:r>
          </w:p>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24"/>
                <w:highlight w:val="none"/>
              </w:rPr>
            </w:pPr>
            <w:r>
              <w:rPr>
                <w:rFonts w:hint="eastAsia" w:ascii="宋体" w:hAnsi="宋体" w:cs="宋体"/>
                <w:kern w:val="0"/>
                <w:sz w:val="24"/>
                <w:highlight w:val="none"/>
              </w:rPr>
              <w:t>50000万</w:t>
            </w:r>
          </w:p>
        </w:tc>
        <w:tc>
          <w:tcPr>
            <w:tcW w:w="985"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24"/>
                <w:highlight w:val="none"/>
              </w:rPr>
            </w:pPr>
            <w:r>
              <w:rPr>
                <w:rFonts w:hint="eastAsia" w:ascii="宋体" w:hAnsi="宋体" w:cs="宋体"/>
                <w:kern w:val="0"/>
                <w:sz w:val="24"/>
                <w:highlight w:val="none"/>
              </w:rPr>
              <w:t>50001万</w:t>
            </w:r>
          </w:p>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24"/>
                <w:highlight w:val="none"/>
              </w:rPr>
            </w:pPr>
            <w:r>
              <w:rPr>
                <w:rFonts w:hint="eastAsia" w:ascii="宋体" w:hAnsi="宋体" w:cs="宋体"/>
                <w:kern w:val="0"/>
                <w:sz w:val="24"/>
                <w:highlight w:val="none"/>
              </w:rPr>
              <w:t>-</w:t>
            </w:r>
          </w:p>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24"/>
                <w:highlight w:val="none"/>
              </w:rPr>
            </w:pPr>
            <w:r>
              <w:rPr>
                <w:rFonts w:hint="eastAsia" w:ascii="宋体" w:hAnsi="宋体" w:cs="宋体"/>
                <w:kern w:val="0"/>
                <w:sz w:val="24"/>
                <w:highlight w:val="none"/>
              </w:rPr>
              <w:t>10亿</w:t>
            </w:r>
          </w:p>
        </w:tc>
        <w:tc>
          <w:tcPr>
            <w:tcW w:w="985" w:type="dxa"/>
            <w:vAlign w:val="center"/>
          </w:tcPr>
          <w:p>
            <w:pPr>
              <w:keepNext w:val="0"/>
              <w:keepLines w:val="0"/>
              <w:suppressLineNumbers w:val="0"/>
              <w:snapToGrid w:val="0"/>
              <w:spacing w:before="0" w:beforeAutospacing="0" w:after="0" w:afterAutospacing="0" w:line="240" w:lineRule="auto"/>
              <w:ind w:left="0" w:right="0"/>
              <w:jc w:val="center"/>
              <w:rPr>
                <w:rFonts w:hint="eastAsia" w:ascii="宋体" w:hAnsi="宋体" w:cs="宋体"/>
                <w:kern w:val="0"/>
                <w:sz w:val="24"/>
                <w:highlight w:val="none"/>
              </w:rPr>
            </w:pPr>
            <w:r>
              <w:rPr>
                <w:rFonts w:hint="eastAsia" w:ascii="宋体" w:hAnsi="宋体" w:cs="宋体"/>
                <w:kern w:val="0"/>
                <w:sz w:val="24"/>
                <w:highlight w:val="none"/>
              </w:rPr>
              <w:t>10亿</w:t>
            </w:r>
          </w:p>
          <w:p>
            <w:pPr>
              <w:keepNext w:val="0"/>
              <w:keepLines w:val="0"/>
              <w:suppressLineNumbers w:val="0"/>
              <w:snapToGrid w:val="0"/>
              <w:spacing w:before="0" w:beforeAutospacing="0" w:after="0" w:afterAutospacing="0" w:line="240" w:lineRule="auto"/>
              <w:ind w:left="0" w:right="0"/>
              <w:jc w:val="center"/>
              <w:rPr>
                <w:rFonts w:hint="eastAsia" w:ascii="宋体" w:hAnsi="宋体" w:cs="宋体"/>
                <w:kern w:val="0"/>
                <w:sz w:val="24"/>
                <w:highlight w:val="none"/>
              </w:rPr>
            </w:pPr>
            <w:r>
              <w:rPr>
                <w:rFonts w:hint="eastAsia" w:ascii="宋体" w:hAnsi="宋体" w:cs="宋体"/>
                <w:kern w:val="0"/>
                <w:sz w:val="24"/>
                <w:highlight w:val="none"/>
              </w:rPr>
              <w:t>-</w:t>
            </w:r>
          </w:p>
          <w:p>
            <w:pPr>
              <w:keepNext w:val="0"/>
              <w:keepLines w:val="0"/>
              <w:suppressLineNumbers w:val="0"/>
              <w:snapToGrid w:val="0"/>
              <w:spacing w:before="0" w:beforeAutospacing="0" w:after="0" w:afterAutospacing="0" w:line="240" w:lineRule="auto"/>
              <w:ind w:left="0" w:right="0"/>
              <w:jc w:val="center"/>
              <w:rPr>
                <w:rFonts w:hint="eastAsia" w:ascii="宋体" w:hAnsi="宋体" w:cs="宋体"/>
                <w:kern w:val="0"/>
                <w:sz w:val="24"/>
                <w:highlight w:val="none"/>
              </w:rPr>
            </w:pPr>
            <w:r>
              <w:rPr>
                <w:rFonts w:hint="eastAsia" w:ascii="宋体" w:hAnsi="宋体" w:cs="宋体"/>
                <w:kern w:val="0"/>
                <w:sz w:val="24"/>
                <w:highlight w:val="none"/>
              </w:rPr>
              <w:t>20亿</w:t>
            </w:r>
          </w:p>
        </w:tc>
        <w:tc>
          <w:tcPr>
            <w:tcW w:w="956"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24"/>
                <w:highlight w:val="none"/>
              </w:rPr>
            </w:pPr>
            <w:r>
              <w:rPr>
                <w:rFonts w:hint="eastAsia" w:ascii="宋体" w:hAnsi="宋体" w:cs="宋体"/>
                <w:kern w:val="0"/>
                <w:sz w:val="24"/>
                <w:highlight w:val="none"/>
              </w:rPr>
              <w:t>20亿</w:t>
            </w:r>
          </w:p>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24"/>
                <w:highlight w:val="none"/>
              </w:rPr>
            </w:pPr>
            <w:r>
              <w:rPr>
                <w:rFonts w:hint="eastAsia" w:ascii="宋体" w:hAnsi="宋体" w:cs="宋体"/>
                <w:kern w:val="0"/>
                <w:sz w:val="24"/>
                <w:highlight w:val="none"/>
              </w:rPr>
              <w:t>-</w:t>
            </w:r>
          </w:p>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24"/>
                <w:highlight w:val="none"/>
              </w:rPr>
            </w:pPr>
            <w:r>
              <w:rPr>
                <w:rFonts w:hint="eastAsia" w:ascii="宋体" w:hAnsi="宋体" w:cs="宋体"/>
                <w:kern w:val="0"/>
                <w:sz w:val="24"/>
                <w:highlight w:val="none"/>
              </w:rPr>
              <w:t>40亿</w:t>
            </w:r>
          </w:p>
        </w:tc>
        <w:tc>
          <w:tcPr>
            <w:tcW w:w="971"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24"/>
                <w:highlight w:val="none"/>
              </w:rPr>
            </w:pPr>
            <w:r>
              <w:rPr>
                <w:rFonts w:hint="eastAsia" w:ascii="宋体" w:hAnsi="宋体" w:cs="宋体"/>
                <w:kern w:val="0"/>
                <w:sz w:val="24"/>
                <w:highlight w:val="none"/>
              </w:rPr>
              <w:t>40亿</w:t>
            </w:r>
          </w:p>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24"/>
                <w:highlight w:val="none"/>
              </w:rPr>
            </w:pPr>
            <w:r>
              <w:rPr>
                <w:rFonts w:hint="eastAsia" w:ascii="宋体" w:hAnsi="宋体" w:cs="宋体"/>
                <w:kern w:val="0"/>
                <w:sz w:val="24"/>
                <w:highlight w:val="none"/>
              </w:rPr>
              <w:t>-</w:t>
            </w:r>
          </w:p>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24"/>
                <w:highlight w:val="none"/>
              </w:rPr>
            </w:pPr>
            <w:r>
              <w:rPr>
                <w:rFonts w:hint="eastAsia" w:ascii="宋体" w:hAnsi="宋体" w:cs="宋体"/>
                <w:kern w:val="0"/>
                <w:sz w:val="24"/>
                <w:highlight w:val="none"/>
              </w:rPr>
              <w:t>60亿</w:t>
            </w:r>
          </w:p>
        </w:tc>
        <w:tc>
          <w:tcPr>
            <w:tcW w:w="985" w:type="dxa"/>
            <w:vAlign w:val="center"/>
          </w:tcPr>
          <w:p>
            <w:pPr>
              <w:keepNext w:val="0"/>
              <w:keepLines w:val="0"/>
              <w:suppressLineNumbers w:val="0"/>
              <w:spacing w:before="0" w:beforeAutospacing="0" w:after="0" w:afterAutospacing="0" w:line="240" w:lineRule="auto"/>
              <w:ind w:left="0" w:right="0"/>
              <w:jc w:val="center"/>
              <w:rPr>
                <w:rFonts w:hint="eastAsia" w:ascii="宋体" w:hAnsi="宋体" w:cs="宋体"/>
                <w:kern w:val="0"/>
                <w:sz w:val="24"/>
                <w:highlight w:val="none"/>
              </w:rPr>
            </w:pPr>
            <w:r>
              <w:rPr>
                <w:rFonts w:hint="eastAsia" w:ascii="宋体" w:hAnsi="宋体" w:cs="宋体"/>
                <w:kern w:val="0"/>
                <w:sz w:val="24"/>
                <w:highlight w:val="none"/>
              </w:rPr>
              <w:t>60亿</w:t>
            </w:r>
          </w:p>
          <w:p>
            <w:pPr>
              <w:keepNext w:val="0"/>
              <w:keepLines w:val="0"/>
              <w:suppressLineNumbers w:val="0"/>
              <w:spacing w:before="0" w:beforeAutospacing="0" w:after="0" w:afterAutospacing="0" w:line="240" w:lineRule="auto"/>
              <w:ind w:left="0" w:right="0"/>
              <w:jc w:val="center"/>
              <w:rPr>
                <w:rFonts w:hint="eastAsia" w:ascii="宋体" w:hAnsi="宋体" w:cs="宋体"/>
                <w:kern w:val="0"/>
                <w:sz w:val="24"/>
                <w:highlight w:val="none"/>
              </w:rPr>
            </w:pPr>
            <w:r>
              <w:rPr>
                <w:rFonts w:hint="eastAsia" w:ascii="宋体" w:hAnsi="宋体" w:cs="宋体"/>
                <w:kern w:val="0"/>
                <w:sz w:val="24"/>
                <w:highlight w:val="none"/>
              </w:rPr>
              <w:t>以上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28" w:type="dxa"/>
            <w:bottom w:w="0" w:type="dxa"/>
            <w:right w:w="28" w:type="dxa"/>
          </w:tblCellMar>
        </w:tblPrEx>
        <w:trPr>
          <w:trHeight w:val="1207" w:hRule="atLeast"/>
          <w:jc w:val="center"/>
        </w:trPr>
        <w:tc>
          <w:tcPr>
            <w:tcW w:w="848" w:type="dxa"/>
            <w:vMerge w:val="restart"/>
            <w:vAlign w:val="center"/>
          </w:tcPr>
          <w:p>
            <w:pPr>
              <w:keepNext w:val="0"/>
              <w:keepLines w:val="0"/>
              <w:suppressLineNumbers w:val="0"/>
              <w:adjustRightInd w:val="0"/>
              <w:snapToGrid w:val="0"/>
              <w:spacing w:before="0" w:beforeAutospacing="0" w:after="0" w:afterAutospacing="0" w:line="500" w:lineRule="exact"/>
              <w:ind w:left="0" w:right="0" w:firstLine="120" w:firstLineChars="50"/>
              <w:jc w:val="center"/>
              <w:rPr>
                <w:rFonts w:hint="eastAsia" w:ascii="宋体" w:hAnsi="宋体" w:cs="宋体"/>
                <w:kern w:val="0"/>
                <w:sz w:val="24"/>
                <w:highlight w:val="none"/>
              </w:rPr>
            </w:pPr>
            <w:r>
              <w:rPr>
                <w:rFonts w:hint="eastAsia" w:ascii="宋体" w:hAnsi="宋体" w:cs="宋体"/>
                <w:kern w:val="0"/>
                <w:sz w:val="24"/>
                <w:highlight w:val="none"/>
              </w:rPr>
              <w:t>1</w:t>
            </w:r>
          </w:p>
        </w:tc>
        <w:tc>
          <w:tcPr>
            <w:tcW w:w="1478"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公路工程</w:t>
            </w:r>
          </w:p>
          <w:p>
            <w:pPr>
              <w:keepNext w:val="0"/>
              <w:keepLines w:val="0"/>
              <w:suppressLineNumbers w:val="0"/>
              <w:adjustRightInd w:val="0"/>
              <w:snapToGrid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结算审核</w:t>
            </w:r>
          </w:p>
          <w:p>
            <w:pPr>
              <w:keepNext w:val="0"/>
              <w:keepLines w:val="0"/>
              <w:suppressLineNumbers w:val="0"/>
              <w:adjustRightInd w:val="0"/>
              <w:snapToGrid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（基本收费）</w:t>
            </w:r>
          </w:p>
        </w:tc>
        <w:tc>
          <w:tcPr>
            <w:tcW w:w="2316"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送审结算价</w:t>
            </w:r>
          </w:p>
        </w:tc>
        <w:tc>
          <w:tcPr>
            <w:tcW w:w="1059"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2.25‰</w:t>
            </w:r>
          </w:p>
        </w:tc>
        <w:tc>
          <w:tcPr>
            <w:tcW w:w="1014"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1.8‰</w:t>
            </w:r>
          </w:p>
        </w:tc>
        <w:tc>
          <w:tcPr>
            <w:tcW w:w="971"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0.99‰</w:t>
            </w:r>
          </w:p>
        </w:tc>
        <w:tc>
          <w:tcPr>
            <w:tcW w:w="941"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0.9‰</w:t>
            </w:r>
          </w:p>
        </w:tc>
        <w:tc>
          <w:tcPr>
            <w:tcW w:w="1015"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0.63‰</w:t>
            </w:r>
          </w:p>
        </w:tc>
        <w:tc>
          <w:tcPr>
            <w:tcW w:w="985"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0.45‰</w:t>
            </w:r>
          </w:p>
        </w:tc>
        <w:tc>
          <w:tcPr>
            <w:tcW w:w="985"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0.36‰</w:t>
            </w:r>
          </w:p>
        </w:tc>
        <w:tc>
          <w:tcPr>
            <w:tcW w:w="956"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0.27‰</w:t>
            </w:r>
          </w:p>
        </w:tc>
        <w:tc>
          <w:tcPr>
            <w:tcW w:w="971"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0.18‰</w:t>
            </w:r>
          </w:p>
        </w:tc>
        <w:tc>
          <w:tcPr>
            <w:tcW w:w="985"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0.14‰</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28" w:type="dxa"/>
            <w:bottom w:w="0" w:type="dxa"/>
            <w:right w:w="28" w:type="dxa"/>
          </w:tblCellMar>
        </w:tblPrEx>
        <w:trPr>
          <w:trHeight w:val="1281" w:hRule="atLeast"/>
          <w:jc w:val="center"/>
        </w:trPr>
        <w:tc>
          <w:tcPr>
            <w:tcW w:w="848" w:type="dxa"/>
            <w:vMerge w:val="continue"/>
            <w:vAlign w:val="center"/>
          </w:tcPr>
          <w:p>
            <w:pPr>
              <w:keepNext w:val="0"/>
              <w:keepLines w:val="0"/>
              <w:suppressLineNumbers w:val="0"/>
              <w:adjustRightInd w:val="0"/>
              <w:snapToGrid w:val="0"/>
              <w:spacing w:before="0" w:beforeAutospacing="0" w:after="0" w:afterAutospacing="0" w:line="500" w:lineRule="exact"/>
              <w:ind w:left="0" w:right="0"/>
              <w:jc w:val="center"/>
              <w:rPr>
                <w:rFonts w:hint="eastAsia" w:ascii="宋体" w:hAnsi="宋体" w:cs="宋体"/>
                <w:kern w:val="0"/>
                <w:sz w:val="24"/>
                <w:highlight w:val="none"/>
              </w:rPr>
            </w:pPr>
          </w:p>
        </w:tc>
        <w:tc>
          <w:tcPr>
            <w:tcW w:w="1478"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（效益收费）</w:t>
            </w:r>
          </w:p>
        </w:tc>
        <w:tc>
          <w:tcPr>
            <w:tcW w:w="2316"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核减额</w:t>
            </w:r>
          </w:p>
        </w:tc>
        <w:tc>
          <w:tcPr>
            <w:tcW w:w="1059"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1.8%</w:t>
            </w:r>
          </w:p>
        </w:tc>
        <w:tc>
          <w:tcPr>
            <w:tcW w:w="1014"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1.35%</w:t>
            </w:r>
          </w:p>
        </w:tc>
        <w:tc>
          <w:tcPr>
            <w:tcW w:w="971"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1.08%</w:t>
            </w:r>
          </w:p>
        </w:tc>
        <w:tc>
          <w:tcPr>
            <w:tcW w:w="941"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0.63%</w:t>
            </w:r>
          </w:p>
        </w:tc>
        <w:tc>
          <w:tcPr>
            <w:tcW w:w="1015"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0.36%</w:t>
            </w:r>
          </w:p>
        </w:tc>
        <w:tc>
          <w:tcPr>
            <w:tcW w:w="985"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0.27％</w:t>
            </w:r>
          </w:p>
        </w:tc>
        <w:tc>
          <w:tcPr>
            <w:tcW w:w="985"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0.27％</w:t>
            </w:r>
          </w:p>
        </w:tc>
        <w:tc>
          <w:tcPr>
            <w:tcW w:w="956"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0.27％</w:t>
            </w:r>
          </w:p>
        </w:tc>
        <w:tc>
          <w:tcPr>
            <w:tcW w:w="971"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0.27％</w:t>
            </w:r>
          </w:p>
        </w:tc>
        <w:tc>
          <w:tcPr>
            <w:tcW w:w="985"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kern w:val="0"/>
                <w:sz w:val="24"/>
                <w:highlight w:val="none"/>
              </w:rPr>
            </w:pPr>
            <w:r>
              <w:rPr>
                <w:rFonts w:hint="eastAsia" w:ascii="宋体" w:hAnsi="宋体" w:cs="宋体"/>
                <w:kern w:val="0"/>
                <w:sz w:val="24"/>
                <w:highlight w:val="none"/>
              </w:rPr>
              <w:t>0.14%</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28" w:type="dxa"/>
            <w:bottom w:w="0" w:type="dxa"/>
            <w:right w:w="28" w:type="dxa"/>
          </w:tblCellMar>
        </w:tblPrEx>
        <w:trPr>
          <w:trHeight w:val="3206" w:hRule="atLeast"/>
          <w:jc w:val="center"/>
        </w:trPr>
        <w:tc>
          <w:tcPr>
            <w:tcW w:w="14524" w:type="dxa"/>
            <w:gridSpan w:val="13"/>
            <w:vAlign w:val="center"/>
          </w:tcPr>
          <w:p>
            <w:pPr>
              <w:keepNext w:val="0"/>
              <w:keepLines w:val="0"/>
              <w:suppressLineNumbers w:val="0"/>
              <w:spacing w:before="0" w:beforeAutospacing="0" w:after="0" w:afterAutospacing="0" w:line="400" w:lineRule="exact"/>
              <w:ind w:left="0" w:right="0"/>
              <w:jc w:val="left"/>
              <w:rPr>
                <w:rFonts w:hint="default"/>
                <w:b/>
                <w:bCs/>
                <w:highlight w:val="none"/>
                <w:lang w:val="en-US"/>
              </w:rPr>
            </w:pPr>
            <w:r>
              <w:rPr>
                <w:rFonts w:hint="default"/>
                <w:b/>
                <w:bCs/>
                <w:highlight w:val="none"/>
                <w:lang w:val="en-US"/>
              </w:rPr>
              <w:t>备注：</w:t>
            </w:r>
          </w:p>
          <w:p>
            <w:pPr>
              <w:keepNext w:val="0"/>
              <w:keepLines w:val="0"/>
              <w:suppressLineNumbers w:val="0"/>
              <w:spacing w:before="0" w:beforeAutospacing="0" w:after="0" w:afterAutospacing="0" w:line="400" w:lineRule="exact"/>
              <w:ind w:left="0" w:right="0"/>
              <w:jc w:val="left"/>
              <w:rPr>
                <w:rFonts w:hint="default"/>
                <w:highlight w:val="none"/>
                <w:lang w:val="en-US"/>
              </w:rPr>
            </w:pPr>
            <w:r>
              <w:rPr>
                <w:rFonts w:hint="default"/>
                <w:b/>
                <w:bCs/>
                <w:highlight w:val="none"/>
                <w:lang w:val="en-US"/>
              </w:rPr>
              <w:t>①一个委托合同可能包含许多个承包合同，送审结算价是指委托合同包括的所有合同金额的总和,核减额是指所有核减金额的总和。</w:t>
            </w:r>
            <w:r>
              <w:rPr>
                <w:rFonts w:hint="default"/>
                <w:b/>
                <w:bCs/>
                <w:highlight w:val="none"/>
                <w:lang w:val="en-US"/>
              </w:rPr>
              <w:br w:type="textWrapping"/>
            </w:r>
            <w:r>
              <w:rPr>
                <w:rFonts w:hint="default"/>
                <w:b/>
                <w:bCs/>
                <w:highlight w:val="none"/>
                <w:lang w:val="en-US"/>
              </w:rPr>
              <w:t>②当审减率大于2%时，超出2%的审减金额效益收费费率按上表的50%计取;当审减率大于4%，超出4%的审减金额不计效益收费。</w:t>
            </w:r>
            <w:r>
              <w:rPr>
                <w:rFonts w:hint="default"/>
                <w:b/>
                <w:bCs/>
                <w:highlight w:val="none"/>
                <w:lang w:val="en-US"/>
              </w:rPr>
              <w:br w:type="textWrapping"/>
            </w:r>
            <w:r>
              <w:rPr>
                <w:rFonts w:hint="default"/>
                <w:b/>
                <w:bCs/>
                <w:highlight w:val="none"/>
                <w:lang w:val="en-US"/>
              </w:rPr>
              <w:t>例如：XX项目送审金额为70亿元，审计调整金额为-3亿元，该项效益收费为：</w:t>
            </w:r>
            <w:r>
              <w:rPr>
                <w:rFonts w:hint="default"/>
                <w:b/>
                <w:bCs/>
                <w:highlight w:val="none"/>
                <w:lang w:val="en-US"/>
              </w:rPr>
              <w:br w:type="textWrapping"/>
            </w:r>
            <w:r>
              <w:rPr>
                <w:rFonts w:hint="default"/>
                <w:b/>
                <w:bCs/>
                <w:highlight w:val="none"/>
                <w:lang w:val="en-US"/>
              </w:rPr>
              <w:t>a.审减率≤2%的效益收费：500*1.8%+500*1.35%+4000*1.08%+5000*0.63%+4000*0.36%</w:t>
            </w:r>
            <w:r>
              <w:rPr>
                <w:rFonts w:hint="default"/>
                <w:b/>
                <w:bCs/>
                <w:highlight w:val="none"/>
                <w:lang w:val="en-US"/>
              </w:rPr>
              <w:br w:type="textWrapping"/>
            </w:r>
            <w:r>
              <w:rPr>
                <w:rFonts w:hint="default"/>
                <w:b/>
                <w:bCs/>
                <w:highlight w:val="none"/>
                <w:lang w:val="en-US"/>
              </w:rPr>
              <w:t>b.2%＜审减率≤4%的效益收费：14000*0.36%*50%</w:t>
            </w:r>
            <w:r>
              <w:rPr>
                <w:rFonts w:hint="default"/>
                <w:b/>
                <w:bCs/>
                <w:highlight w:val="none"/>
                <w:lang w:val="en-US"/>
              </w:rPr>
              <w:br w:type="textWrapping"/>
            </w:r>
            <w:r>
              <w:rPr>
                <w:rFonts w:hint="default"/>
                <w:b/>
                <w:bCs/>
                <w:highlight w:val="none"/>
                <w:lang w:val="en-US"/>
              </w:rPr>
              <w:t>c.审减率&gt;4%的效益收费：2000*0.36%*0</w:t>
            </w:r>
          </w:p>
        </w:tc>
      </w:tr>
    </w:tbl>
    <w:p>
      <w:pPr>
        <w:pStyle w:val="2"/>
        <w:rPr>
          <w:rFonts w:ascii="宋体" w:hAnsi="宋体" w:cs="宋体"/>
          <w:sz w:val="20"/>
          <w:szCs w:val="20"/>
        </w:rPr>
        <w:sectPr>
          <w:headerReference r:id="rId5" w:type="default"/>
          <w:footerReference r:id="rId6" w:type="default"/>
          <w:pgSz w:w="16840" w:h="11907" w:orient="landscape"/>
          <w:pgMar w:top="1418" w:right="1531" w:bottom="1418" w:left="1361" w:header="720" w:footer="720" w:gutter="0"/>
          <w:cols w:space="720" w:num="1"/>
          <w:docGrid w:linePitch="286" w:charSpace="0"/>
        </w:sectPr>
      </w:pPr>
      <w:bookmarkStart w:id="14" w:name="_GoBack"/>
      <w:bookmarkEnd w:id="14"/>
    </w:p>
    <w:p>
      <w:pPr>
        <w:tabs>
          <w:tab w:val="left" w:pos="1433"/>
        </w:tabs>
        <w:spacing w:before="13"/>
        <w:ind w:left="382" w:right="140"/>
        <w:jc w:val="center"/>
        <w:rPr>
          <w:rFonts w:ascii="宋体" w:hAnsi="宋体" w:cs="宋体"/>
          <w:b/>
          <w:sz w:val="24"/>
        </w:rPr>
      </w:pPr>
    </w:p>
    <w:bookmarkEnd w:id="0"/>
    <w:p>
      <w:pPr>
        <w:jc w:val="center"/>
        <w:rPr>
          <w:rStyle w:val="18"/>
          <w:rFonts w:hint="eastAsia" w:ascii="宋体" w:hAnsi="宋体" w:cs="黑体"/>
          <w:bCs w:val="0"/>
          <w:sz w:val="32"/>
          <w:szCs w:val="32"/>
        </w:rPr>
      </w:pPr>
      <w:bookmarkStart w:id="1" w:name="_Toc321594583"/>
      <w:bookmarkStart w:id="2" w:name="_Toc466974103"/>
      <w:bookmarkStart w:id="3" w:name="_Toc6975_WPSOffice_Level1"/>
      <w:bookmarkStart w:id="4" w:name="_Toc23156_WPSOffice_Level1"/>
      <w:bookmarkStart w:id="5" w:name="_Toc62734742"/>
      <w:bookmarkStart w:id="6" w:name="_Toc12205"/>
      <w:r>
        <w:rPr>
          <w:rStyle w:val="18"/>
          <w:rFonts w:hint="eastAsia" w:ascii="宋体" w:hAnsi="宋体" w:cs="黑体"/>
          <w:bCs w:val="0"/>
          <w:sz w:val="32"/>
          <w:szCs w:val="32"/>
        </w:rPr>
        <w:t>评标办法</w:t>
      </w:r>
      <w:bookmarkEnd w:id="1"/>
      <w:bookmarkEnd w:id="2"/>
      <w:bookmarkEnd w:id="3"/>
      <w:bookmarkEnd w:id="4"/>
      <w:bookmarkEnd w:id="5"/>
      <w:bookmarkStart w:id="7" w:name="_Toc144974566"/>
      <w:bookmarkStart w:id="8" w:name="_Toc152042376"/>
      <w:bookmarkStart w:id="9" w:name="_Toc152045599"/>
      <w:bookmarkStart w:id="10" w:name="_Toc179632617"/>
      <w:bookmarkStart w:id="11" w:name="_Toc246996242"/>
      <w:bookmarkStart w:id="12" w:name="_Toc246996985"/>
      <w:bookmarkStart w:id="13" w:name="_Toc247085757"/>
    </w:p>
    <w:bookmarkEnd w:id="6"/>
    <w:bookmarkEnd w:id="7"/>
    <w:bookmarkEnd w:id="8"/>
    <w:bookmarkEnd w:id="9"/>
    <w:bookmarkEnd w:id="10"/>
    <w:bookmarkEnd w:id="11"/>
    <w:bookmarkEnd w:id="12"/>
    <w:bookmarkEnd w:id="13"/>
    <w:p>
      <w:pPr>
        <w:ind w:left="142"/>
        <w:rPr>
          <w:rFonts w:hint="eastAsia" w:ascii="宋体" w:hAnsi="宋体" w:cs="宋体"/>
          <w:b/>
          <w:bCs/>
          <w:sz w:val="24"/>
        </w:rPr>
      </w:pPr>
    </w:p>
    <w:p>
      <w:pPr>
        <w:ind w:left="142"/>
        <w:rPr>
          <w:rFonts w:hint="eastAsia" w:ascii="宋体" w:hAnsi="宋体" w:cs="宋体"/>
          <w:b/>
          <w:bCs/>
          <w:sz w:val="24"/>
          <w:highlight w:val="none"/>
        </w:rPr>
      </w:pPr>
      <w:r>
        <w:rPr>
          <w:rFonts w:hint="eastAsia" w:ascii="宋体" w:hAnsi="宋体" w:cs="宋体"/>
          <w:b/>
          <w:bCs/>
          <w:sz w:val="24"/>
          <w:highlight w:val="none"/>
        </w:rPr>
        <w:t>评标办法前附表</w:t>
      </w:r>
    </w:p>
    <w:tbl>
      <w:tblPr>
        <w:tblStyle w:val="8"/>
        <w:tblW w:w="9640" w:type="dxa"/>
        <w:tblInd w:w="-279" w:type="dxa"/>
        <w:tblLayout w:type="fixed"/>
        <w:tblCellMar>
          <w:top w:w="0" w:type="dxa"/>
          <w:left w:w="0" w:type="dxa"/>
          <w:bottom w:w="0" w:type="dxa"/>
          <w:right w:w="0" w:type="dxa"/>
        </w:tblCellMar>
      </w:tblPr>
      <w:tblGrid>
        <w:gridCol w:w="851"/>
        <w:gridCol w:w="142"/>
        <w:gridCol w:w="992"/>
        <w:gridCol w:w="993"/>
        <w:gridCol w:w="1417"/>
        <w:gridCol w:w="766"/>
        <w:gridCol w:w="4479"/>
      </w:tblGrid>
      <w:tr>
        <w:tblPrEx>
          <w:tblCellMar>
            <w:top w:w="0" w:type="dxa"/>
            <w:left w:w="0" w:type="dxa"/>
            <w:bottom w:w="0" w:type="dxa"/>
            <w:right w:w="0" w:type="dxa"/>
          </w:tblCellMar>
        </w:tblPrEx>
        <w:tc>
          <w:tcPr>
            <w:tcW w:w="1985" w:type="dxa"/>
            <w:gridSpan w:val="3"/>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54" w:beforeAutospacing="0" w:after="0" w:afterAutospacing="0" w:line="276" w:lineRule="auto"/>
              <w:ind w:left="0" w:right="0"/>
              <w:jc w:val="center"/>
              <w:rPr>
                <w:rFonts w:hint="eastAsia" w:ascii="宋体" w:hAnsi="宋体" w:cs="宋体"/>
                <w:sz w:val="24"/>
                <w:highlight w:val="none"/>
              </w:rPr>
            </w:pPr>
            <w:r>
              <w:rPr>
                <w:rFonts w:hint="eastAsia" w:ascii="宋体" w:hAnsi="宋体" w:cs="宋体"/>
                <w:b/>
                <w:bCs/>
                <w:sz w:val="24"/>
                <w:highlight w:val="none"/>
              </w:rPr>
              <w:t>条款号</w:t>
            </w:r>
          </w:p>
        </w:tc>
        <w:tc>
          <w:tcPr>
            <w:tcW w:w="7655" w:type="dxa"/>
            <w:gridSpan w:val="4"/>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54" w:beforeAutospacing="0" w:after="0" w:afterAutospacing="0" w:line="276" w:lineRule="auto"/>
              <w:ind w:left="0" w:right="2"/>
              <w:jc w:val="center"/>
              <w:rPr>
                <w:rFonts w:hint="eastAsia" w:ascii="宋体" w:hAnsi="宋体" w:cs="宋体"/>
                <w:sz w:val="24"/>
                <w:highlight w:val="none"/>
              </w:rPr>
            </w:pPr>
            <w:r>
              <w:rPr>
                <w:rFonts w:hint="eastAsia" w:ascii="宋体" w:hAnsi="宋体" w:cs="宋体"/>
                <w:b/>
                <w:bCs/>
                <w:sz w:val="24"/>
                <w:highlight w:val="none"/>
              </w:rPr>
              <w:t>评审因素与评审标准</w:t>
            </w:r>
          </w:p>
        </w:tc>
      </w:tr>
      <w:tr>
        <w:tblPrEx>
          <w:tblCellMar>
            <w:top w:w="0" w:type="dxa"/>
            <w:left w:w="0" w:type="dxa"/>
            <w:bottom w:w="0" w:type="dxa"/>
            <w:right w:w="0" w:type="dxa"/>
          </w:tblCellMar>
        </w:tblPrEx>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sz w:val="24"/>
                <w:highlight w:val="none"/>
              </w:rPr>
            </w:pPr>
            <w:r>
              <w:rPr>
                <w:rFonts w:hint="eastAsia" w:ascii="宋体" w:hAnsi="宋体" w:cs="宋体"/>
                <w:sz w:val="24"/>
                <w:highlight w:val="none"/>
              </w:rPr>
              <w:t>1.1</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276" w:lineRule="auto"/>
              <w:ind w:left="0" w:right="0"/>
              <w:jc w:val="center"/>
              <w:rPr>
                <w:rFonts w:hint="eastAsia" w:ascii="宋体" w:hAnsi="宋体" w:cs="宋体"/>
                <w:sz w:val="24"/>
                <w:highlight w:val="none"/>
              </w:rPr>
            </w:pPr>
            <w:r>
              <w:rPr>
                <w:rFonts w:hint="eastAsia" w:ascii="宋体" w:hAnsi="宋体" w:cs="宋体"/>
                <w:sz w:val="24"/>
                <w:highlight w:val="none"/>
              </w:rPr>
              <w:t>评标方法</w:t>
            </w:r>
          </w:p>
        </w:tc>
        <w:tc>
          <w:tcPr>
            <w:tcW w:w="7655" w:type="dxa"/>
            <w:gridSpan w:val="4"/>
            <w:tcBorders>
              <w:top w:val="single" w:color="000000" w:sz="4" w:space="0"/>
              <w:left w:val="single" w:color="000000" w:sz="4" w:space="0"/>
              <w:bottom w:val="single" w:color="000000" w:sz="4" w:space="0"/>
              <w:right w:val="single" w:color="000000" w:sz="4" w:space="0"/>
            </w:tcBorders>
          </w:tcPr>
          <w:p>
            <w:pPr>
              <w:keepNext w:val="0"/>
              <w:keepLines w:val="0"/>
              <w:numPr>
                <w:ilvl w:val="0"/>
                <w:numId w:val="1"/>
              </w:numPr>
              <w:suppressLineNumbers w:val="0"/>
              <w:snapToGrid w:val="0"/>
              <w:spacing w:before="0" w:beforeAutospacing="0" w:after="0" w:afterAutospacing="0"/>
              <w:ind w:left="0" w:right="0"/>
              <w:rPr>
                <w:rFonts w:hint="eastAsia" w:ascii="宋体" w:hAnsi="宋体"/>
                <w:b/>
                <w:bCs/>
                <w:sz w:val="24"/>
                <w:highlight w:val="none"/>
                <w:lang w:eastAsia="zh-CN"/>
              </w:rPr>
            </w:pPr>
            <w:r>
              <w:rPr>
                <w:rFonts w:hint="eastAsia" w:ascii="宋体" w:hAnsi="宋体"/>
                <w:sz w:val="24"/>
                <w:highlight w:val="none"/>
              </w:rPr>
              <w:t>评标委员依据投标人的综合得分从高到低的顺序排序，综合评分相同的，按评标委员会认定为加分的业绩累计</w:t>
            </w:r>
            <w:r>
              <w:rPr>
                <w:rFonts w:hint="eastAsia" w:ascii="宋体" w:hAnsi="宋体"/>
                <w:sz w:val="24"/>
                <w:highlight w:val="none"/>
                <w:lang w:eastAsia="zh-CN"/>
              </w:rPr>
              <w:t>送审总额</w:t>
            </w:r>
            <w:r>
              <w:rPr>
                <w:rFonts w:hint="eastAsia" w:ascii="宋体" w:hAnsi="宋体"/>
                <w:sz w:val="24"/>
                <w:highlight w:val="none"/>
              </w:rPr>
              <w:t>金额由高到低的顺序排序；综合评分相同，且累计</w:t>
            </w:r>
            <w:r>
              <w:rPr>
                <w:rFonts w:hint="eastAsia" w:ascii="宋体" w:hAnsi="宋体"/>
                <w:sz w:val="24"/>
                <w:highlight w:val="none"/>
                <w:lang w:eastAsia="zh-CN"/>
              </w:rPr>
              <w:t>送审总额</w:t>
            </w:r>
            <w:r>
              <w:rPr>
                <w:rFonts w:hint="eastAsia" w:ascii="宋体" w:hAnsi="宋体"/>
                <w:sz w:val="24"/>
                <w:highlight w:val="none"/>
              </w:rPr>
              <w:t>金额相同的，由评委会抽签决定。</w:t>
            </w:r>
            <w:r>
              <w:rPr>
                <w:rFonts w:hint="eastAsia" w:ascii="宋体" w:hAnsi="宋体"/>
                <w:b/>
                <w:bCs/>
                <w:sz w:val="24"/>
                <w:highlight w:val="none"/>
              </w:rPr>
              <w:t>评委会按上述排列向招标人推荐中标候选人，JGJS1</w:t>
            </w:r>
            <w:r>
              <w:rPr>
                <w:rFonts w:hint="eastAsia" w:ascii="宋体" w:hAnsi="宋体"/>
                <w:b/>
                <w:bCs/>
                <w:sz w:val="24"/>
                <w:highlight w:val="none"/>
                <w:lang w:eastAsia="zh-CN"/>
              </w:rPr>
              <w:t>、</w:t>
            </w:r>
            <w:r>
              <w:rPr>
                <w:rFonts w:hint="eastAsia" w:ascii="宋体" w:hAnsi="宋体"/>
                <w:b/>
                <w:bCs/>
                <w:sz w:val="24"/>
                <w:highlight w:val="none"/>
              </w:rPr>
              <w:t>JGJS</w:t>
            </w:r>
            <w:r>
              <w:rPr>
                <w:rFonts w:hint="eastAsia" w:ascii="宋体" w:hAnsi="宋体"/>
                <w:b/>
                <w:bCs/>
                <w:sz w:val="24"/>
                <w:highlight w:val="none"/>
                <w:lang w:val="en-US" w:eastAsia="zh-CN"/>
              </w:rPr>
              <w:t>4</w:t>
            </w:r>
            <w:r>
              <w:rPr>
                <w:rFonts w:hint="eastAsia" w:ascii="宋体" w:hAnsi="宋体"/>
                <w:b/>
                <w:bCs/>
                <w:sz w:val="24"/>
                <w:highlight w:val="none"/>
              </w:rPr>
              <w:t>标段推荐第1-</w:t>
            </w:r>
            <w:r>
              <w:rPr>
                <w:rFonts w:hint="eastAsia" w:ascii="宋体" w:hAnsi="宋体"/>
                <w:b/>
                <w:bCs/>
                <w:sz w:val="24"/>
                <w:highlight w:val="none"/>
                <w:lang w:val="en-US" w:eastAsia="zh-CN"/>
              </w:rPr>
              <w:t>5</w:t>
            </w:r>
            <w:r>
              <w:rPr>
                <w:rFonts w:hint="eastAsia" w:ascii="宋体" w:hAnsi="宋体"/>
                <w:b/>
                <w:bCs/>
                <w:sz w:val="24"/>
                <w:highlight w:val="none"/>
              </w:rPr>
              <w:t>名为中标候选人，确定第1-2名为中标人；JGJS2</w:t>
            </w:r>
            <w:r>
              <w:rPr>
                <w:rFonts w:hint="eastAsia" w:ascii="宋体" w:hAnsi="宋体"/>
                <w:b/>
                <w:bCs/>
                <w:sz w:val="24"/>
                <w:highlight w:val="none"/>
                <w:lang w:eastAsia="zh-CN"/>
              </w:rPr>
              <w:t>、</w:t>
            </w:r>
            <w:r>
              <w:rPr>
                <w:rFonts w:hint="eastAsia" w:ascii="宋体" w:hAnsi="宋体"/>
                <w:b/>
                <w:bCs/>
                <w:sz w:val="24"/>
                <w:highlight w:val="none"/>
                <w:lang w:val="en-US" w:eastAsia="zh-CN"/>
              </w:rPr>
              <w:t>3、5</w:t>
            </w:r>
            <w:r>
              <w:rPr>
                <w:rFonts w:hint="eastAsia" w:ascii="宋体" w:hAnsi="宋体"/>
                <w:b/>
                <w:bCs/>
                <w:sz w:val="24"/>
                <w:highlight w:val="none"/>
              </w:rPr>
              <w:t>标段推荐第1-3名为中标候选人，确定第1名为中标人</w:t>
            </w:r>
            <w:r>
              <w:rPr>
                <w:rFonts w:hint="eastAsia" w:ascii="宋体" w:hAnsi="宋体"/>
                <w:b/>
                <w:bCs/>
                <w:sz w:val="24"/>
                <w:highlight w:val="none"/>
                <w:lang w:eastAsia="zh-CN"/>
              </w:rPr>
              <w:t>。</w:t>
            </w:r>
          </w:p>
          <w:p>
            <w:pPr>
              <w:keepNext w:val="0"/>
              <w:keepLines w:val="0"/>
              <w:numPr>
                <w:ilvl w:val="0"/>
                <w:numId w:val="1"/>
              </w:numPr>
              <w:suppressLineNumbers w:val="0"/>
              <w:snapToGrid w:val="0"/>
              <w:spacing w:before="0" w:beforeAutospacing="0" w:after="0" w:afterAutospacing="0"/>
              <w:ind w:left="0" w:right="0"/>
              <w:rPr>
                <w:rFonts w:hint="eastAsia" w:ascii="宋体" w:hAnsi="宋体"/>
                <w:sz w:val="24"/>
                <w:highlight w:val="none"/>
              </w:rPr>
            </w:pPr>
            <w:r>
              <w:rPr>
                <w:rFonts w:hint="eastAsia" w:ascii="宋体" w:hAnsi="宋体"/>
                <w:sz w:val="24"/>
                <w:highlight w:val="none"/>
              </w:rPr>
              <w:t>中标候选人公示期间或者在与确定的中标人签订合同前，存在下列情形的，将取消中标候选人或中标人资格，招标人按评标委员会推荐的排序依次替补，投标保证金不予退还，并上报有关信用管理部门，将其不良记录纳入公路建设市场信用信息管理系统。</w:t>
            </w:r>
          </w:p>
          <w:p>
            <w:pPr>
              <w:keepNext w:val="0"/>
              <w:keepLines w:val="0"/>
              <w:suppressLineNumbers w:val="0"/>
              <w:snapToGrid w:val="0"/>
              <w:spacing w:before="0" w:beforeAutospacing="0" w:after="0" w:afterAutospacing="0"/>
              <w:ind w:left="0" w:right="0"/>
              <w:rPr>
                <w:rFonts w:hint="eastAsia" w:ascii="宋体" w:hAnsi="宋体"/>
                <w:sz w:val="24"/>
                <w:highlight w:val="none"/>
              </w:rPr>
            </w:pPr>
            <w:r>
              <w:rPr>
                <w:rFonts w:hint="eastAsia" w:ascii="宋体" w:hAnsi="宋体" w:cs="宋体"/>
                <w:kern w:val="0"/>
                <w:sz w:val="24"/>
                <w:highlight w:val="none"/>
              </w:rPr>
              <w:t>(1)</w:t>
            </w:r>
            <w:r>
              <w:rPr>
                <w:rFonts w:hint="eastAsia" w:ascii="宋体" w:hAnsi="宋体"/>
                <w:sz w:val="24"/>
                <w:highlight w:val="none"/>
              </w:rPr>
              <w:t>招标人经在中国裁判文书网查询投标人、法定代表人、拟委任的项目负责人存在行贿行为的；</w:t>
            </w:r>
          </w:p>
          <w:p>
            <w:pPr>
              <w:keepNext w:val="0"/>
              <w:keepLines w:val="0"/>
              <w:suppressLineNumbers w:val="0"/>
              <w:snapToGrid w:val="0"/>
              <w:spacing w:before="0" w:beforeAutospacing="0" w:after="0" w:afterAutospacing="0"/>
              <w:ind w:left="0" w:right="0"/>
              <w:rPr>
                <w:rFonts w:hint="eastAsia" w:ascii="宋体" w:hAnsi="宋体"/>
                <w:sz w:val="24"/>
                <w:highlight w:val="none"/>
              </w:rPr>
            </w:pPr>
            <w:r>
              <w:rPr>
                <w:rFonts w:hint="eastAsia" w:ascii="宋体" w:hAnsi="宋体" w:cs="宋体"/>
                <w:kern w:val="0"/>
                <w:sz w:val="24"/>
                <w:highlight w:val="none"/>
              </w:rPr>
              <w:t>(2)</w:t>
            </w:r>
            <w:r>
              <w:rPr>
                <w:rFonts w:hint="eastAsia" w:ascii="宋体" w:hAnsi="宋体"/>
                <w:sz w:val="24"/>
                <w:highlight w:val="none"/>
              </w:rPr>
              <w:t>中标候选人在公示期间被质疑或投诉，且经核实为有效质疑或投诉的，则该投标人的资格审查不合格；</w:t>
            </w:r>
          </w:p>
          <w:p>
            <w:pPr>
              <w:keepNext w:val="0"/>
              <w:keepLines w:val="0"/>
              <w:suppressLineNumbers w:val="0"/>
              <w:snapToGrid w:val="0"/>
              <w:spacing w:before="0" w:beforeAutospacing="0" w:after="0" w:afterAutospacing="0"/>
              <w:ind w:left="0" w:right="0"/>
              <w:rPr>
                <w:rFonts w:hint="default" w:ascii="宋体" w:hAnsi="宋体"/>
                <w:sz w:val="24"/>
                <w:highlight w:val="none"/>
              </w:rPr>
            </w:pPr>
            <w:r>
              <w:rPr>
                <w:rFonts w:hint="eastAsia" w:ascii="宋体" w:hAnsi="宋体" w:cs="宋体"/>
                <w:kern w:val="0"/>
                <w:sz w:val="24"/>
                <w:highlight w:val="none"/>
              </w:rPr>
              <w:t>(3)</w:t>
            </w:r>
            <w:r>
              <w:rPr>
                <w:rFonts w:hint="eastAsia" w:ascii="宋体" w:hAnsi="宋体"/>
                <w:sz w:val="24"/>
                <w:highlight w:val="none"/>
              </w:rPr>
              <w:t>因不可抗力提出不能履行合同，或者被要求提交履约保证金或其它形式履约担保而在规定期限内未能提交的，视为放弃中标项目。无正当理由不与招标人订立合同，在签订合同时向招标人提出附加条件的；</w:t>
            </w:r>
          </w:p>
          <w:p>
            <w:pPr>
              <w:keepNext w:val="0"/>
              <w:keepLines w:val="0"/>
              <w:suppressLineNumbers w:val="0"/>
              <w:snapToGrid w:val="0"/>
              <w:spacing w:before="0" w:beforeAutospacing="0" w:after="0" w:afterAutospacing="0"/>
              <w:ind w:left="0" w:right="0"/>
              <w:rPr>
                <w:rFonts w:hint="default" w:ascii="宋体" w:hAnsi="宋体"/>
                <w:sz w:val="24"/>
                <w:highlight w:val="none"/>
              </w:rPr>
            </w:pPr>
            <w:r>
              <w:rPr>
                <w:rFonts w:hint="eastAsia" w:ascii="宋体" w:hAnsi="宋体" w:cs="宋体"/>
                <w:kern w:val="0"/>
                <w:sz w:val="24"/>
                <w:highlight w:val="none"/>
              </w:rPr>
              <w:t>(4)</w:t>
            </w:r>
            <w:r>
              <w:rPr>
                <w:rFonts w:hint="eastAsia" w:ascii="宋体" w:hAnsi="宋体"/>
                <w:sz w:val="24"/>
                <w:highlight w:val="none"/>
              </w:rPr>
              <w:t>自愿放弃中标的；</w:t>
            </w:r>
          </w:p>
          <w:p>
            <w:pPr>
              <w:keepNext w:val="0"/>
              <w:keepLines w:val="0"/>
              <w:suppressLineNumbers w:val="0"/>
              <w:snapToGrid w:val="0"/>
              <w:spacing w:before="0" w:beforeAutospacing="0" w:after="0" w:afterAutospacing="0"/>
              <w:ind w:left="0" w:right="0"/>
              <w:rPr>
                <w:rFonts w:hint="default" w:ascii="宋体" w:hAnsi="宋体"/>
                <w:highlight w:val="none"/>
              </w:rPr>
            </w:pPr>
            <w:r>
              <w:rPr>
                <w:rFonts w:hint="eastAsia" w:ascii="宋体" w:hAnsi="宋体" w:cs="宋体"/>
                <w:kern w:val="0"/>
                <w:sz w:val="24"/>
                <w:highlight w:val="none"/>
              </w:rPr>
              <w:t>(5)</w:t>
            </w:r>
            <w:r>
              <w:rPr>
                <w:rFonts w:hint="eastAsia" w:ascii="宋体" w:hAnsi="宋体"/>
                <w:sz w:val="24"/>
                <w:highlight w:val="none"/>
              </w:rPr>
              <w:t>根据《省发展改革委等九部门关于在贵州省公共资源交易系统领域对法院失信被执行人实施信用联合惩戒的通知》黔发改财金</w:t>
            </w:r>
            <w:r>
              <w:rPr>
                <w:rFonts w:hint="default" w:ascii="宋体" w:hAnsi="宋体"/>
                <w:sz w:val="24"/>
                <w:highlight w:val="none"/>
              </w:rPr>
              <w:t>〔</w:t>
            </w:r>
            <w:r>
              <w:rPr>
                <w:rFonts w:hint="eastAsia" w:ascii="宋体" w:hAnsi="宋体"/>
                <w:sz w:val="24"/>
                <w:highlight w:val="none"/>
              </w:rPr>
              <w:t>2019〕1035号文件，在中标候选人公示环节存在失信行为的。</w:t>
            </w:r>
          </w:p>
        </w:tc>
      </w:tr>
      <w:tr>
        <w:tblPrEx>
          <w:tblCellMar>
            <w:top w:w="0" w:type="dxa"/>
            <w:left w:w="0" w:type="dxa"/>
            <w:bottom w:w="0" w:type="dxa"/>
            <w:right w:w="0" w:type="dxa"/>
          </w:tblCellMar>
        </w:tblPrEx>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276" w:lineRule="auto"/>
              <w:ind w:left="0" w:right="0"/>
              <w:jc w:val="center"/>
              <w:rPr>
                <w:rFonts w:hint="eastAsia" w:ascii="宋体" w:hAnsi="宋体" w:cs="宋体"/>
                <w:sz w:val="24"/>
                <w:highlight w:val="none"/>
              </w:rPr>
            </w:pPr>
            <w:r>
              <w:rPr>
                <w:rFonts w:hint="eastAsia" w:ascii="宋体" w:hAnsi="宋体" w:cs="宋体"/>
                <w:sz w:val="24"/>
                <w:highlight w:val="none"/>
              </w:rPr>
              <w:t>2.1.1</w:t>
            </w:r>
          </w:p>
          <w:p>
            <w:pPr>
              <w:keepNext w:val="0"/>
              <w:keepLines w:val="0"/>
              <w:suppressLineNumbers w:val="0"/>
              <w:spacing w:before="118" w:beforeAutospacing="0" w:after="0" w:afterAutospacing="0" w:line="276" w:lineRule="auto"/>
              <w:ind w:left="0" w:right="0"/>
              <w:jc w:val="center"/>
              <w:rPr>
                <w:rFonts w:hint="eastAsia" w:ascii="宋体" w:hAnsi="宋体" w:cs="宋体"/>
                <w:sz w:val="24"/>
                <w:highlight w:val="none"/>
              </w:rPr>
            </w:pPr>
            <w:r>
              <w:rPr>
                <w:rFonts w:hint="eastAsia" w:ascii="宋体" w:hAnsi="宋体" w:cs="宋体"/>
                <w:sz w:val="24"/>
                <w:highlight w:val="none"/>
              </w:rPr>
              <w:t>2.1.3</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276" w:lineRule="auto"/>
              <w:ind w:left="0" w:right="0"/>
              <w:jc w:val="center"/>
              <w:rPr>
                <w:rFonts w:hint="eastAsia" w:ascii="宋体" w:hAnsi="宋体" w:cs="宋体"/>
                <w:sz w:val="24"/>
                <w:highlight w:val="none"/>
              </w:rPr>
            </w:pPr>
            <w:r>
              <w:rPr>
                <w:rFonts w:hint="eastAsia" w:ascii="宋体" w:hAnsi="宋体" w:cs="宋体"/>
                <w:spacing w:val="-1"/>
                <w:sz w:val="24"/>
                <w:highlight w:val="none"/>
              </w:rPr>
              <w:t>形式评审与响应性评审标准</w:t>
            </w:r>
          </w:p>
        </w:tc>
        <w:tc>
          <w:tcPr>
            <w:tcW w:w="7655" w:type="dxa"/>
            <w:gridSpan w:val="4"/>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85" w:beforeAutospacing="0" w:after="0" w:afterAutospacing="0"/>
              <w:ind w:left="0" w:right="134" w:rightChars="64"/>
              <w:rPr>
                <w:rFonts w:hint="eastAsia" w:ascii="宋体" w:hAnsi="宋体" w:cs="宋体"/>
                <w:spacing w:val="-3"/>
                <w:sz w:val="24"/>
                <w:highlight w:val="none"/>
              </w:rPr>
            </w:pPr>
            <w:r>
              <w:rPr>
                <w:rFonts w:hint="eastAsia" w:ascii="宋体" w:hAnsi="宋体" w:cs="宋体"/>
                <w:kern w:val="0"/>
                <w:sz w:val="24"/>
                <w:highlight w:val="none"/>
              </w:rPr>
              <w:t>(1)</w:t>
            </w:r>
            <w:r>
              <w:rPr>
                <w:rFonts w:hint="eastAsia" w:ascii="宋体" w:hAnsi="宋体" w:cs="宋体"/>
                <w:spacing w:val="-3"/>
                <w:sz w:val="24"/>
                <w:highlight w:val="none"/>
              </w:rPr>
              <w:t>投标文件按照招标文件规定的要求、格式、内容填写，字迹清晰可辨；</w:t>
            </w:r>
          </w:p>
          <w:p>
            <w:pPr>
              <w:keepNext w:val="0"/>
              <w:keepLines w:val="0"/>
              <w:suppressLineNumbers w:val="0"/>
              <w:snapToGrid w:val="0"/>
              <w:spacing w:before="0" w:beforeAutospacing="0" w:after="0" w:afterAutospacing="0"/>
              <w:ind w:left="0" w:right="0"/>
              <w:rPr>
                <w:rFonts w:hint="eastAsia" w:ascii="宋体" w:hAnsi="宋体"/>
                <w:sz w:val="24"/>
                <w:highlight w:val="none"/>
              </w:rPr>
            </w:pPr>
            <w:r>
              <w:rPr>
                <w:rFonts w:hint="eastAsia" w:ascii="宋体" w:hAnsi="宋体"/>
                <w:sz w:val="24"/>
                <w:highlight w:val="none"/>
              </w:rPr>
              <w:t>a.投标函按招标文件规定填报了项目名称、标段号、服务期限、投标价、项目负责人；</w:t>
            </w:r>
          </w:p>
          <w:p>
            <w:pPr>
              <w:keepNext w:val="0"/>
              <w:keepLines w:val="0"/>
              <w:suppressLineNumbers w:val="0"/>
              <w:snapToGrid w:val="0"/>
              <w:spacing w:before="0" w:beforeAutospacing="0" w:after="0" w:afterAutospacing="0"/>
              <w:ind w:left="0" w:right="0"/>
              <w:rPr>
                <w:rFonts w:hint="eastAsia" w:ascii="宋体" w:hAnsi="宋体"/>
                <w:sz w:val="24"/>
                <w:highlight w:val="none"/>
              </w:rPr>
            </w:pPr>
            <w:r>
              <w:rPr>
                <w:rFonts w:hint="eastAsia" w:ascii="宋体" w:hAnsi="宋体"/>
                <w:sz w:val="24"/>
                <w:highlight w:val="none"/>
              </w:rPr>
              <w:t>b.投标文件组成齐全完整，内容均按规定填写；</w:t>
            </w:r>
          </w:p>
          <w:p>
            <w:pPr>
              <w:keepNext w:val="0"/>
              <w:keepLines w:val="0"/>
              <w:suppressLineNumbers w:val="0"/>
              <w:snapToGrid w:val="0"/>
              <w:spacing w:before="0" w:beforeAutospacing="0" w:after="0" w:afterAutospacing="0"/>
              <w:ind w:left="0" w:right="0"/>
              <w:rPr>
                <w:rFonts w:hint="eastAsia" w:ascii="宋体" w:hAnsi="宋体"/>
                <w:sz w:val="24"/>
                <w:highlight w:val="none"/>
              </w:rPr>
            </w:pPr>
            <w:r>
              <w:rPr>
                <w:rFonts w:hint="eastAsia" w:ascii="宋体" w:hAnsi="宋体"/>
                <w:sz w:val="24"/>
                <w:highlight w:val="none"/>
              </w:rPr>
              <w:t>c.投标文件外包封的标段号与包封内投标文件标段号一致；</w:t>
            </w:r>
          </w:p>
          <w:p>
            <w:pPr>
              <w:keepNext w:val="0"/>
              <w:keepLines w:val="0"/>
              <w:suppressLineNumbers w:val="0"/>
              <w:snapToGrid w:val="0"/>
              <w:spacing w:before="0" w:beforeAutospacing="0" w:after="0" w:afterAutospacing="0"/>
              <w:ind w:left="0" w:right="0"/>
              <w:rPr>
                <w:rFonts w:hint="eastAsia" w:ascii="宋体" w:hAnsi="宋体"/>
                <w:sz w:val="24"/>
                <w:highlight w:val="none"/>
              </w:rPr>
            </w:pPr>
            <w:r>
              <w:rPr>
                <w:rFonts w:hint="eastAsia" w:ascii="宋体" w:hAnsi="宋体"/>
                <w:sz w:val="24"/>
                <w:highlight w:val="none"/>
              </w:rPr>
              <w:t>d.投标文件投标保证金凭证上的标段号与投标函上所投标段的标段号一致；</w:t>
            </w:r>
          </w:p>
          <w:p>
            <w:pPr>
              <w:keepNext w:val="0"/>
              <w:keepLines w:val="0"/>
              <w:suppressLineNumbers w:val="0"/>
              <w:snapToGrid w:val="0"/>
              <w:spacing w:before="0" w:beforeAutospacing="0" w:after="0" w:afterAutospacing="0"/>
              <w:ind w:left="0" w:right="0"/>
              <w:rPr>
                <w:rFonts w:hint="default" w:ascii="宋体" w:hAnsi="宋体"/>
                <w:sz w:val="24"/>
                <w:highlight w:val="none"/>
              </w:rPr>
            </w:pPr>
            <w:r>
              <w:rPr>
                <w:rFonts w:hint="eastAsia" w:ascii="宋体" w:hAnsi="宋体"/>
                <w:sz w:val="24"/>
                <w:highlight w:val="none"/>
              </w:rPr>
              <w:t>e.未按照招标文件要求提供资料或编制投标文件的。</w:t>
            </w:r>
          </w:p>
          <w:p>
            <w:pPr>
              <w:keepNext w:val="0"/>
              <w:keepLines w:val="0"/>
              <w:suppressLineNumbers w:val="0"/>
              <w:snapToGrid w:val="0"/>
              <w:spacing w:before="0" w:beforeAutospacing="0" w:after="0" w:afterAutospacing="0"/>
              <w:ind w:left="0" w:right="0"/>
              <w:rPr>
                <w:rFonts w:hint="eastAsia" w:ascii="宋体" w:hAnsi="宋体"/>
                <w:sz w:val="24"/>
                <w:highlight w:val="none"/>
              </w:rPr>
            </w:pPr>
            <w:r>
              <w:rPr>
                <w:rFonts w:hint="eastAsia" w:ascii="宋体" w:hAnsi="宋体"/>
                <w:sz w:val="24"/>
                <w:highlight w:val="none"/>
              </w:rPr>
              <w:t>(2)投标文件上法定代表人或其委托代理人的签字、投标人的单位章盖章齐全，符合招标文件规定；</w:t>
            </w:r>
          </w:p>
          <w:p>
            <w:pPr>
              <w:keepNext w:val="0"/>
              <w:keepLines w:val="0"/>
              <w:suppressLineNumbers w:val="0"/>
              <w:snapToGrid w:val="0"/>
              <w:spacing w:before="0" w:beforeAutospacing="0" w:after="0" w:afterAutospacing="0"/>
              <w:ind w:left="0" w:right="0"/>
              <w:rPr>
                <w:rFonts w:hint="eastAsia" w:ascii="宋体" w:hAnsi="宋体"/>
                <w:sz w:val="24"/>
                <w:highlight w:val="none"/>
              </w:rPr>
            </w:pPr>
            <w:r>
              <w:rPr>
                <w:rFonts w:hint="eastAsia" w:ascii="宋体" w:hAnsi="宋体"/>
                <w:sz w:val="24"/>
                <w:highlight w:val="none"/>
              </w:rPr>
              <w:t>(3)投标人按照招标文件的规定提供了投标保证金</w:t>
            </w:r>
          </w:p>
          <w:p>
            <w:pPr>
              <w:keepNext w:val="0"/>
              <w:keepLines w:val="0"/>
              <w:suppressLineNumbers w:val="0"/>
              <w:snapToGrid w:val="0"/>
              <w:spacing w:before="0" w:beforeAutospacing="0" w:after="0" w:afterAutospacing="0"/>
              <w:ind w:left="0" w:right="0"/>
              <w:rPr>
                <w:rFonts w:hint="eastAsia" w:ascii="宋体" w:hAnsi="宋体"/>
                <w:sz w:val="24"/>
                <w:highlight w:val="none"/>
              </w:rPr>
            </w:pPr>
            <w:r>
              <w:rPr>
                <w:rFonts w:hint="eastAsia" w:ascii="宋体" w:hAnsi="宋体"/>
                <w:sz w:val="24"/>
                <w:highlight w:val="none"/>
              </w:rPr>
              <w:t>a.投标保证金金额符合招标文件规定的金额，且投标保证金有效期不少于投标有效期；</w:t>
            </w:r>
          </w:p>
          <w:p>
            <w:pPr>
              <w:keepNext w:val="0"/>
              <w:keepLines w:val="0"/>
              <w:suppressLineNumbers w:val="0"/>
              <w:snapToGrid w:val="0"/>
              <w:spacing w:before="0" w:beforeAutospacing="0" w:after="0" w:afterAutospacing="0"/>
              <w:ind w:left="0" w:right="0"/>
              <w:rPr>
                <w:rFonts w:hint="eastAsia" w:ascii="宋体" w:hAnsi="宋体"/>
                <w:sz w:val="24"/>
                <w:highlight w:val="none"/>
              </w:rPr>
            </w:pPr>
            <w:r>
              <w:rPr>
                <w:rFonts w:hint="eastAsia" w:ascii="宋体" w:hAnsi="宋体"/>
                <w:sz w:val="24"/>
                <w:highlight w:val="none"/>
              </w:rPr>
              <w:t>b.若投标保证金采用现金或支票形式提交，投标人应在递交投标文件截止时间之前，将投标保证金由投标人的基本账户一次性转入招标人指定账户；</w:t>
            </w:r>
          </w:p>
          <w:p>
            <w:pPr>
              <w:keepNext w:val="0"/>
              <w:keepLines w:val="0"/>
              <w:suppressLineNumbers w:val="0"/>
              <w:snapToGrid w:val="0"/>
              <w:spacing w:before="0" w:beforeAutospacing="0" w:after="0" w:afterAutospacing="0"/>
              <w:ind w:left="0" w:right="0"/>
              <w:rPr>
                <w:rFonts w:hint="eastAsia" w:ascii="宋体" w:hAnsi="宋体" w:cs="宋体"/>
                <w:spacing w:val="-3"/>
                <w:sz w:val="24"/>
                <w:highlight w:val="none"/>
              </w:rPr>
            </w:pPr>
            <w:r>
              <w:rPr>
                <w:rFonts w:hint="eastAsia" w:ascii="宋体" w:hAnsi="宋体"/>
                <w:sz w:val="24"/>
                <w:highlight w:val="none"/>
              </w:rPr>
              <w:t>c.若投标保证金采用银行保函形式提交，银行保函的格式、投保项目标段号、开具保函的银行、投保的内容、有效期等均应满足招标文件要求，且在递交投标文件截止时间之前向招</w:t>
            </w:r>
            <w:r>
              <w:rPr>
                <w:rFonts w:hint="eastAsia" w:ascii="宋体" w:hAnsi="宋体" w:cs="宋体"/>
                <w:spacing w:val="-3"/>
                <w:sz w:val="24"/>
                <w:highlight w:val="none"/>
              </w:rPr>
              <w:t>标人提交了银行保函原件。</w:t>
            </w:r>
          </w:p>
          <w:p>
            <w:pPr>
              <w:keepNext w:val="0"/>
              <w:keepLines w:val="0"/>
              <w:suppressLineNumbers w:val="0"/>
              <w:snapToGrid w:val="0"/>
              <w:spacing w:before="0" w:beforeAutospacing="0" w:after="0" w:afterAutospacing="0"/>
              <w:ind w:left="0" w:right="0"/>
              <w:rPr>
                <w:rFonts w:hint="eastAsia" w:ascii="宋体" w:hAnsi="宋体" w:cs="宋体"/>
                <w:spacing w:val="-3"/>
                <w:sz w:val="24"/>
                <w:highlight w:val="none"/>
              </w:rPr>
            </w:pPr>
            <w:r>
              <w:rPr>
                <w:rFonts w:hint="eastAsia" w:ascii="宋体" w:hAnsi="宋体"/>
                <w:sz w:val="24"/>
                <w:highlight w:val="none"/>
              </w:rPr>
              <w:t>d.若投标保证金采用保证保险形式提交，投保项目标段号、投保的内容、有效期等均应满足招标文件要求，且在递交投标文件截止时间之前向招</w:t>
            </w:r>
            <w:r>
              <w:rPr>
                <w:rFonts w:hint="eastAsia" w:ascii="宋体" w:hAnsi="宋体" w:cs="宋体"/>
                <w:spacing w:val="-3"/>
                <w:sz w:val="24"/>
                <w:highlight w:val="none"/>
              </w:rPr>
              <w:t>标人提交了保证保险原件。</w:t>
            </w:r>
          </w:p>
          <w:p>
            <w:pPr>
              <w:keepNext w:val="0"/>
              <w:keepLines w:val="0"/>
              <w:suppressLineNumbers w:val="0"/>
              <w:spacing w:before="85" w:beforeAutospacing="0" w:after="0" w:afterAutospacing="0"/>
              <w:ind w:left="0" w:right="0"/>
              <w:rPr>
                <w:rFonts w:hint="eastAsia" w:ascii="宋体" w:hAnsi="宋体" w:cs="宋体"/>
                <w:spacing w:val="-3"/>
                <w:sz w:val="24"/>
                <w:highlight w:val="none"/>
              </w:rPr>
            </w:pPr>
            <w:r>
              <w:rPr>
                <w:rFonts w:hint="eastAsia" w:ascii="宋体" w:hAnsi="宋体" w:cs="宋体"/>
                <w:kern w:val="0"/>
                <w:sz w:val="24"/>
                <w:highlight w:val="none"/>
              </w:rPr>
              <w:t>(4)</w:t>
            </w:r>
            <w:r>
              <w:rPr>
                <w:rFonts w:hint="eastAsia" w:ascii="宋体" w:hAnsi="宋体" w:cs="宋体"/>
                <w:spacing w:val="-3"/>
                <w:sz w:val="24"/>
                <w:highlight w:val="none"/>
              </w:rPr>
              <w:t>投标人法定代表人授权委托代理人签署投标文件的，须提交授权委托书，且授权人和被授权人均在授权委托书上签名，未使用印章签名章或其他电子制版签名代替。</w:t>
            </w:r>
          </w:p>
          <w:p>
            <w:pPr>
              <w:keepNext w:val="0"/>
              <w:keepLines w:val="0"/>
              <w:suppressLineNumbers w:val="0"/>
              <w:spacing w:before="85" w:beforeAutospacing="0" w:after="0" w:afterAutospacing="0"/>
              <w:ind w:left="0" w:right="0"/>
              <w:rPr>
                <w:rFonts w:hint="eastAsia" w:ascii="宋体" w:hAnsi="宋体" w:cs="宋体"/>
                <w:spacing w:val="-3"/>
                <w:sz w:val="24"/>
                <w:highlight w:val="none"/>
              </w:rPr>
            </w:pPr>
            <w:r>
              <w:rPr>
                <w:rFonts w:hint="eastAsia" w:ascii="宋体" w:hAnsi="宋体" w:cs="宋体"/>
                <w:kern w:val="0"/>
                <w:sz w:val="24"/>
                <w:highlight w:val="none"/>
              </w:rPr>
              <w:t>(5)</w:t>
            </w:r>
            <w:r>
              <w:rPr>
                <w:rFonts w:hint="eastAsia" w:ascii="宋体" w:hAnsi="宋体" w:cs="宋体"/>
                <w:spacing w:val="-3"/>
                <w:sz w:val="24"/>
                <w:highlight w:val="none"/>
              </w:rPr>
              <w:t>投标人法定代表人亲自签署投标文件的，须提供法定代表人身份证明，且法定代表人在法定代表人身份证明上签名，未使用印章签名章或其他电子制版签名代替。</w:t>
            </w:r>
          </w:p>
          <w:p>
            <w:pPr>
              <w:keepNext w:val="0"/>
              <w:keepLines w:val="0"/>
              <w:suppressLineNumbers w:val="0"/>
              <w:spacing w:before="85" w:beforeAutospacing="0" w:after="0" w:afterAutospacing="0"/>
              <w:ind w:left="0" w:right="0"/>
              <w:rPr>
                <w:rFonts w:hint="eastAsia" w:ascii="宋体" w:hAnsi="宋体" w:cs="宋体"/>
                <w:spacing w:val="-3"/>
                <w:sz w:val="24"/>
                <w:highlight w:val="none"/>
              </w:rPr>
            </w:pPr>
            <w:r>
              <w:rPr>
                <w:rFonts w:hint="eastAsia" w:ascii="宋体" w:hAnsi="宋体" w:cs="宋体"/>
                <w:kern w:val="0"/>
                <w:sz w:val="24"/>
                <w:highlight w:val="none"/>
              </w:rPr>
              <w:t>(6)</w:t>
            </w:r>
            <w:r>
              <w:rPr>
                <w:rFonts w:hint="eastAsia" w:ascii="宋体" w:hAnsi="宋体" w:cs="宋体"/>
                <w:spacing w:val="-3"/>
                <w:sz w:val="24"/>
                <w:highlight w:val="none"/>
              </w:rPr>
              <w:t>同一投标人未提交两个以上不同的投标文件。</w:t>
            </w:r>
          </w:p>
          <w:p>
            <w:pPr>
              <w:keepNext w:val="0"/>
              <w:keepLines w:val="0"/>
              <w:suppressLineNumbers w:val="0"/>
              <w:spacing w:before="8" w:beforeAutospacing="0" w:after="0" w:afterAutospacing="0"/>
              <w:ind w:left="0" w:right="0"/>
              <w:rPr>
                <w:rFonts w:hint="eastAsia" w:ascii="宋体" w:hAnsi="宋体" w:cs="宋体"/>
                <w:spacing w:val="-3"/>
                <w:sz w:val="24"/>
                <w:highlight w:val="none"/>
              </w:rPr>
            </w:pPr>
            <w:r>
              <w:rPr>
                <w:rFonts w:hint="eastAsia" w:ascii="宋体" w:hAnsi="宋体" w:cs="宋体"/>
                <w:kern w:val="0"/>
                <w:sz w:val="24"/>
                <w:highlight w:val="none"/>
              </w:rPr>
              <w:t>(7)</w:t>
            </w:r>
            <w:r>
              <w:rPr>
                <w:rFonts w:hint="eastAsia" w:ascii="宋体" w:hAnsi="宋体" w:cs="宋体"/>
                <w:spacing w:val="-3"/>
                <w:sz w:val="24"/>
                <w:highlight w:val="none"/>
              </w:rPr>
              <w:t>投标报价未超过招标文件设定的最高投标限价（投标所报的下浮率不为负数）。</w:t>
            </w:r>
          </w:p>
          <w:p>
            <w:pPr>
              <w:keepNext w:val="0"/>
              <w:keepLines w:val="0"/>
              <w:suppressLineNumbers w:val="0"/>
              <w:spacing w:before="8" w:beforeAutospacing="0" w:after="0" w:afterAutospacing="0"/>
              <w:ind w:left="0" w:right="0"/>
              <w:rPr>
                <w:rFonts w:hint="eastAsia" w:ascii="宋体" w:hAnsi="宋体" w:cs="宋体"/>
                <w:spacing w:val="-3"/>
                <w:sz w:val="24"/>
                <w:highlight w:val="none"/>
              </w:rPr>
            </w:pPr>
            <w:r>
              <w:rPr>
                <w:rFonts w:hint="eastAsia" w:ascii="宋体" w:hAnsi="宋体" w:cs="宋体"/>
                <w:kern w:val="0"/>
                <w:sz w:val="24"/>
                <w:highlight w:val="none"/>
              </w:rPr>
              <w:t>(8)</w:t>
            </w:r>
            <w:r>
              <w:rPr>
                <w:rFonts w:hint="eastAsia" w:ascii="宋体" w:hAnsi="宋体" w:cs="宋体"/>
                <w:spacing w:val="-3"/>
                <w:sz w:val="24"/>
                <w:highlight w:val="none"/>
              </w:rPr>
              <w:t>投标所报的下浮率能够确定具体数值。</w:t>
            </w:r>
          </w:p>
          <w:p>
            <w:pPr>
              <w:keepNext w:val="0"/>
              <w:keepLines w:val="0"/>
              <w:suppressLineNumbers w:val="0"/>
              <w:spacing w:before="8" w:beforeAutospacing="0" w:after="0" w:afterAutospacing="0"/>
              <w:ind w:left="0" w:right="0"/>
              <w:rPr>
                <w:rFonts w:hint="eastAsia" w:ascii="宋体" w:hAnsi="宋体" w:cs="宋体"/>
                <w:spacing w:val="-3"/>
                <w:sz w:val="24"/>
                <w:highlight w:val="none"/>
              </w:rPr>
            </w:pPr>
            <w:r>
              <w:rPr>
                <w:rFonts w:hint="eastAsia" w:ascii="宋体" w:hAnsi="宋体" w:cs="宋体"/>
                <w:kern w:val="0"/>
                <w:sz w:val="24"/>
                <w:highlight w:val="none"/>
              </w:rPr>
              <w:t>(9)</w:t>
            </w:r>
            <w:r>
              <w:rPr>
                <w:rFonts w:hint="eastAsia" w:ascii="宋体" w:hAnsi="宋体" w:cs="宋体"/>
                <w:spacing w:val="-3"/>
                <w:sz w:val="24"/>
                <w:highlight w:val="none"/>
              </w:rPr>
              <w:t>投标文件载明的招标项目完成期限未超过招标文件规定的时限。</w:t>
            </w:r>
          </w:p>
          <w:p>
            <w:pPr>
              <w:keepNext w:val="0"/>
              <w:keepLines w:val="0"/>
              <w:suppressLineNumbers w:val="0"/>
              <w:spacing w:before="8" w:beforeAutospacing="0" w:after="0" w:afterAutospacing="0"/>
              <w:ind w:left="0" w:right="141" w:rightChars="67"/>
              <w:rPr>
                <w:rFonts w:hint="eastAsia" w:ascii="宋体" w:hAnsi="宋体" w:cs="宋体"/>
                <w:spacing w:val="-3"/>
                <w:sz w:val="24"/>
                <w:highlight w:val="none"/>
              </w:rPr>
            </w:pPr>
            <w:r>
              <w:rPr>
                <w:rFonts w:hint="eastAsia" w:ascii="宋体" w:hAnsi="宋体" w:cs="宋体"/>
                <w:kern w:val="0"/>
                <w:sz w:val="24"/>
                <w:highlight w:val="none"/>
              </w:rPr>
              <w:t>(10)</w:t>
            </w:r>
            <w:r>
              <w:rPr>
                <w:rFonts w:hint="eastAsia" w:ascii="宋体" w:hAnsi="宋体" w:cs="宋体"/>
                <w:spacing w:val="-3"/>
                <w:sz w:val="24"/>
                <w:highlight w:val="none"/>
              </w:rPr>
              <w:t>投标文件对招标文件的实质性要求和条件作出响应。</w:t>
            </w:r>
          </w:p>
          <w:p>
            <w:pPr>
              <w:keepNext w:val="0"/>
              <w:keepLines w:val="0"/>
              <w:suppressLineNumbers w:val="0"/>
              <w:spacing w:before="8" w:beforeAutospacing="0" w:after="0" w:afterAutospacing="0"/>
              <w:ind w:left="0" w:right="141" w:rightChars="67"/>
              <w:rPr>
                <w:rFonts w:hint="eastAsia" w:ascii="宋体" w:hAnsi="宋体" w:cs="宋体"/>
                <w:spacing w:val="-3"/>
                <w:sz w:val="24"/>
                <w:highlight w:val="none"/>
              </w:rPr>
            </w:pPr>
            <w:r>
              <w:rPr>
                <w:rFonts w:hint="eastAsia" w:ascii="宋体" w:hAnsi="宋体" w:cs="宋体"/>
                <w:kern w:val="0"/>
                <w:sz w:val="24"/>
                <w:highlight w:val="none"/>
              </w:rPr>
              <w:t>(11)</w:t>
            </w:r>
            <w:r>
              <w:rPr>
                <w:rFonts w:hint="eastAsia" w:ascii="宋体" w:hAnsi="宋体" w:cs="宋体"/>
                <w:spacing w:val="-3"/>
                <w:sz w:val="24"/>
                <w:highlight w:val="none"/>
              </w:rPr>
              <w:t>权利义务符合招标文件规定：</w:t>
            </w:r>
          </w:p>
          <w:p>
            <w:pPr>
              <w:keepNext w:val="0"/>
              <w:keepLines w:val="0"/>
              <w:suppressLineNumbers w:val="0"/>
              <w:spacing w:before="85" w:beforeAutospacing="0" w:after="0" w:afterAutospacing="0"/>
              <w:ind w:left="0" w:right="0"/>
              <w:rPr>
                <w:rFonts w:hint="eastAsia" w:ascii="宋体" w:hAnsi="宋体" w:cs="宋体"/>
                <w:b/>
                <w:spacing w:val="-3"/>
                <w:sz w:val="24"/>
                <w:highlight w:val="none"/>
              </w:rPr>
            </w:pPr>
            <w:r>
              <w:rPr>
                <w:rFonts w:hint="eastAsia" w:ascii="宋体" w:hAnsi="宋体" w:cs="宋体"/>
                <w:b/>
                <w:spacing w:val="-3"/>
                <w:sz w:val="24"/>
                <w:highlight w:val="none"/>
              </w:rPr>
              <w:t>a.投标人应接受招标文件规定的风险划分原则，未提出新的风险划分办法；</w:t>
            </w:r>
          </w:p>
          <w:p>
            <w:pPr>
              <w:keepNext w:val="0"/>
              <w:keepLines w:val="0"/>
              <w:suppressLineNumbers w:val="0"/>
              <w:spacing w:before="13" w:beforeAutospacing="0" w:after="0" w:afterAutospacing="0"/>
              <w:ind w:left="0" w:right="0"/>
              <w:rPr>
                <w:rFonts w:hint="eastAsia" w:ascii="宋体" w:hAnsi="宋体" w:cs="宋体"/>
                <w:b/>
                <w:spacing w:val="-3"/>
                <w:sz w:val="24"/>
                <w:highlight w:val="none"/>
              </w:rPr>
            </w:pPr>
            <w:r>
              <w:rPr>
                <w:rFonts w:hint="eastAsia" w:ascii="宋体" w:hAnsi="宋体" w:cs="宋体"/>
                <w:b/>
                <w:spacing w:val="-3"/>
                <w:sz w:val="24"/>
                <w:highlight w:val="none"/>
              </w:rPr>
              <w:t>b.投标人未增加委托人的责任范围，或减少投标人义务；</w:t>
            </w:r>
          </w:p>
          <w:p>
            <w:pPr>
              <w:keepNext w:val="0"/>
              <w:keepLines w:val="0"/>
              <w:suppressLineNumbers w:val="0"/>
              <w:spacing w:before="10" w:beforeAutospacing="0" w:after="0" w:afterAutospacing="0"/>
              <w:ind w:left="0" w:right="0"/>
              <w:rPr>
                <w:rFonts w:hint="eastAsia" w:ascii="宋体" w:hAnsi="宋体" w:cs="宋体"/>
                <w:b/>
                <w:spacing w:val="-3"/>
                <w:sz w:val="24"/>
                <w:highlight w:val="none"/>
              </w:rPr>
            </w:pPr>
            <w:r>
              <w:rPr>
                <w:rFonts w:hint="eastAsia" w:ascii="宋体" w:hAnsi="宋体" w:cs="宋体"/>
                <w:b/>
                <w:spacing w:val="-3"/>
                <w:sz w:val="24"/>
                <w:highlight w:val="none"/>
              </w:rPr>
              <w:t>c.投标人未提出不同的支付办法；</w:t>
            </w:r>
          </w:p>
          <w:p>
            <w:pPr>
              <w:keepNext w:val="0"/>
              <w:keepLines w:val="0"/>
              <w:suppressLineNumbers w:val="0"/>
              <w:spacing w:before="10" w:beforeAutospacing="0" w:after="0" w:afterAutospacing="0"/>
              <w:ind w:left="0" w:right="0"/>
              <w:rPr>
                <w:rFonts w:hint="eastAsia" w:ascii="宋体" w:hAnsi="宋体" w:cs="宋体"/>
                <w:b/>
                <w:spacing w:val="-3"/>
                <w:sz w:val="24"/>
                <w:highlight w:val="none"/>
              </w:rPr>
            </w:pPr>
            <w:r>
              <w:rPr>
                <w:rFonts w:hint="eastAsia" w:ascii="宋体" w:hAnsi="宋体" w:cs="宋体"/>
                <w:b/>
                <w:spacing w:val="-3"/>
                <w:sz w:val="24"/>
                <w:highlight w:val="none"/>
              </w:rPr>
              <w:t>d.投标人对合 同纠纷、事故处理办法未提出异议；</w:t>
            </w:r>
          </w:p>
          <w:p>
            <w:pPr>
              <w:keepNext w:val="0"/>
              <w:keepLines w:val="0"/>
              <w:suppressLineNumbers w:val="0"/>
              <w:spacing w:before="10" w:beforeAutospacing="0" w:after="0" w:afterAutospacing="0"/>
              <w:ind w:left="0" w:right="0"/>
              <w:rPr>
                <w:rFonts w:hint="eastAsia" w:ascii="宋体" w:hAnsi="宋体" w:cs="宋体"/>
                <w:b/>
                <w:spacing w:val="-3"/>
                <w:sz w:val="24"/>
                <w:highlight w:val="none"/>
              </w:rPr>
            </w:pPr>
            <w:r>
              <w:rPr>
                <w:rFonts w:hint="eastAsia" w:ascii="宋体" w:hAnsi="宋体" w:cs="宋体"/>
                <w:b/>
                <w:spacing w:val="-3"/>
                <w:sz w:val="24"/>
                <w:highlight w:val="none"/>
              </w:rPr>
              <w:t>e.投标人在投标活动中无欺诈行为；</w:t>
            </w:r>
          </w:p>
          <w:p>
            <w:pPr>
              <w:keepNext w:val="0"/>
              <w:keepLines w:val="0"/>
              <w:suppressLineNumbers w:val="0"/>
              <w:spacing w:before="54" w:beforeAutospacing="0" w:after="0" w:afterAutospacing="0"/>
              <w:ind w:left="0" w:right="0"/>
              <w:rPr>
                <w:rFonts w:hint="eastAsia" w:ascii="宋体" w:hAnsi="宋体" w:cs="宋体"/>
                <w:b/>
                <w:spacing w:val="-3"/>
                <w:sz w:val="24"/>
                <w:highlight w:val="none"/>
              </w:rPr>
            </w:pPr>
            <w:r>
              <w:rPr>
                <w:rFonts w:hint="eastAsia" w:ascii="宋体" w:hAnsi="宋体" w:cs="宋体"/>
                <w:b/>
                <w:spacing w:val="-3"/>
                <w:sz w:val="24"/>
                <w:highlight w:val="none"/>
              </w:rPr>
              <w:t>f.投标人未对合同条款有重要保留。</w:t>
            </w:r>
          </w:p>
          <w:p>
            <w:pPr>
              <w:keepNext w:val="0"/>
              <w:keepLines w:val="0"/>
              <w:suppressLineNumbers w:val="0"/>
              <w:spacing w:before="54" w:beforeAutospacing="0" w:after="0" w:afterAutospacing="0"/>
              <w:ind w:left="0" w:right="0"/>
              <w:rPr>
                <w:rFonts w:hint="eastAsia" w:ascii="宋体" w:hAnsi="宋体" w:cs="宋体"/>
                <w:spacing w:val="-3"/>
                <w:sz w:val="24"/>
                <w:highlight w:val="none"/>
              </w:rPr>
            </w:pPr>
            <w:r>
              <w:rPr>
                <w:rFonts w:hint="eastAsia" w:ascii="宋体" w:hAnsi="宋体" w:cs="宋体"/>
                <w:kern w:val="0"/>
                <w:sz w:val="24"/>
                <w:highlight w:val="none"/>
              </w:rPr>
              <w:t>(12)</w:t>
            </w:r>
            <w:r>
              <w:rPr>
                <w:rFonts w:hint="eastAsia" w:ascii="宋体" w:hAnsi="宋体" w:cs="宋体"/>
                <w:spacing w:val="-3"/>
                <w:sz w:val="24"/>
                <w:highlight w:val="none"/>
              </w:rPr>
              <w:t>投标文件正、副本份数符合招标文件第二章“投标人须知”第3.7.4项规定。</w:t>
            </w:r>
          </w:p>
          <w:p>
            <w:pPr>
              <w:keepNext w:val="0"/>
              <w:keepLines w:val="0"/>
              <w:suppressLineNumbers w:val="0"/>
              <w:spacing w:before="54" w:beforeAutospacing="0" w:after="0" w:afterAutospacing="0"/>
              <w:ind w:left="0" w:right="0"/>
              <w:rPr>
                <w:rFonts w:hint="eastAsia" w:ascii="宋体" w:hAnsi="宋体" w:cs="宋体"/>
                <w:kern w:val="0"/>
                <w:sz w:val="24"/>
                <w:highlight w:val="none"/>
              </w:rPr>
            </w:pPr>
            <w:r>
              <w:rPr>
                <w:rFonts w:hint="eastAsia" w:ascii="宋体" w:hAnsi="宋体" w:cs="宋体"/>
                <w:kern w:val="0"/>
                <w:sz w:val="24"/>
                <w:highlight w:val="none"/>
              </w:rPr>
              <w:t>(13)满足第二章“投标人须知正文部分”及“投标人须知前附表”规定的任何一种情形；</w:t>
            </w:r>
          </w:p>
          <w:p>
            <w:pPr>
              <w:keepNext w:val="0"/>
              <w:keepLines w:val="0"/>
              <w:suppressLineNumbers w:val="0"/>
              <w:spacing w:before="54" w:beforeAutospacing="0" w:after="0" w:afterAutospacing="0"/>
              <w:ind w:left="0" w:right="0"/>
              <w:rPr>
                <w:rFonts w:hint="eastAsia" w:ascii="宋体" w:hAnsi="宋体" w:cs="宋体"/>
                <w:sz w:val="24"/>
                <w:highlight w:val="none"/>
              </w:rPr>
            </w:pPr>
            <w:r>
              <w:rPr>
                <w:rFonts w:hint="eastAsia" w:ascii="宋体" w:hAnsi="宋体" w:cs="宋体"/>
                <w:kern w:val="0"/>
                <w:sz w:val="24"/>
                <w:highlight w:val="none"/>
              </w:rPr>
              <w:t>(14)投标文件对本招标文件需承诺内容作出承诺的。</w:t>
            </w:r>
          </w:p>
        </w:tc>
      </w:tr>
      <w:tr>
        <w:tblPrEx>
          <w:tblCellMar>
            <w:top w:w="0" w:type="dxa"/>
            <w:left w:w="0" w:type="dxa"/>
            <w:bottom w:w="0" w:type="dxa"/>
            <w:right w:w="0" w:type="dxa"/>
          </w:tblCellMar>
        </w:tblPrEx>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276" w:lineRule="auto"/>
              <w:ind w:left="38" w:right="0"/>
              <w:jc w:val="center"/>
              <w:rPr>
                <w:rFonts w:hint="eastAsia" w:ascii="宋体" w:hAnsi="宋体" w:cs="宋体"/>
                <w:sz w:val="24"/>
                <w:highlight w:val="none"/>
              </w:rPr>
            </w:pPr>
            <w:r>
              <w:rPr>
                <w:rFonts w:hint="eastAsia" w:ascii="宋体" w:hAnsi="宋体" w:cs="宋体"/>
                <w:sz w:val="24"/>
                <w:highlight w:val="none"/>
              </w:rPr>
              <w:t>2.1.2</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276" w:lineRule="auto"/>
              <w:ind w:left="0" w:right="0"/>
              <w:jc w:val="center"/>
              <w:rPr>
                <w:rFonts w:hint="eastAsia" w:ascii="宋体" w:hAnsi="宋体" w:cs="宋体"/>
                <w:spacing w:val="-1"/>
                <w:sz w:val="24"/>
                <w:highlight w:val="none"/>
              </w:rPr>
            </w:pPr>
            <w:r>
              <w:rPr>
                <w:rFonts w:hint="eastAsia" w:ascii="宋体" w:hAnsi="宋体" w:cs="宋体"/>
                <w:sz w:val="24"/>
                <w:highlight w:val="none"/>
              </w:rPr>
              <w:t>资格评审标准</w:t>
            </w:r>
          </w:p>
        </w:tc>
        <w:tc>
          <w:tcPr>
            <w:tcW w:w="765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8" w:beforeAutospacing="0" w:after="0" w:afterAutospacing="0"/>
              <w:ind w:left="0" w:right="0"/>
              <w:rPr>
                <w:rFonts w:hint="eastAsia" w:ascii="宋体" w:hAnsi="宋体" w:cs="宋体"/>
                <w:spacing w:val="-3"/>
                <w:sz w:val="24"/>
                <w:highlight w:val="none"/>
              </w:rPr>
            </w:pPr>
            <w:r>
              <w:rPr>
                <w:rFonts w:hint="eastAsia" w:ascii="宋体" w:hAnsi="宋体" w:cs="宋体"/>
                <w:kern w:val="0"/>
                <w:sz w:val="24"/>
                <w:highlight w:val="none"/>
              </w:rPr>
              <w:t>(1)</w:t>
            </w:r>
            <w:r>
              <w:rPr>
                <w:rFonts w:hint="eastAsia" w:ascii="宋体" w:hAnsi="宋体" w:cs="宋体"/>
                <w:spacing w:val="-3"/>
                <w:sz w:val="24"/>
                <w:highlight w:val="none"/>
              </w:rPr>
              <w:t>投标人具备有效的营业执照、组织机构代码证（三证合一或五证合一的不需提供）和基本账户开户许可证（或基本存款账户信息）。</w:t>
            </w:r>
          </w:p>
          <w:p>
            <w:pPr>
              <w:keepNext w:val="0"/>
              <w:keepLines w:val="0"/>
              <w:suppressLineNumbers w:val="0"/>
              <w:spacing w:before="8" w:beforeAutospacing="0" w:after="0" w:afterAutospacing="0"/>
              <w:ind w:left="0" w:right="0"/>
              <w:rPr>
                <w:rFonts w:hint="eastAsia" w:ascii="宋体" w:hAnsi="宋体" w:cs="宋体"/>
                <w:spacing w:val="-3"/>
                <w:sz w:val="24"/>
                <w:highlight w:val="none"/>
              </w:rPr>
            </w:pPr>
            <w:r>
              <w:rPr>
                <w:rFonts w:hint="eastAsia" w:ascii="宋体" w:hAnsi="宋体" w:cs="宋体"/>
                <w:kern w:val="0"/>
                <w:sz w:val="24"/>
                <w:highlight w:val="none"/>
              </w:rPr>
              <w:t>(2)</w:t>
            </w:r>
            <w:r>
              <w:rPr>
                <w:rFonts w:hint="eastAsia" w:ascii="宋体" w:hAnsi="宋体" w:cs="宋体"/>
                <w:spacing w:val="-3"/>
                <w:sz w:val="24"/>
                <w:highlight w:val="none"/>
              </w:rPr>
              <w:t>投标人的财务符合招标文件规定。</w:t>
            </w:r>
          </w:p>
          <w:p>
            <w:pPr>
              <w:keepNext w:val="0"/>
              <w:keepLines w:val="0"/>
              <w:suppressLineNumbers w:val="0"/>
              <w:spacing w:before="8" w:beforeAutospacing="0" w:after="0" w:afterAutospacing="0"/>
              <w:ind w:left="0" w:right="0"/>
              <w:rPr>
                <w:rFonts w:hint="eastAsia" w:ascii="宋体" w:hAnsi="宋体" w:cs="宋体"/>
                <w:spacing w:val="-3"/>
                <w:sz w:val="24"/>
                <w:highlight w:val="none"/>
              </w:rPr>
            </w:pPr>
            <w:r>
              <w:rPr>
                <w:rFonts w:hint="eastAsia" w:ascii="宋体" w:hAnsi="宋体" w:cs="宋体"/>
                <w:kern w:val="0"/>
                <w:sz w:val="24"/>
                <w:highlight w:val="none"/>
              </w:rPr>
              <w:t>(3)</w:t>
            </w:r>
            <w:r>
              <w:rPr>
                <w:rFonts w:hint="eastAsia" w:ascii="宋体" w:hAnsi="宋体" w:cs="宋体"/>
                <w:spacing w:val="-3"/>
                <w:sz w:val="24"/>
                <w:highlight w:val="none"/>
              </w:rPr>
              <w:t>投标人的信誉符合招标文件规定。</w:t>
            </w:r>
          </w:p>
          <w:p>
            <w:pPr>
              <w:keepNext w:val="0"/>
              <w:keepLines w:val="0"/>
              <w:suppressLineNumbers w:val="0"/>
              <w:spacing w:before="8" w:beforeAutospacing="0" w:after="0" w:afterAutospacing="0"/>
              <w:ind w:left="0" w:right="0"/>
              <w:rPr>
                <w:rFonts w:hint="eastAsia" w:ascii="宋体" w:hAnsi="宋体" w:cs="宋体"/>
                <w:spacing w:val="-3"/>
                <w:sz w:val="24"/>
                <w:highlight w:val="none"/>
              </w:rPr>
            </w:pPr>
            <w:r>
              <w:rPr>
                <w:rFonts w:hint="eastAsia" w:ascii="宋体" w:hAnsi="宋体" w:cs="宋体"/>
                <w:kern w:val="0"/>
                <w:sz w:val="24"/>
                <w:highlight w:val="none"/>
              </w:rPr>
              <w:t>(4)</w:t>
            </w:r>
            <w:r>
              <w:rPr>
                <w:rFonts w:hint="eastAsia" w:ascii="宋体" w:hAnsi="宋体" w:cs="宋体"/>
                <w:spacing w:val="-3"/>
                <w:sz w:val="24"/>
                <w:highlight w:val="none"/>
              </w:rPr>
              <w:t>投标人的项目负责人资格符合招标文件规定。</w:t>
            </w:r>
          </w:p>
          <w:p>
            <w:pPr>
              <w:keepNext w:val="0"/>
              <w:keepLines w:val="0"/>
              <w:suppressLineNumbers w:val="0"/>
              <w:spacing w:before="8" w:beforeAutospacing="0" w:after="0" w:afterAutospacing="0"/>
              <w:ind w:left="0" w:right="0"/>
              <w:rPr>
                <w:rFonts w:hint="eastAsia" w:ascii="宋体" w:hAnsi="宋体" w:cs="宋体"/>
                <w:spacing w:val="-3"/>
                <w:sz w:val="24"/>
                <w:highlight w:val="none"/>
              </w:rPr>
            </w:pPr>
            <w:r>
              <w:rPr>
                <w:rFonts w:hint="eastAsia" w:ascii="宋体" w:hAnsi="宋体" w:cs="宋体"/>
                <w:kern w:val="0"/>
                <w:sz w:val="24"/>
                <w:highlight w:val="none"/>
              </w:rPr>
              <w:t>(5)</w:t>
            </w:r>
            <w:r>
              <w:rPr>
                <w:rFonts w:hint="eastAsia" w:ascii="宋体" w:hAnsi="宋体" w:cs="宋体"/>
                <w:spacing w:val="-3"/>
                <w:sz w:val="24"/>
                <w:highlight w:val="none"/>
              </w:rPr>
              <w:t>投标人的其他要求符合招标文件规定。</w:t>
            </w:r>
          </w:p>
          <w:p>
            <w:pPr>
              <w:keepNext w:val="0"/>
              <w:keepLines w:val="0"/>
              <w:suppressLineNumbers w:val="0"/>
              <w:spacing w:before="8" w:beforeAutospacing="0" w:after="0" w:afterAutospacing="0"/>
              <w:ind w:left="0" w:right="0"/>
              <w:rPr>
                <w:rFonts w:hint="eastAsia" w:ascii="宋体" w:hAnsi="宋体" w:cs="宋体"/>
                <w:spacing w:val="-3"/>
                <w:sz w:val="24"/>
                <w:highlight w:val="none"/>
              </w:rPr>
            </w:pPr>
            <w:r>
              <w:rPr>
                <w:rFonts w:hint="eastAsia" w:ascii="宋体" w:hAnsi="宋体" w:cs="宋体"/>
                <w:kern w:val="0"/>
                <w:sz w:val="24"/>
                <w:highlight w:val="none"/>
              </w:rPr>
              <w:t>(6)</w:t>
            </w:r>
            <w:r>
              <w:rPr>
                <w:rFonts w:hint="eastAsia" w:ascii="宋体" w:hAnsi="宋体" w:cs="宋体"/>
                <w:spacing w:val="-3"/>
                <w:sz w:val="24"/>
                <w:highlight w:val="none"/>
              </w:rPr>
              <w:t>投标人不存在第二章“投标人须知”第1.4.3项或第1.4.4项规定的任何一种情形。</w:t>
            </w:r>
          </w:p>
        </w:tc>
      </w:tr>
      <w:tr>
        <w:tblPrEx>
          <w:tblCellMar>
            <w:top w:w="0" w:type="dxa"/>
            <w:left w:w="0" w:type="dxa"/>
            <w:bottom w:w="0" w:type="dxa"/>
            <w:right w:w="0" w:type="dxa"/>
          </w:tblCellMar>
        </w:tblPrEx>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74" w:beforeAutospacing="0" w:after="0" w:afterAutospacing="0" w:line="276" w:lineRule="auto"/>
              <w:ind w:left="0" w:right="0"/>
              <w:jc w:val="center"/>
              <w:rPr>
                <w:rFonts w:hint="eastAsia" w:ascii="宋体" w:hAnsi="宋体" w:cs="宋体"/>
                <w:sz w:val="24"/>
                <w:highlight w:val="none"/>
              </w:rPr>
            </w:pPr>
            <w:r>
              <w:rPr>
                <w:rFonts w:hint="eastAsia" w:ascii="宋体" w:hAnsi="宋体" w:cs="宋体"/>
                <w:b/>
                <w:bCs/>
                <w:sz w:val="24"/>
                <w:highlight w:val="none"/>
              </w:rPr>
              <w:t>条款号</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74" w:beforeAutospacing="0" w:after="0" w:afterAutospacing="0" w:line="276" w:lineRule="auto"/>
              <w:ind w:left="0" w:right="0"/>
              <w:jc w:val="center"/>
              <w:rPr>
                <w:rFonts w:hint="eastAsia" w:ascii="宋体" w:hAnsi="宋体" w:cs="宋体"/>
                <w:sz w:val="24"/>
                <w:highlight w:val="none"/>
              </w:rPr>
            </w:pPr>
            <w:r>
              <w:rPr>
                <w:rFonts w:hint="eastAsia" w:ascii="宋体" w:hAnsi="宋体" w:cs="宋体"/>
                <w:b/>
                <w:bCs/>
                <w:sz w:val="24"/>
                <w:highlight w:val="none"/>
              </w:rPr>
              <w:t>条款内容</w:t>
            </w:r>
          </w:p>
        </w:tc>
        <w:tc>
          <w:tcPr>
            <w:tcW w:w="765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74" w:beforeAutospacing="0" w:after="0" w:afterAutospacing="0"/>
              <w:ind w:left="0" w:right="0"/>
              <w:jc w:val="center"/>
              <w:rPr>
                <w:rFonts w:hint="eastAsia" w:ascii="宋体" w:hAnsi="宋体" w:cs="宋体"/>
                <w:sz w:val="24"/>
                <w:highlight w:val="none"/>
              </w:rPr>
            </w:pPr>
            <w:r>
              <w:rPr>
                <w:rFonts w:hint="eastAsia" w:ascii="宋体" w:hAnsi="宋体" w:cs="宋体"/>
                <w:b/>
                <w:bCs/>
                <w:sz w:val="24"/>
                <w:highlight w:val="none"/>
              </w:rPr>
              <w:t>编列内容</w:t>
            </w:r>
          </w:p>
        </w:tc>
      </w:tr>
      <w:tr>
        <w:tblPrEx>
          <w:tblCellMar>
            <w:top w:w="0" w:type="dxa"/>
            <w:left w:w="0" w:type="dxa"/>
            <w:bottom w:w="0" w:type="dxa"/>
            <w:right w:w="0" w:type="dxa"/>
          </w:tblCellMar>
        </w:tblPrEx>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173" w:beforeAutospacing="0" w:after="0" w:afterAutospacing="0" w:line="276" w:lineRule="auto"/>
              <w:ind w:left="0" w:right="0"/>
              <w:jc w:val="center"/>
              <w:rPr>
                <w:rFonts w:hint="eastAsia" w:ascii="宋体" w:hAnsi="宋体" w:cs="宋体"/>
                <w:sz w:val="24"/>
                <w:highlight w:val="none"/>
              </w:rPr>
            </w:pPr>
            <w:r>
              <w:rPr>
                <w:rFonts w:hint="eastAsia" w:ascii="宋体" w:hAnsi="宋体" w:cs="宋体"/>
                <w:sz w:val="24"/>
                <w:highlight w:val="none"/>
              </w:rPr>
              <w:t>2.2.1</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154" w:beforeAutospacing="0" w:after="0" w:afterAutospacing="0" w:line="276" w:lineRule="auto"/>
              <w:ind w:left="0" w:right="0"/>
              <w:jc w:val="center"/>
              <w:rPr>
                <w:rFonts w:hint="eastAsia" w:ascii="宋体" w:hAnsi="宋体" w:cs="宋体"/>
                <w:sz w:val="24"/>
                <w:highlight w:val="none"/>
              </w:rPr>
            </w:pPr>
            <w:r>
              <w:rPr>
                <w:rFonts w:hint="eastAsia" w:ascii="宋体" w:hAnsi="宋体" w:cs="宋体"/>
                <w:sz w:val="24"/>
                <w:highlight w:val="none"/>
              </w:rPr>
              <w:t>分值构成</w:t>
            </w:r>
          </w:p>
          <w:p>
            <w:pPr>
              <w:keepNext w:val="0"/>
              <w:keepLines w:val="0"/>
              <w:suppressLineNumbers w:val="0"/>
              <w:spacing w:before="154" w:beforeAutospacing="0" w:after="0" w:afterAutospacing="0" w:line="276" w:lineRule="auto"/>
              <w:ind w:left="0" w:right="0"/>
              <w:jc w:val="center"/>
              <w:rPr>
                <w:rFonts w:hint="eastAsia" w:ascii="宋体" w:hAnsi="宋体" w:cs="宋体"/>
                <w:sz w:val="24"/>
                <w:highlight w:val="none"/>
                <w:vertAlign w:val="superscript"/>
              </w:rPr>
            </w:pPr>
            <w:r>
              <w:rPr>
                <w:rFonts w:hint="eastAsia" w:ascii="宋体" w:hAnsi="宋体" w:cs="宋体"/>
                <w:sz w:val="24"/>
                <w:highlight w:val="none"/>
              </w:rPr>
              <w:t>（100分）</w:t>
            </w:r>
          </w:p>
        </w:tc>
        <w:tc>
          <w:tcPr>
            <w:tcW w:w="765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20" w:beforeAutospacing="0" w:after="0" w:afterAutospacing="0"/>
              <w:ind w:left="0" w:right="0"/>
              <w:rPr>
                <w:rFonts w:hint="eastAsia" w:ascii="宋体" w:hAnsi="宋体" w:cs="宋体"/>
                <w:sz w:val="24"/>
                <w:highlight w:val="none"/>
              </w:rPr>
            </w:pPr>
            <w:r>
              <w:rPr>
                <w:rFonts w:hint="eastAsia" w:ascii="宋体" w:hAnsi="宋体" w:cs="宋体"/>
                <w:sz w:val="24"/>
                <w:highlight w:val="none"/>
              </w:rPr>
              <w:t>评分分值构成：</w:t>
            </w:r>
          </w:p>
          <w:p>
            <w:pPr>
              <w:keepNext w:val="0"/>
              <w:keepLines w:val="0"/>
              <w:suppressLineNumbers w:val="0"/>
              <w:spacing w:before="20" w:beforeAutospacing="0" w:after="0" w:afterAutospacing="0"/>
              <w:ind w:left="0" w:right="0"/>
              <w:rPr>
                <w:rFonts w:hint="default" w:ascii="宋体" w:hAnsi="宋体" w:cs="宋体"/>
                <w:sz w:val="24"/>
                <w:highlight w:val="none"/>
              </w:rPr>
            </w:pPr>
            <w:r>
              <w:rPr>
                <w:rFonts w:hint="eastAsia" w:ascii="宋体" w:hAnsi="宋体" w:cs="宋体"/>
                <w:sz w:val="24"/>
                <w:highlight w:val="none"/>
              </w:rPr>
              <w:t>1.报价得分：10分</w:t>
            </w:r>
          </w:p>
          <w:p>
            <w:pPr>
              <w:keepNext w:val="0"/>
              <w:keepLines w:val="0"/>
              <w:suppressLineNumbers w:val="0"/>
              <w:spacing w:before="20" w:beforeAutospacing="0" w:after="0" w:afterAutospacing="0"/>
              <w:ind w:left="0" w:right="0"/>
              <w:rPr>
                <w:rFonts w:hint="eastAsia" w:ascii="宋体" w:hAnsi="宋体" w:cs="宋体"/>
                <w:sz w:val="24"/>
                <w:highlight w:val="none"/>
              </w:rPr>
            </w:pPr>
            <w:r>
              <w:rPr>
                <w:rFonts w:hint="eastAsia" w:ascii="宋体" w:hAnsi="宋体" w:cs="宋体"/>
                <w:sz w:val="24"/>
                <w:highlight w:val="none"/>
              </w:rPr>
              <w:t>2.技术建议书：50分</w:t>
            </w:r>
          </w:p>
          <w:p>
            <w:pPr>
              <w:keepNext w:val="0"/>
              <w:keepLines w:val="0"/>
              <w:suppressLineNumbers w:val="0"/>
              <w:spacing w:before="20" w:beforeAutospacing="0" w:after="0" w:afterAutospacing="0"/>
              <w:ind w:left="0" w:right="0"/>
              <w:rPr>
                <w:rFonts w:hint="eastAsia" w:ascii="宋体" w:hAnsi="宋体" w:cs="宋体"/>
                <w:sz w:val="24"/>
                <w:highlight w:val="none"/>
              </w:rPr>
            </w:pPr>
            <w:r>
              <w:rPr>
                <w:rFonts w:hint="eastAsia" w:ascii="宋体" w:hAnsi="宋体" w:cs="宋体"/>
                <w:sz w:val="24"/>
                <w:highlight w:val="none"/>
              </w:rPr>
              <w:t>3.商务得分：40分</w:t>
            </w:r>
          </w:p>
          <w:p>
            <w:pPr>
              <w:keepNext w:val="0"/>
              <w:keepLines w:val="0"/>
              <w:suppressLineNumbers w:val="0"/>
              <w:spacing w:before="20" w:beforeAutospacing="0" w:after="0" w:afterAutospacing="0"/>
              <w:ind w:left="0" w:right="0"/>
              <w:rPr>
                <w:rFonts w:hint="eastAsia" w:ascii="宋体" w:hAnsi="宋体" w:cs="宋体"/>
                <w:sz w:val="24"/>
                <w:highlight w:val="none"/>
              </w:rPr>
            </w:pPr>
            <w:r>
              <w:rPr>
                <w:rFonts w:hint="eastAsia" w:ascii="宋体" w:hAnsi="宋体" w:cs="宋体"/>
                <w:sz w:val="24"/>
                <w:highlight w:val="none"/>
              </w:rPr>
              <w:t>其中：主要人员8分，投标人业绩24分，服务响应承诺2分，主营业务收入4分，企业成立时间2分。</w:t>
            </w:r>
          </w:p>
        </w:tc>
      </w:tr>
      <w:tr>
        <w:tblPrEx>
          <w:tblCellMar>
            <w:top w:w="0" w:type="dxa"/>
            <w:left w:w="0" w:type="dxa"/>
            <w:bottom w:w="0" w:type="dxa"/>
            <w:right w:w="0" w:type="dxa"/>
          </w:tblCellMar>
        </w:tblPrEx>
        <w:trPr>
          <w:trHeight w:val="5526" w:hRule="atLeast"/>
        </w:trPr>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276" w:lineRule="auto"/>
              <w:ind w:left="0" w:right="0"/>
              <w:jc w:val="center"/>
              <w:rPr>
                <w:rFonts w:hint="eastAsia" w:ascii="宋体" w:hAnsi="宋体" w:cs="宋体"/>
                <w:sz w:val="24"/>
                <w:highlight w:val="none"/>
              </w:rPr>
            </w:pPr>
            <w:r>
              <w:rPr>
                <w:rFonts w:hint="eastAsia" w:ascii="宋体" w:hAnsi="宋体" w:cs="宋体"/>
                <w:sz w:val="24"/>
                <w:highlight w:val="none"/>
              </w:rPr>
              <w:t>2.2.2</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276" w:lineRule="auto"/>
              <w:ind w:left="0" w:right="0"/>
              <w:jc w:val="center"/>
              <w:rPr>
                <w:rFonts w:hint="eastAsia" w:ascii="宋体" w:hAnsi="宋体" w:cs="宋体"/>
                <w:sz w:val="24"/>
                <w:highlight w:val="none"/>
              </w:rPr>
            </w:pPr>
            <w:r>
              <w:rPr>
                <w:rFonts w:hint="eastAsia" w:ascii="宋体" w:hAnsi="宋体" w:cs="宋体"/>
                <w:sz w:val="24"/>
                <w:highlight w:val="none"/>
              </w:rPr>
              <w:t>报价得分计算方法</w:t>
            </w:r>
          </w:p>
        </w:tc>
        <w:tc>
          <w:tcPr>
            <w:tcW w:w="765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20" w:beforeAutospacing="0" w:after="0" w:afterAutospacing="0"/>
              <w:ind w:left="0" w:right="0"/>
              <w:rPr>
                <w:rFonts w:hint="eastAsia" w:ascii="宋体" w:hAnsi="宋体" w:cs="宋体"/>
                <w:sz w:val="24"/>
                <w:highlight w:val="none"/>
              </w:rPr>
            </w:pPr>
            <w:r>
              <w:rPr>
                <w:rFonts w:hint="eastAsia" w:ascii="宋体" w:hAnsi="宋体" w:cs="宋体"/>
                <w:sz w:val="24"/>
                <w:highlight w:val="none"/>
              </w:rPr>
              <w:t xml:space="preserve">评标基准价的计算： </w:t>
            </w:r>
          </w:p>
          <w:p>
            <w:pPr>
              <w:keepNext w:val="0"/>
              <w:keepLines w:val="0"/>
              <w:suppressLineNumbers w:val="0"/>
              <w:spacing w:before="20" w:beforeAutospacing="0" w:after="0" w:afterAutospacing="0"/>
              <w:ind w:left="0" w:right="0"/>
              <w:rPr>
                <w:rFonts w:hint="eastAsia" w:ascii="宋体" w:hAnsi="宋体" w:cs="宋体"/>
                <w:sz w:val="24"/>
                <w:highlight w:val="none"/>
              </w:rPr>
            </w:pPr>
            <w:r>
              <w:rPr>
                <w:rFonts w:hint="eastAsia" w:ascii="宋体" w:hAnsi="宋体" w:cs="宋体"/>
                <w:kern w:val="0"/>
                <w:sz w:val="24"/>
                <w:highlight w:val="none"/>
              </w:rPr>
              <w:t>(1)</w:t>
            </w:r>
            <w:r>
              <w:rPr>
                <w:rFonts w:hint="eastAsia" w:ascii="宋体" w:hAnsi="宋体" w:cs="宋体"/>
                <w:sz w:val="24"/>
                <w:highlight w:val="none"/>
              </w:rPr>
              <w:t>评标价（B）</w:t>
            </w:r>
          </w:p>
          <w:p>
            <w:pPr>
              <w:keepNext w:val="0"/>
              <w:keepLines w:val="0"/>
              <w:suppressLineNumbers w:val="0"/>
              <w:spacing w:before="20" w:beforeAutospacing="0" w:after="0" w:afterAutospacing="0"/>
              <w:ind w:left="0" w:right="0"/>
              <w:rPr>
                <w:rFonts w:hint="eastAsia" w:ascii="宋体" w:hAnsi="宋体" w:cs="宋体"/>
                <w:sz w:val="24"/>
                <w:highlight w:val="none"/>
              </w:rPr>
            </w:pPr>
            <w:r>
              <w:rPr>
                <w:rFonts w:hint="eastAsia" w:ascii="宋体" w:hAnsi="宋体" w:cs="宋体"/>
                <w:sz w:val="24"/>
                <w:highlight w:val="none"/>
              </w:rPr>
              <w:t>评标价=在开标现场未被宣布不计入评标基准价的报价且通过初步评审的投标报价（有效投标报价）</w:t>
            </w:r>
          </w:p>
          <w:p>
            <w:pPr>
              <w:keepNext w:val="0"/>
              <w:keepLines w:val="0"/>
              <w:suppressLineNumbers w:val="0"/>
              <w:spacing w:before="20" w:beforeAutospacing="0" w:after="0" w:afterAutospacing="0"/>
              <w:ind w:left="0" w:right="0"/>
              <w:rPr>
                <w:rFonts w:hint="eastAsia" w:ascii="宋体" w:hAnsi="宋体" w:cs="宋体"/>
                <w:sz w:val="24"/>
                <w:highlight w:val="none"/>
              </w:rPr>
            </w:pPr>
            <w:r>
              <w:rPr>
                <w:rFonts w:hint="eastAsia" w:ascii="宋体" w:hAnsi="宋体" w:cs="宋体"/>
                <w:kern w:val="0"/>
                <w:sz w:val="24"/>
                <w:highlight w:val="none"/>
              </w:rPr>
              <w:t>(2)</w:t>
            </w:r>
            <w:r>
              <w:rPr>
                <w:rFonts w:hint="eastAsia" w:ascii="宋体" w:hAnsi="宋体" w:cs="宋体"/>
                <w:sz w:val="24"/>
                <w:highlight w:val="none"/>
              </w:rPr>
              <w:t>评标基准价（A）</w:t>
            </w:r>
          </w:p>
          <w:p>
            <w:pPr>
              <w:keepNext w:val="0"/>
              <w:keepLines w:val="0"/>
              <w:suppressLineNumbers w:val="0"/>
              <w:spacing w:before="20" w:beforeAutospacing="0" w:after="0" w:afterAutospacing="0"/>
              <w:ind w:left="0" w:right="0" w:firstLine="480" w:firstLineChars="200"/>
              <w:rPr>
                <w:rFonts w:hint="eastAsia" w:ascii="宋体" w:hAnsi="宋体" w:cs="宋体"/>
                <w:sz w:val="24"/>
                <w:highlight w:val="none"/>
              </w:rPr>
            </w:pPr>
            <w:r>
              <w:rPr>
                <w:rFonts w:hint="eastAsia" w:ascii="宋体" w:hAnsi="宋体" w:cs="宋体"/>
                <w:sz w:val="24"/>
                <w:highlight w:val="none"/>
              </w:rPr>
              <w:t>评标基准价=有效投标报价并且下浮率为0.01%-15%（含0.01%、15%）之间的所有报价的算术平均值</w:t>
            </w:r>
          </w:p>
          <w:p>
            <w:pPr>
              <w:keepNext w:val="0"/>
              <w:keepLines w:val="0"/>
              <w:suppressLineNumbers w:val="0"/>
              <w:spacing w:before="20" w:beforeAutospacing="0" w:after="0" w:afterAutospacing="0"/>
              <w:ind w:left="0" w:right="0"/>
              <w:rPr>
                <w:rFonts w:hint="eastAsia" w:ascii="宋体" w:hAnsi="宋体" w:cs="宋体"/>
                <w:sz w:val="24"/>
                <w:highlight w:val="none"/>
              </w:rPr>
            </w:pPr>
            <w:r>
              <w:rPr>
                <w:rFonts w:hint="eastAsia" w:ascii="宋体" w:hAnsi="宋体" w:cs="宋体"/>
                <w:kern w:val="0"/>
                <w:sz w:val="24"/>
                <w:highlight w:val="none"/>
              </w:rPr>
              <w:t>(3)</w:t>
            </w:r>
            <w:r>
              <w:rPr>
                <w:rFonts w:hint="eastAsia" w:ascii="宋体" w:hAnsi="宋体" w:cs="宋体"/>
                <w:sz w:val="24"/>
                <w:highlight w:val="none"/>
              </w:rPr>
              <w:t>报价得分=10-</w:t>
            </w:r>
            <w:r>
              <w:rPr>
                <w:rFonts w:hint="eastAsia" w:ascii="宋体" w:hAnsi="宋体" w:cs="宋体"/>
                <w:b/>
                <w:sz w:val="24"/>
                <w:highlight w:val="none"/>
              </w:rPr>
              <w:t>｜</w:t>
            </w:r>
            <w:r>
              <w:rPr>
                <w:rFonts w:hint="eastAsia" w:ascii="宋体" w:hAnsi="宋体" w:cs="宋体"/>
                <w:sz w:val="24"/>
                <w:highlight w:val="none"/>
              </w:rPr>
              <w:t>【评标价(B)-评标基准价(A)】</w:t>
            </w:r>
            <w:r>
              <w:rPr>
                <w:rFonts w:hint="eastAsia" w:ascii="宋体" w:hAnsi="宋体" w:cs="宋体"/>
                <w:b/>
                <w:sz w:val="24"/>
                <w:highlight w:val="none"/>
              </w:rPr>
              <w:t>｜</w:t>
            </w:r>
            <w:r>
              <w:rPr>
                <w:rFonts w:hint="eastAsia" w:ascii="宋体" w:hAnsi="宋体" w:cs="宋体"/>
                <w:sz w:val="24"/>
                <w:highlight w:val="none"/>
              </w:rPr>
              <w:t>×100×0.2</w:t>
            </w:r>
          </w:p>
          <w:p>
            <w:pPr>
              <w:keepNext w:val="0"/>
              <w:keepLines w:val="0"/>
              <w:suppressLineNumbers w:val="0"/>
              <w:spacing w:before="20" w:beforeAutospacing="0" w:after="0" w:afterAutospacing="0"/>
              <w:ind w:left="0" w:right="0"/>
              <w:rPr>
                <w:rFonts w:hint="eastAsia" w:ascii="宋体" w:hAnsi="宋体" w:cs="宋体"/>
                <w:b/>
                <w:sz w:val="24"/>
                <w:highlight w:val="none"/>
              </w:rPr>
            </w:pPr>
            <w:r>
              <w:rPr>
                <w:rFonts w:hint="eastAsia" w:ascii="宋体" w:hAnsi="宋体" w:cs="宋体"/>
                <w:b/>
                <w:sz w:val="22"/>
                <w:highlight w:val="none"/>
              </w:rPr>
              <w:t>注</w:t>
            </w:r>
            <w:r>
              <w:rPr>
                <w:rFonts w:hint="eastAsia" w:ascii="宋体" w:hAnsi="宋体" w:cs="宋体"/>
                <w:b/>
                <w:sz w:val="24"/>
                <w:highlight w:val="none"/>
              </w:rPr>
              <w:t>：</w:t>
            </w:r>
          </w:p>
          <w:p>
            <w:pPr>
              <w:keepNext w:val="0"/>
              <w:keepLines w:val="0"/>
              <w:suppressLineNumbers w:val="0"/>
              <w:spacing w:before="20" w:beforeAutospacing="0" w:after="0" w:afterAutospacing="0"/>
              <w:ind w:left="0" w:right="0"/>
              <w:rPr>
                <w:rFonts w:hint="eastAsia" w:ascii="宋体" w:hAnsi="宋体" w:cs="宋体"/>
                <w:b/>
                <w:sz w:val="22"/>
                <w:highlight w:val="none"/>
              </w:rPr>
            </w:pPr>
            <w:r>
              <w:rPr>
                <w:rFonts w:hint="eastAsia" w:ascii="宋体" w:hAnsi="宋体" w:cs="宋体"/>
                <w:b/>
                <w:sz w:val="22"/>
                <w:highlight w:val="none"/>
              </w:rPr>
              <w:t>①B值和A值精确到小数点后两位（如：14.54%、10.15%）。</w:t>
            </w:r>
          </w:p>
          <w:p>
            <w:pPr>
              <w:keepNext w:val="0"/>
              <w:keepLines w:val="0"/>
              <w:suppressLineNumbers w:val="0"/>
              <w:spacing w:before="20" w:beforeAutospacing="0" w:after="0" w:afterAutospacing="0"/>
              <w:ind w:left="0" w:right="0"/>
              <w:rPr>
                <w:rFonts w:hint="eastAsia" w:ascii="宋体" w:hAnsi="宋体" w:cs="宋体"/>
                <w:b/>
                <w:sz w:val="22"/>
                <w:highlight w:val="none"/>
              </w:rPr>
            </w:pPr>
            <w:r>
              <w:rPr>
                <w:rFonts w:hint="eastAsia" w:ascii="宋体" w:hAnsi="宋体" w:cs="宋体"/>
                <w:b/>
                <w:sz w:val="22"/>
                <w:highlight w:val="none"/>
              </w:rPr>
              <w:t>②评标价(B)-评标基准价(A)值取绝对值</w:t>
            </w:r>
          </w:p>
          <w:p>
            <w:pPr>
              <w:keepNext w:val="0"/>
              <w:keepLines w:val="0"/>
              <w:suppressLineNumbers w:val="0"/>
              <w:spacing w:before="20" w:beforeAutospacing="0" w:after="0" w:afterAutospacing="0"/>
              <w:ind w:left="0" w:right="0"/>
              <w:rPr>
                <w:rFonts w:hint="eastAsia" w:ascii="宋体" w:hAnsi="宋体" w:cs="宋体"/>
                <w:b/>
                <w:sz w:val="22"/>
                <w:highlight w:val="none"/>
              </w:rPr>
            </w:pPr>
            <w:r>
              <w:rPr>
                <w:rFonts w:hint="eastAsia" w:ascii="宋体" w:hAnsi="宋体" w:cs="宋体"/>
                <w:b/>
                <w:sz w:val="22"/>
                <w:highlight w:val="none"/>
              </w:rPr>
              <w:t>③例如3个单位将为有效投标报价, B值分别是下浮15%、10%、8%，则A=11% ，得分分别是9.2、9.8、9.4。</w:t>
            </w:r>
          </w:p>
          <w:p>
            <w:pPr>
              <w:keepNext w:val="0"/>
              <w:keepLines w:val="0"/>
              <w:suppressLineNumbers w:val="0"/>
              <w:spacing w:before="20" w:beforeAutospacing="0" w:after="0" w:afterAutospacing="0"/>
              <w:ind w:left="0" w:right="0"/>
              <w:rPr>
                <w:rFonts w:hint="eastAsia" w:ascii="宋体" w:hAnsi="宋体" w:cs="宋体"/>
                <w:b/>
                <w:sz w:val="22"/>
                <w:highlight w:val="none"/>
              </w:rPr>
            </w:pPr>
            <w:r>
              <w:rPr>
                <w:rFonts w:hint="eastAsia" w:ascii="宋体" w:hAnsi="宋体" w:cs="宋体"/>
                <w:b/>
                <w:sz w:val="22"/>
                <w:highlight w:val="none"/>
              </w:rPr>
              <w:t>④投标报价均指下浮率报价。</w:t>
            </w:r>
          </w:p>
          <w:p>
            <w:pPr>
              <w:keepNext w:val="0"/>
              <w:keepLines w:val="0"/>
              <w:suppressLineNumbers w:val="0"/>
              <w:spacing w:before="20" w:beforeAutospacing="0" w:after="0" w:afterAutospacing="0"/>
              <w:ind w:left="0" w:right="0"/>
              <w:rPr>
                <w:rFonts w:hint="eastAsia" w:ascii="宋体" w:hAnsi="宋体" w:cs="宋体"/>
                <w:sz w:val="24"/>
                <w:highlight w:val="none"/>
              </w:rPr>
            </w:pPr>
            <w:r>
              <w:rPr>
                <w:rFonts w:hint="eastAsia" w:ascii="宋体" w:hAnsi="宋体" w:cs="宋体"/>
                <w:b/>
                <w:sz w:val="22"/>
                <w:highlight w:val="none"/>
              </w:rPr>
              <w:t>⑤下</w:t>
            </w:r>
            <w:r>
              <w:rPr>
                <w:rFonts w:hint="eastAsia" w:ascii="宋体" w:hAnsi="宋体" w:cs="宋体"/>
                <w:b/>
                <w:bCs/>
                <w:sz w:val="22"/>
                <w:highlight w:val="none"/>
              </w:rPr>
              <w:t>浮率为0.01%-15%（含0.01%、15%）以外且不为负数的投标报价不作无效标处理，但不能进入评标价平均值的计算。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5161" w:type="dxa"/>
            <w:gridSpan w:val="6"/>
            <w:vAlign w:val="center"/>
          </w:tcPr>
          <w:p>
            <w:pPr>
              <w:keepNext w:val="0"/>
              <w:keepLines w:val="0"/>
              <w:suppressLineNumbers w:val="0"/>
              <w:spacing w:before="78" w:beforeAutospacing="0" w:after="0" w:afterAutospacing="0"/>
              <w:ind w:left="0" w:right="0"/>
              <w:jc w:val="center"/>
              <w:rPr>
                <w:rFonts w:hint="eastAsia" w:ascii="宋体" w:hAnsi="宋体" w:cs="宋体"/>
                <w:b/>
                <w:sz w:val="24"/>
                <w:highlight w:val="none"/>
              </w:rPr>
            </w:pPr>
            <w:r>
              <w:rPr>
                <w:rFonts w:hint="eastAsia" w:ascii="宋体" w:hAnsi="宋体" w:cs="宋体"/>
                <w:b/>
                <w:sz w:val="24"/>
                <w:highlight w:val="none"/>
              </w:rPr>
              <w:t>评分因素与权重分值</w:t>
            </w:r>
          </w:p>
        </w:tc>
        <w:tc>
          <w:tcPr>
            <w:tcW w:w="4479" w:type="dxa"/>
            <w:vMerge w:val="restart"/>
            <w:vAlign w:val="center"/>
          </w:tcPr>
          <w:p>
            <w:pPr>
              <w:keepNext w:val="0"/>
              <w:keepLines w:val="0"/>
              <w:suppressLineNumbers w:val="0"/>
              <w:spacing w:before="0" w:beforeAutospacing="0" w:after="0" w:afterAutospacing="0"/>
              <w:ind w:left="0" w:right="0"/>
              <w:jc w:val="center"/>
              <w:rPr>
                <w:rFonts w:hint="eastAsia" w:ascii="宋体" w:hAnsi="宋体" w:cs="宋体"/>
                <w:b/>
                <w:sz w:val="24"/>
                <w:highlight w:val="none"/>
              </w:rPr>
            </w:pPr>
            <w:r>
              <w:rPr>
                <w:rFonts w:hint="eastAsia" w:ascii="宋体" w:hAnsi="宋体" w:cs="宋体"/>
                <w:b/>
                <w:sz w:val="24"/>
                <w:highlight w:val="none"/>
              </w:rPr>
              <w:t>评分标准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6" w:hRule="atLeast"/>
        </w:trPr>
        <w:tc>
          <w:tcPr>
            <w:tcW w:w="993" w:type="dxa"/>
            <w:gridSpan w:val="2"/>
            <w:vAlign w:val="center"/>
          </w:tcPr>
          <w:p>
            <w:pPr>
              <w:keepNext w:val="0"/>
              <w:keepLines w:val="0"/>
              <w:suppressLineNumbers w:val="0"/>
              <w:spacing w:before="0" w:beforeAutospacing="0" w:after="0" w:afterAutospacing="0"/>
              <w:ind w:left="0" w:right="0"/>
              <w:jc w:val="center"/>
              <w:rPr>
                <w:rFonts w:hint="eastAsia" w:ascii="宋体" w:hAnsi="宋体" w:cs="宋体"/>
                <w:b/>
                <w:sz w:val="24"/>
                <w:highlight w:val="none"/>
              </w:rPr>
            </w:pPr>
            <w:r>
              <w:rPr>
                <w:rFonts w:hint="eastAsia" w:ascii="宋体" w:hAnsi="宋体" w:cs="宋体"/>
                <w:b/>
                <w:sz w:val="24"/>
                <w:highlight w:val="none"/>
              </w:rPr>
              <w:t>条款号</w:t>
            </w:r>
          </w:p>
        </w:tc>
        <w:tc>
          <w:tcPr>
            <w:tcW w:w="992" w:type="dxa"/>
            <w:vAlign w:val="center"/>
          </w:tcPr>
          <w:p>
            <w:pPr>
              <w:keepNext w:val="0"/>
              <w:keepLines w:val="0"/>
              <w:suppressLineNumbers w:val="0"/>
              <w:spacing w:before="0" w:beforeAutospacing="0" w:after="0" w:afterAutospacing="0"/>
              <w:ind w:left="0" w:right="0"/>
              <w:jc w:val="center"/>
              <w:rPr>
                <w:rFonts w:hint="eastAsia" w:ascii="宋体" w:hAnsi="宋体" w:cs="宋体"/>
                <w:b/>
                <w:sz w:val="24"/>
                <w:highlight w:val="none"/>
              </w:rPr>
            </w:pPr>
            <w:r>
              <w:rPr>
                <w:rFonts w:hint="eastAsia" w:ascii="宋体" w:hAnsi="宋体" w:cs="宋体"/>
                <w:b/>
                <w:sz w:val="24"/>
                <w:highlight w:val="none"/>
              </w:rPr>
              <w:t>评分因素</w:t>
            </w:r>
          </w:p>
        </w:tc>
        <w:tc>
          <w:tcPr>
            <w:tcW w:w="993" w:type="dxa"/>
            <w:vAlign w:val="center"/>
          </w:tcPr>
          <w:p>
            <w:pPr>
              <w:keepNext w:val="0"/>
              <w:keepLines w:val="0"/>
              <w:suppressLineNumbers w:val="0"/>
              <w:spacing w:before="27" w:beforeAutospacing="0" w:after="0" w:afterAutospacing="0"/>
              <w:ind w:left="0" w:right="0"/>
              <w:jc w:val="center"/>
              <w:rPr>
                <w:rFonts w:hint="eastAsia" w:ascii="宋体" w:hAnsi="宋体" w:cs="宋体"/>
                <w:b/>
                <w:sz w:val="24"/>
                <w:highlight w:val="none"/>
              </w:rPr>
            </w:pPr>
            <w:r>
              <w:rPr>
                <w:rFonts w:hint="eastAsia" w:ascii="宋体" w:hAnsi="宋体" w:cs="宋体"/>
                <w:b/>
                <w:sz w:val="24"/>
                <w:highlight w:val="none"/>
              </w:rPr>
              <w:t>评分因素</w:t>
            </w:r>
          </w:p>
          <w:p>
            <w:pPr>
              <w:keepNext w:val="0"/>
              <w:keepLines w:val="0"/>
              <w:suppressLineNumbers w:val="0"/>
              <w:spacing w:before="27" w:beforeAutospacing="0" w:after="0" w:afterAutospacing="0"/>
              <w:ind w:left="0" w:right="0"/>
              <w:jc w:val="center"/>
              <w:rPr>
                <w:rFonts w:hint="eastAsia" w:ascii="宋体" w:hAnsi="宋体" w:cs="宋体"/>
                <w:b/>
                <w:sz w:val="24"/>
                <w:highlight w:val="none"/>
              </w:rPr>
            </w:pPr>
            <w:r>
              <w:rPr>
                <w:rFonts w:hint="eastAsia" w:ascii="宋体" w:hAnsi="宋体" w:cs="宋体"/>
                <w:b/>
                <w:sz w:val="24"/>
                <w:highlight w:val="none"/>
              </w:rPr>
              <w:t>权重分值</w:t>
            </w:r>
          </w:p>
        </w:tc>
        <w:tc>
          <w:tcPr>
            <w:tcW w:w="1417" w:type="dxa"/>
            <w:vAlign w:val="center"/>
          </w:tcPr>
          <w:p>
            <w:pPr>
              <w:keepNext w:val="0"/>
              <w:keepLines w:val="0"/>
              <w:suppressLineNumbers w:val="0"/>
              <w:spacing w:before="0" w:beforeAutospacing="0" w:after="0" w:afterAutospacing="0"/>
              <w:ind w:left="0" w:right="0"/>
              <w:jc w:val="center"/>
              <w:rPr>
                <w:rFonts w:hint="eastAsia" w:ascii="宋体" w:hAnsi="宋体" w:cs="宋体"/>
                <w:b/>
                <w:sz w:val="24"/>
                <w:highlight w:val="none"/>
              </w:rPr>
            </w:pPr>
            <w:r>
              <w:rPr>
                <w:rFonts w:hint="eastAsia" w:ascii="宋体" w:hAnsi="宋体" w:cs="宋体"/>
                <w:b/>
                <w:sz w:val="24"/>
                <w:highlight w:val="none"/>
              </w:rPr>
              <w:t>各评分因素</w:t>
            </w:r>
          </w:p>
          <w:p>
            <w:pPr>
              <w:keepNext w:val="0"/>
              <w:keepLines w:val="0"/>
              <w:suppressLineNumbers w:val="0"/>
              <w:spacing w:before="0" w:beforeAutospacing="0" w:after="0" w:afterAutospacing="0"/>
              <w:ind w:left="0" w:right="0"/>
              <w:jc w:val="center"/>
              <w:rPr>
                <w:rFonts w:hint="eastAsia" w:ascii="宋体" w:hAnsi="宋体" w:cs="宋体"/>
                <w:b/>
                <w:sz w:val="24"/>
                <w:highlight w:val="none"/>
              </w:rPr>
            </w:pPr>
            <w:r>
              <w:rPr>
                <w:rFonts w:hint="eastAsia" w:ascii="宋体" w:hAnsi="宋体" w:cs="宋体"/>
                <w:b/>
                <w:sz w:val="24"/>
                <w:highlight w:val="none"/>
              </w:rPr>
              <w:t>细分项</w:t>
            </w:r>
          </w:p>
        </w:tc>
        <w:tc>
          <w:tcPr>
            <w:tcW w:w="766" w:type="dxa"/>
            <w:vAlign w:val="center"/>
          </w:tcPr>
          <w:p>
            <w:pPr>
              <w:keepNext w:val="0"/>
              <w:keepLines w:val="0"/>
              <w:suppressLineNumbers w:val="0"/>
              <w:spacing w:before="0" w:beforeAutospacing="0" w:after="0" w:afterAutospacing="0"/>
              <w:ind w:left="0" w:right="84"/>
              <w:jc w:val="center"/>
              <w:rPr>
                <w:rFonts w:hint="eastAsia" w:ascii="宋体" w:hAnsi="宋体" w:cs="宋体"/>
                <w:b/>
                <w:sz w:val="24"/>
                <w:highlight w:val="none"/>
              </w:rPr>
            </w:pPr>
            <w:r>
              <w:rPr>
                <w:rFonts w:hint="eastAsia" w:ascii="宋体" w:hAnsi="宋体" w:cs="宋体"/>
                <w:b/>
                <w:sz w:val="24"/>
                <w:highlight w:val="none"/>
              </w:rPr>
              <w:t>分值</w:t>
            </w:r>
          </w:p>
        </w:tc>
        <w:tc>
          <w:tcPr>
            <w:tcW w:w="4479" w:type="dxa"/>
            <w:vMerge w:val="continue"/>
            <w:vAlign w:val="center"/>
          </w:tcPr>
          <w:p>
            <w:pPr>
              <w:keepNext w:val="0"/>
              <w:keepLines w:val="0"/>
              <w:suppressLineNumbers w:val="0"/>
              <w:spacing w:before="0" w:beforeAutospacing="0" w:after="0" w:afterAutospacing="0"/>
              <w:ind w:left="0" w:right="0"/>
              <w:jc w:val="center"/>
              <w:rPr>
                <w:rFonts w:hint="eastAsia" w:ascii="宋体" w:hAnsi="宋体" w:cs="宋体"/>
                <w:b/>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66" w:hRule="atLeast"/>
        </w:trPr>
        <w:tc>
          <w:tcPr>
            <w:tcW w:w="993" w:type="dxa"/>
            <w:gridSpan w:val="2"/>
            <w:vMerge w:val="restart"/>
            <w:vAlign w:val="center"/>
          </w:tcPr>
          <w:p>
            <w:pPr>
              <w:keepNext w:val="0"/>
              <w:keepLines w:val="0"/>
              <w:suppressLineNumbers w:val="0"/>
              <w:spacing w:before="0" w:beforeAutospacing="0" w:after="0" w:afterAutospacing="0"/>
              <w:ind w:left="0" w:right="0"/>
              <w:jc w:val="center"/>
              <w:rPr>
                <w:rFonts w:hint="eastAsia" w:ascii="宋体" w:hAnsi="宋体" w:cs="宋体"/>
                <w:sz w:val="24"/>
                <w:highlight w:val="none"/>
              </w:rPr>
            </w:pPr>
            <w:r>
              <w:rPr>
                <w:rFonts w:hint="eastAsia" w:ascii="宋体" w:hAnsi="宋体" w:cs="宋体"/>
                <w:sz w:val="24"/>
                <w:highlight w:val="none"/>
              </w:rPr>
              <w:t>2.2.3</w:t>
            </w:r>
          </w:p>
          <w:p>
            <w:pPr>
              <w:pStyle w:val="2"/>
              <w:keepNext w:val="0"/>
              <w:keepLines w:val="0"/>
              <w:suppressLineNumbers w:val="0"/>
              <w:spacing w:before="0" w:beforeAutospacing="0" w:after="0" w:afterAutospacing="0"/>
              <w:ind w:left="0" w:right="0"/>
              <w:jc w:val="center"/>
              <w:rPr>
                <w:rFonts w:hint="eastAsia"/>
                <w:highlight w:val="none"/>
              </w:rPr>
            </w:pPr>
            <w:r>
              <w:rPr>
                <w:rFonts w:hint="eastAsia"/>
                <w:highlight w:val="none"/>
              </w:rPr>
              <w:t>技术评分</w:t>
            </w:r>
          </w:p>
        </w:tc>
        <w:tc>
          <w:tcPr>
            <w:tcW w:w="992" w:type="dxa"/>
            <w:vMerge w:val="restart"/>
            <w:vAlign w:val="center"/>
          </w:tcPr>
          <w:p>
            <w:pPr>
              <w:keepNext w:val="0"/>
              <w:keepLines w:val="0"/>
              <w:suppressLineNumbers w:val="0"/>
              <w:spacing w:before="0" w:beforeAutospacing="0" w:after="0" w:afterAutospacing="0"/>
              <w:ind w:left="0" w:right="0"/>
              <w:jc w:val="center"/>
              <w:rPr>
                <w:rFonts w:hint="eastAsia" w:ascii="宋体" w:hAnsi="宋体" w:cs="宋体"/>
                <w:sz w:val="24"/>
                <w:highlight w:val="none"/>
              </w:rPr>
            </w:pPr>
            <w:r>
              <w:rPr>
                <w:rFonts w:hint="eastAsia" w:ascii="宋体" w:hAnsi="宋体" w:cs="宋体"/>
                <w:sz w:val="24"/>
                <w:highlight w:val="none"/>
              </w:rPr>
              <w:t>技术</w:t>
            </w:r>
          </w:p>
          <w:p>
            <w:pPr>
              <w:keepNext w:val="0"/>
              <w:keepLines w:val="0"/>
              <w:suppressLineNumbers w:val="0"/>
              <w:spacing w:before="0" w:beforeAutospacing="0" w:after="0" w:afterAutospacing="0"/>
              <w:ind w:left="0" w:right="0"/>
              <w:jc w:val="center"/>
              <w:rPr>
                <w:rFonts w:hint="default" w:ascii="宋体" w:hAnsi="宋体" w:cs="宋体"/>
                <w:sz w:val="24"/>
                <w:highlight w:val="none"/>
              </w:rPr>
            </w:pPr>
            <w:r>
              <w:rPr>
                <w:rFonts w:hint="eastAsia" w:ascii="宋体" w:hAnsi="宋体" w:cs="宋体"/>
                <w:sz w:val="24"/>
                <w:highlight w:val="none"/>
              </w:rPr>
              <w:t>建议书</w:t>
            </w:r>
          </w:p>
        </w:tc>
        <w:tc>
          <w:tcPr>
            <w:tcW w:w="993" w:type="dxa"/>
            <w:vMerge w:val="restart"/>
            <w:vAlign w:val="center"/>
          </w:tcPr>
          <w:p>
            <w:pPr>
              <w:keepNext w:val="0"/>
              <w:keepLines w:val="0"/>
              <w:suppressLineNumbers w:val="0"/>
              <w:spacing w:before="0" w:beforeAutospacing="0" w:after="0" w:afterAutospacing="0"/>
              <w:ind w:left="0" w:right="0"/>
              <w:jc w:val="center"/>
              <w:rPr>
                <w:rFonts w:hint="eastAsia" w:ascii="宋体" w:hAnsi="宋体" w:cs="宋体"/>
                <w:sz w:val="24"/>
                <w:highlight w:val="none"/>
              </w:rPr>
            </w:pPr>
            <w:r>
              <w:rPr>
                <w:rFonts w:hint="eastAsia" w:ascii="宋体" w:hAnsi="宋体" w:cs="宋体"/>
                <w:sz w:val="24"/>
                <w:highlight w:val="none"/>
              </w:rPr>
              <w:t>50分</w:t>
            </w:r>
          </w:p>
        </w:tc>
        <w:tc>
          <w:tcPr>
            <w:tcW w:w="1417" w:type="dxa"/>
            <w:vAlign w:val="center"/>
          </w:tcPr>
          <w:p>
            <w:pPr>
              <w:keepNext w:val="0"/>
              <w:keepLines w:val="0"/>
              <w:suppressLineNumbers w:val="0"/>
              <w:spacing w:before="0" w:beforeAutospacing="0" w:after="0" w:afterAutospacing="0"/>
              <w:ind w:left="0" w:right="0"/>
              <w:jc w:val="center"/>
              <w:rPr>
                <w:rFonts w:hint="eastAsia" w:ascii="宋体" w:hAnsi="宋体" w:cs="宋体"/>
                <w:sz w:val="24"/>
                <w:highlight w:val="none"/>
              </w:rPr>
            </w:pPr>
            <w:r>
              <w:rPr>
                <w:rFonts w:hint="eastAsia" w:ascii="宋体" w:hAnsi="宋体" w:cs="宋体"/>
                <w:sz w:val="24"/>
                <w:highlight w:val="none"/>
              </w:rPr>
              <w:t>审计实施</w:t>
            </w:r>
          </w:p>
          <w:p>
            <w:pPr>
              <w:keepNext w:val="0"/>
              <w:keepLines w:val="0"/>
              <w:suppressLineNumbers w:val="0"/>
              <w:spacing w:before="0" w:beforeAutospacing="0" w:after="0" w:afterAutospacing="0"/>
              <w:ind w:left="0" w:right="0"/>
              <w:jc w:val="center"/>
              <w:rPr>
                <w:rFonts w:hint="eastAsia" w:ascii="宋体" w:hAnsi="宋体" w:cs="宋体"/>
                <w:sz w:val="24"/>
                <w:highlight w:val="none"/>
              </w:rPr>
            </w:pPr>
            <w:r>
              <w:rPr>
                <w:rFonts w:hint="eastAsia" w:ascii="宋体" w:hAnsi="宋体" w:cs="宋体"/>
                <w:sz w:val="24"/>
                <w:highlight w:val="none"/>
              </w:rPr>
              <w:t>方案</w:t>
            </w:r>
          </w:p>
        </w:tc>
        <w:tc>
          <w:tcPr>
            <w:tcW w:w="766" w:type="dxa"/>
            <w:vAlign w:val="center"/>
          </w:tcPr>
          <w:p>
            <w:pPr>
              <w:keepNext w:val="0"/>
              <w:keepLines w:val="0"/>
              <w:suppressLineNumbers w:val="0"/>
              <w:tabs>
                <w:tab w:val="left" w:pos="840"/>
              </w:tabs>
              <w:adjustRightInd w:val="0"/>
              <w:snapToGrid w:val="0"/>
              <w:spacing w:before="0" w:beforeAutospacing="0" w:after="0" w:afterAutospacing="0"/>
              <w:ind w:left="0" w:right="0"/>
              <w:jc w:val="center"/>
              <w:rPr>
                <w:rFonts w:hint="eastAsia" w:ascii="宋体" w:hAnsi="宋体" w:cs="宋体"/>
                <w:sz w:val="24"/>
                <w:highlight w:val="none"/>
              </w:rPr>
            </w:pPr>
            <w:r>
              <w:rPr>
                <w:rFonts w:hint="eastAsia" w:ascii="宋体" w:hAnsi="宋体" w:cs="宋体"/>
                <w:sz w:val="24"/>
                <w:highlight w:val="none"/>
              </w:rPr>
              <w:t>30分</w:t>
            </w:r>
          </w:p>
        </w:tc>
        <w:tc>
          <w:tcPr>
            <w:tcW w:w="4479" w:type="dxa"/>
            <w:vAlign w:val="center"/>
          </w:tcPr>
          <w:p>
            <w:pPr>
              <w:pStyle w:val="2"/>
              <w:keepNext w:val="0"/>
              <w:keepLines w:val="0"/>
              <w:suppressLineNumbers w:val="0"/>
              <w:spacing w:before="0" w:beforeAutospacing="0" w:after="0" w:afterAutospacing="0" w:line="240" w:lineRule="auto"/>
              <w:ind w:left="0" w:right="0" w:firstLine="0"/>
              <w:rPr>
                <w:rStyle w:val="11"/>
                <w:rFonts w:hint="eastAsia" w:ascii="宋体" w:hAnsi="宋体" w:cs="宋体"/>
                <w:color w:val="auto"/>
                <w:highlight w:val="none"/>
              </w:rPr>
            </w:pPr>
            <w:r>
              <w:rPr>
                <w:rStyle w:val="11"/>
                <w:rFonts w:hint="eastAsia" w:ascii="宋体" w:hAnsi="宋体" w:cs="宋体"/>
                <w:color w:val="auto"/>
                <w:highlight w:val="none"/>
              </w:rPr>
              <w:t>工作方案思路清晰，操作性强，企业规章制度完善并承诺在本项目中贯彻执行,有承诺严格遵守和接受本次甲方的各项要求和规定，</w:t>
            </w:r>
            <w:r>
              <w:rPr>
                <w:rFonts w:hint="default"/>
                <w:highlight w:val="none"/>
              </w:rPr>
              <w:fldChar w:fldCharType="begin"/>
            </w:r>
            <w:r>
              <w:rPr>
                <w:rFonts w:hint="default"/>
                <w:highlight w:val="none"/>
              </w:rPr>
              <w:instrText xml:space="preserve"> HYPERLINK "file:///H:\\l%20" </w:instrText>
            </w:r>
            <w:r>
              <w:rPr>
                <w:rFonts w:hint="default"/>
                <w:highlight w:val="none"/>
              </w:rPr>
              <w:fldChar w:fldCharType="separate"/>
            </w:r>
            <w:r>
              <w:rPr>
                <w:rStyle w:val="11"/>
                <w:rFonts w:hint="eastAsia" w:ascii="宋体" w:hAnsi="宋体" w:cs="宋体"/>
                <w:color w:val="auto"/>
                <w:highlight w:val="none"/>
              </w:rPr>
              <w:t>有人力、物力资源保证承诺</w:t>
            </w:r>
            <w:r>
              <w:rPr>
                <w:rStyle w:val="11"/>
                <w:rFonts w:hint="eastAsia" w:ascii="宋体" w:hAnsi="宋体" w:cs="宋体"/>
                <w:color w:val="auto"/>
                <w:highlight w:val="none"/>
              </w:rPr>
              <w:fldChar w:fldCharType="end"/>
            </w:r>
            <w:r>
              <w:rPr>
                <w:rFonts w:hint="default"/>
                <w:highlight w:val="none"/>
              </w:rPr>
              <w:fldChar w:fldCharType="begin"/>
            </w:r>
            <w:r>
              <w:rPr>
                <w:rFonts w:hint="default"/>
                <w:highlight w:val="none"/>
              </w:rPr>
              <w:instrText xml:space="preserve"> HYPERLINK "file:///H:\\l%20" </w:instrText>
            </w:r>
            <w:r>
              <w:rPr>
                <w:rFonts w:hint="default"/>
                <w:highlight w:val="none"/>
              </w:rPr>
              <w:fldChar w:fldCharType="separate"/>
            </w:r>
            <w:r>
              <w:rPr>
                <w:rStyle w:val="11"/>
                <w:rFonts w:hint="eastAsia" w:ascii="宋体" w:hAnsi="宋体" w:cs="宋体"/>
                <w:color w:val="auto"/>
                <w:highlight w:val="none"/>
              </w:rPr>
              <w:t>，公正诚信服务承诺</w:t>
            </w:r>
            <w:r>
              <w:rPr>
                <w:rStyle w:val="11"/>
                <w:rFonts w:hint="eastAsia" w:ascii="宋体" w:hAnsi="宋体" w:cs="宋体"/>
                <w:color w:val="auto"/>
                <w:highlight w:val="none"/>
              </w:rPr>
              <w:fldChar w:fldCharType="end"/>
            </w:r>
            <w:r>
              <w:rPr>
                <w:rStyle w:val="11"/>
                <w:rFonts w:hint="eastAsia" w:ascii="宋体" w:hAnsi="宋体" w:cs="宋体"/>
                <w:color w:val="auto"/>
                <w:highlight w:val="none"/>
              </w:rPr>
              <w:t>，服务响应承诺,项目实施方案全面、详细、实际操作针对性强。（提供有效合理方案，方案基本合格的计18分，较好计18～24分，好计24-30分。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15" w:hRule="atLeast"/>
        </w:trPr>
        <w:tc>
          <w:tcPr>
            <w:tcW w:w="993" w:type="dxa"/>
            <w:gridSpan w:val="2"/>
            <w:vMerge w:val="continue"/>
            <w:vAlign w:val="center"/>
          </w:tcPr>
          <w:p>
            <w:pPr>
              <w:keepNext w:val="0"/>
              <w:keepLines w:val="0"/>
              <w:suppressLineNumbers w:val="0"/>
              <w:spacing w:before="0" w:beforeAutospacing="0" w:after="0" w:afterAutospacing="0"/>
              <w:ind w:left="0" w:right="0"/>
              <w:jc w:val="center"/>
              <w:rPr>
                <w:rFonts w:hint="eastAsia" w:ascii="宋体" w:hAnsi="宋体" w:cs="宋体"/>
                <w:sz w:val="24"/>
                <w:highlight w:val="none"/>
              </w:rPr>
            </w:pPr>
          </w:p>
        </w:tc>
        <w:tc>
          <w:tcPr>
            <w:tcW w:w="992" w:type="dxa"/>
            <w:vMerge w:val="continue"/>
            <w:vAlign w:val="center"/>
          </w:tcPr>
          <w:p>
            <w:pPr>
              <w:keepNext w:val="0"/>
              <w:keepLines w:val="0"/>
              <w:suppressLineNumbers w:val="0"/>
              <w:spacing w:before="0" w:beforeAutospacing="0" w:after="0" w:afterAutospacing="0"/>
              <w:ind w:left="0" w:right="0"/>
              <w:rPr>
                <w:rFonts w:hint="eastAsia" w:ascii="宋体" w:hAnsi="宋体" w:cs="宋体"/>
                <w:sz w:val="24"/>
                <w:highlight w:val="none"/>
              </w:rPr>
            </w:pPr>
          </w:p>
        </w:tc>
        <w:tc>
          <w:tcPr>
            <w:tcW w:w="993" w:type="dxa"/>
            <w:vMerge w:val="continue"/>
            <w:vAlign w:val="center"/>
          </w:tcPr>
          <w:p>
            <w:pPr>
              <w:keepNext w:val="0"/>
              <w:keepLines w:val="0"/>
              <w:suppressLineNumbers w:val="0"/>
              <w:spacing w:before="0" w:beforeAutospacing="0" w:after="0" w:afterAutospacing="0"/>
              <w:ind w:left="0" w:right="0"/>
              <w:jc w:val="center"/>
              <w:rPr>
                <w:rFonts w:hint="eastAsia" w:ascii="宋体" w:hAnsi="宋体" w:cs="宋体"/>
                <w:sz w:val="24"/>
                <w:highlight w:val="none"/>
              </w:rPr>
            </w:pPr>
          </w:p>
        </w:tc>
        <w:tc>
          <w:tcPr>
            <w:tcW w:w="1417" w:type="dxa"/>
            <w:vAlign w:val="center"/>
          </w:tcPr>
          <w:p>
            <w:pPr>
              <w:keepNext w:val="0"/>
              <w:keepLines w:val="0"/>
              <w:suppressLineNumbers w:val="0"/>
              <w:spacing w:before="0" w:beforeAutospacing="0" w:after="0" w:afterAutospacing="0"/>
              <w:ind w:left="0" w:right="0"/>
              <w:jc w:val="center"/>
              <w:rPr>
                <w:rFonts w:hint="eastAsia" w:ascii="宋体" w:hAnsi="宋体" w:cs="宋体"/>
                <w:sz w:val="24"/>
                <w:highlight w:val="none"/>
              </w:rPr>
            </w:pPr>
            <w:r>
              <w:rPr>
                <w:rFonts w:hint="eastAsia" w:ascii="宋体" w:hAnsi="宋体" w:cs="宋体"/>
                <w:sz w:val="24"/>
                <w:highlight w:val="none"/>
              </w:rPr>
              <w:t>质量保证</w:t>
            </w:r>
          </w:p>
          <w:p>
            <w:pPr>
              <w:keepNext w:val="0"/>
              <w:keepLines w:val="0"/>
              <w:suppressLineNumbers w:val="0"/>
              <w:spacing w:before="0" w:beforeAutospacing="0" w:after="0" w:afterAutospacing="0"/>
              <w:ind w:left="0" w:right="0"/>
              <w:jc w:val="center"/>
              <w:rPr>
                <w:rFonts w:hint="eastAsia" w:ascii="宋体" w:hAnsi="宋体" w:cs="宋体"/>
                <w:sz w:val="24"/>
                <w:highlight w:val="none"/>
              </w:rPr>
            </w:pPr>
            <w:r>
              <w:rPr>
                <w:rFonts w:hint="eastAsia" w:ascii="宋体" w:hAnsi="宋体" w:cs="宋体"/>
                <w:sz w:val="24"/>
                <w:highlight w:val="none"/>
              </w:rPr>
              <w:t>措施</w:t>
            </w:r>
          </w:p>
        </w:tc>
        <w:tc>
          <w:tcPr>
            <w:tcW w:w="766" w:type="dxa"/>
            <w:vAlign w:val="center"/>
          </w:tcPr>
          <w:p>
            <w:pPr>
              <w:keepNext w:val="0"/>
              <w:keepLines w:val="0"/>
              <w:suppressLineNumbers w:val="0"/>
              <w:spacing w:before="0" w:beforeAutospacing="0" w:after="0" w:afterAutospacing="0"/>
              <w:ind w:left="0" w:right="0"/>
              <w:jc w:val="center"/>
              <w:rPr>
                <w:rFonts w:hint="eastAsia" w:ascii="宋体" w:hAnsi="宋体" w:cs="宋体"/>
                <w:sz w:val="24"/>
                <w:highlight w:val="none"/>
              </w:rPr>
            </w:pPr>
            <w:r>
              <w:rPr>
                <w:rFonts w:hint="eastAsia" w:ascii="宋体" w:hAnsi="宋体" w:cs="宋体"/>
                <w:sz w:val="24"/>
                <w:highlight w:val="none"/>
              </w:rPr>
              <w:t>10分</w:t>
            </w:r>
          </w:p>
        </w:tc>
        <w:tc>
          <w:tcPr>
            <w:tcW w:w="4479" w:type="dxa"/>
            <w:vAlign w:val="center"/>
          </w:tcPr>
          <w:p>
            <w:pPr>
              <w:keepNext w:val="0"/>
              <w:keepLines w:val="0"/>
              <w:suppressLineNumbers w:val="0"/>
              <w:spacing w:before="0" w:beforeAutospacing="0" w:after="0" w:afterAutospacing="0"/>
              <w:ind w:left="0" w:right="0"/>
              <w:rPr>
                <w:rStyle w:val="11"/>
                <w:rFonts w:hint="eastAsia" w:ascii="宋体" w:hAnsi="宋体"/>
                <w:color w:val="auto"/>
                <w:sz w:val="24"/>
                <w:highlight w:val="none"/>
              </w:rPr>
            </w:pPr>
            <w:r>
              <w:rPr>
                <w:rFonts w:hint="eastAsia" w:ascii="宋体" w:hAnsi="宋体" w:cs="宋体"/>
                <w:sz w:val="24"/>
                <w:highlight w:val="none"/>
              </w:rPr>
              <w:t>有工作质量保证承诺,提供有效合理质量保证措施，基本合格的计6分，方案较好计6-8分，方案好的计8～10分。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15" w:hRule="atLeast"/>
        </w:trPr>
        <w:tc>
          <w:tcPr>
            <w:tcW w:w="993" w:type="dxa"/>
            <w:gridSpan w:val="2"/>
            <w:vMerge w:val="continue"/>
            <w:vAlign w:val="center"/>
          </w:tcPr>
          <w:p>
            <w:pPr>
              <w:keepNext w:val="0"/>
              <w:keepLines w:val="0"/>
              <w:suppressLineNumbers w:val="0"/>
              <w:spacing w:before="0" w:beforeAutospacing="0" w:after="0" w:afterAutospacing="0"/>
              <w:ind w:left="0" w:right="0"/>
              <w:jc w:val="center"/>
              <w:rPr>
                <w:rFonts w:hint="eastAsia" w:ascii="宋体" w:hAnsi="宋体" w:cs="宋体"/>
                <w:sz w:val="24"/>
                <w:highlight w:val="none"/>
              </w:rPr>
            </w:pPr>
          </w:p>
        </w:tc>
        <w:tc>
          <w:tcPr>
            <w:tcW w:w="992" w:type="dxa"/>
            <w:vMerge w:val="continue"/>
            <w:vAlign w:val="center"/>
          </w:tcPr>
          <w:p>
            <w:pPr>
              <w:keepNext w:val="0"/>
              <w:keepLines w:val="0"/>
              <w:suppressLineNumbers w:val="0"/>
              <w:spacing w:before="0" w:beforeAutospacing="0" w:after="0" w:afterAutospacing="0"/>
              <w:ind w:left="0" w:right="0"/>
              <w:rPr>
                <w:rFonts w:hint="eastAsia" w:ascii="宋体" w:hAnsi="宋体" w:cs="宋体"/>
                <w:sz w:val="24"/>
                <w:highlight w:val="none"/>
              </w:rPr>
            </w:pPr>
          </w:p>
        </w:tc>
        <w:tc>
          <w:tcPr>
            <w:tcW w:w="993" w:type="dxa"/>
            <w:vMerge w:val="continue"/>
            <w:vAlign w:val="center"/>
          </w:tcPr>
          <w:p>
            <w:pPr>
              <w:keepNext w:val="0"/>
              <w:keepLines w:val="0"/>
              <w:suppressLineNumbers w:val="0"/>
              <w:spacing w:before="0" w:beforeAutospacing="0" w:after="0" w:afterAutospacing="0"/>
              <w:ind w:left="0" w:right="0"/>
              <w:rPr>
                <w:rFonts w:hint="eastAsia" w:ascii="宋体" w:hAnsi="宋体" w:cs="宋体"/>
                <w:sz w:val="24"/>
                <w:highlight w:val="none"/>
              </w:rPr>
            </w:pPr>
          </w:p>
        </w:tc>
        <w:tc>
          <w:tcPr>
            <w:tcW w:w="1417" w:type="dxa"/>
            <w:vAlign w:val="center"/>
          </w:tcPr>
          <w:p>
            <w:pPr>
              <w:keepNext w:val="0"/>
              <w:keepLines w:val="0"/>
              <w:suppressLineNumbers w:val="0"/>
              <w:spacing w:before="0" w:beforeAutospacing="0" w:after="0" w:afterAutospacing="0"/>
              <w:ind w:left="0" w:right="0"/>
              <w:jc w:val="center"/>
              <w:rPr>
                <w:rFonts w:hint="eastAsia" w:ascii="宋体" w:hAnsi="宋体" w:cs="宋体"/>
                <w:sz w:val="24"/>
                <w:highlight w:val="none"/>
              </w:rPr>
            </w:pPr>
            <w:r>
              <w:rPr>
                <w:rFonts w:hint="eastAsia" w:ascii="宋体" w:hAnsi="宋体" w:cs="宋体"/>
                <w:sz w:val="24"/>
                <w:highlight w:val="none"/>
              </w:rPr>
              <w:t>保密措施</w:t>
            </w:r>
          </w:p>
        </w:tc>
        <w:tc>
          <w:tcPr>
            <w:tcW w:w="766" w:type="dxa"/>
            <w:vAlign w:val="center"/>
          </w:tcPr>
          <w:p>
            <w:pPr>
              <w:keepNext w:val="0"/>
              <w:keepLines w:val="0"/>
              <w:suppressLineNumbers w:val="0"/>
              <w:spacing w:before="0" w:beforeAutospacing="0" w:after="0" w:afterAutospacing="0"/>
              <w:ind w:left="0" w:right="0"/>
              <w:jc w:val="center"/>
              <w:rPr>
                <w:rFonts w:hint="eastAsia" w:ascii="宋体" w:hAnsi="宋体" w:cs="宋体"/>
                <w:sz w:val="24"/>
                <w:highlight w:val="none"/>
              </w:rPr>
            </w:pPr>
            <w:r>
              <w:rPr>
                <w:rFonts w:hint="eastAsia" w:ascii="宋体" w:hAnsi="宋体" w:cs="宋体"/>
                <w:sz w:val="24"/>
                <w:highlight w:val="none"/>
              </w:rPr>
              <w:t>5分</w:t>
            </w:r>
          </w:p>
        </w:tc>
        <w:tc>
          <w:tcPr>
            <w:tcW w:w="4479" w:type="dxa"/>
            <w:vAlign w:val="center"/>
          </w:tcPr>
          <w:p>
            <w:pPr>
              <w:keepNext w:val="0"/>
              <w:keepLines w:val="0"/>
              <w:suppressLineNumbers w:val="0"/>
              <w:spacing w:before="0" w:beforeAutospacing="0" w:after="0" w:afterAutospacing="0"/>
              <w:ind w:left="0" w:right="0"/>
              <w:rPr>
                <w:rFonts w:hint="eastAsia" w:ascii="宋体" w:hAnsi="宋体" w:cs="宋体"/>
                <w:sz w:val="24"/>
                <w:highlight w:val="none"/>
              </w:rPr>
            </w:pPr>
            <w:r>
              <w:rPr>
                <w:rFonts w:hint="eastAsia" w:ascii="宋体" w:hAnsi="宋体" w:cs="宋体"/>
                <w:sz w:val="24"/>
                <w:highlight w:val="none"/>
              </w:rPr>
              <w:t>有保密承诺，提供有效合理保密保证措施，基本合格的计3分，较好计3-4分，好计4-5分。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99" w:hRule="atLeast"/>
        </w:trPr>
        <w:tc>
          <w:tcPr>
            <w:tcW w:w="993" w:type="dxa"/>
            <w:gridSpan w:val="2"/>
            <w:vMerge w:val="continue"/>
            <w:vAlign w:val="center"/>
          </w:tcPr>
          <w:p>
            <w:pPr>
              <w:keepNext w:val="0"/>
              <w:keepLines w:val="0"/>
              <w:suppressLineNumbers w:val="0"/>
              <w:spacing w:before="0" w:beforeAutospacing="0" w:after="0" w:afterAutospacing="0"/>
              <w:ind w:left="0" w:right="0"/>
              <w:jc w:val="center"/>
              <w:rPr>
                <w:rFonts w:hint="eastAsia" w:ascii="宋体" w:hAnsi="宋体" w:cs="宋体"/>
                <w:sz w:val="24"/>
                <w:highlight w:val="none"/>
              </w:rPr>
            </w:pPr>
          </w:p>
        </w:tc>
        <w:tc>
          <w:tcPr>
            <w:tcW w:w="992" w:type="dxa"/>
            <w:vMerge w:val="continue"/>
            <w:vAlign w:val="center"/>
          </w:tcPr>
          <w:p>
            <w:pPr>
              <w:keepNext w:val="0"/>
              <w:keepLines w:val="0"/>
              <w:suppressLineNumbers w:val="0"/>
              <w:spacing w:before="0" w:beforeAutospacing="0" w:after="0" w:afterAutospacing="0"/>
              <w:ind w:left="0" w:right="0"/>
              <w:rPr>
                <w:rFonts w:hint="eastAsia" w:ascii="宋体" w:hAnsi="宋体" w:cs="宋体"/>
                <w:sz w:val="24"/>
                <w:highlight w:val="none"/>
              </w:rPr>
            </w:pPr>
          </w:p>
        </w:tc>
        <w:tc>
          <w:tcPr>
            <w:tcW w:w="993" w:type="dxa"/>
            <w:vMerge w:val="continue"/>
            <w:vAlign w:val="center"/>
          </w:tcPr>
          <w:p>
            <w:pPr>
              <w:keepNext w:val="0"/>
              <w:keepLines w:val="0"/>
              <w:suppressLineNumbers w:val="0"/>
              <w:spacing w:before="0" w:beforeAutospacing="0" w:after="0" w:afterAutospacing="0"/>
              <w:ind w:left="0" w:right="0"/>
              <w:rPr>
                <w:rFonts w:hint="eastAsia" w:ascii="宋体" w:hAnsi="宋体" w:cs="宋体"/>
                <w:sz w:val="24"/>
                <w:highlight w:val="none"/>
              </w:rPr>
            </w:pPr>
          </w:p>
        </w:tc>
        <w:tc>
          <w:tcPr>
            <w:tcW w:w="1417" w:type="dxa"/>
            <w:vAlign w:val="center"/>
          </w:tcPr>
          <w:p>
            <w:pPr>
              <w:keepNext w:val="0"/>
              <w:keepLines w:val="0"/>
              <w:suppressLineNumbers w:val="0"/>
              <w:spacing w:before="0" w:beforeAutospacing="0" w:after="0" w:afterAutospacing="0"/>
              <w:ind w:left="0" w:right="0"/>
              <w:jc w:val="center"/>
              <w:rPr>
                <w:rFonts w:hint="eastAsia" w:ascii="宋体" w:hAnsi="宋体" w:cs="宋体"/>
                <w:sz w:val="24"/>
                <w:highlight w:val="none"/>
              </w:rPr>
            </w:pPr>
            <w:r>
              <w:rPr>
                <w:rFonts w:hint="eastAsia" w:ascii="宋体" w:hAnsi="宋体" w:cs="宋体"/>
                <w:sz w:val="24"/>
                <w:highlight w:val="none"/>
              </w:rPr>
              <w:t>工期保障</w:t>
            </w:r>
          </w:p>
          <w:p>
            <w:pPr>
              <w:keepNext w:val="0"/>
              <w:keepLines w:val="0"/>
              <w:suppressLineNumbers w:val="0"/>
              <w:spacing w:before="0" w:beforeAutospacing="0" w:after="0" w:afterAutospacing="0"/>
              <w:ind w:left="0" w:right="0"/>
              <w:jc w:val="center"/>
              <w:rPr>
                <w:rFonts w:hint="eastAsia" w:ascii="宋体" w:hAnsi="宋体" w:cs="宋体"/>
                <w:sz w:val="24"/>
                <w:highlight w:val="none"/>
              </w:rPr>
            </w:pPr>
            <w:r>
              <w:rPr>
                <w:rFonts w:hint="eastAsia" w:ascii="宋体" w:hAnsi="宋体" w:cs="宋体"/>
                <w:sz w:val="24"/>
                <w:highlight w:val="none"/>
              </w:rPr>
              <w:t>措施</w:t>
            </w:r>
          </w:p>
        </w:tc>
        <w:tc>
          <w:tcPr>
            <w:tcW w:w="766" w:type="dxa"/>
            <w:vAlign w:val="center"/>
          </w:tcPr>
          <w:p>
            <w:pPr>
              <w:keepNext w:val="0"/>
              <w:keepLines w:val="0"/>
              <w:suppressLineNumbers w:val="0"/>
              <w:spacing w:before="0" w:beforeAutospacing="0" w:after="0" w:afterAutospacing="0"/>
              <w:ind w:left="0" w:right="0"/>
              <w:jc w:val="center"/>
              <w:rPr>
                <w:rFonts w:hint="eastAsia" w:ascii="宋体" w:hAnsi="宋体" w:cs="宋体"/>
                <w:sz w:val="24"/>
                <w:highlight w:val="none"/>
              </w:rPr>
            </w:pPr>
            <w:r>
              <w:rPr>
                <w:rFonts w:hint="eastAsia" w:ascii="宋体" w:hAnsi="宋体" w:cs="宋体"/>
                <w:sz w:val="24"/>
                <w:highlight w:val="none"/>
              </w:rPr>
              <w:t>5分</w:t>
            </w:r>
          </w:p>
        </w:tc>
        <w:tc>
          <w:tcPr>
            <w:tcW w:w="4479" w:type="dxa"/>
            <w:vAlign w:val="center"/>
          </w:tcPr>
          <w:p>
            <w:pPr>
              <w:keepNext w:val="0"/>
              <w:keepLines w:val="0"/>
              <w:suppressLineNumbers w:val="0"/>
              <w:spacing w:before="0" w:beforeAutospacing="0" w:after="0" w:afterAutospacing="0"/>
              <w:ind w:left="0" w:right="0"/>
              <w:rPr>
                <w:rFonts w:hint="eastAsia" w:ascii="宋体" w:hAnsi="宋体" w:cs="宋体"/>
                <w:sz w:val="24"/>
                <w:highlight w:val="none"/>
              </w:rPr>
            </w:pPr>
            <w:r>
              <w:rPr>
                <w:rFonts w:hint="eastAsia" w:ascii="宋体" w:hAnsi="宋体" w:cs="宋体"/>
                <w:sz w:val="24"/>
                <w:highlight w:val="none"/>
              </w:rPr>
              <w:t>有工作进度保证承诺,提供有效合理工期保障措施，基本合格的计3分，较好计3～4分，好计4～5分。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993" w:type="dxa"/>
            <w:gridSpan w:val="2"/>
            <w:vMerge w:val="restart"/>
            <w:vAlign w:val="center"/>
          </w:tcPr>
          <w:p>
            <w:pPr>
              <w:keepNext w:val="0"/>
              <w:keepLines w:val="0"/>
              <w:suppressLineNumbers w:val="0"/>
              <w:spacing w:before="0" w:beforeAutospacing="0" w:after="0" w:afterAutospacing="0"/>
              <w:ind w:left="0" w:right="0"/>
              <w:jc w:val="center"/>
              <w:rPr>
                <w:rFonts w:hint="eastAsia" w:ascii="宋体" w:hAnsi="宋体" w:cs="宋体"/>
                <w:sz w:val="24"/>
                <w:highlight w:val="none"/>
              </w:rPr>
            </w:pPr>
            <w:r>
              <w:rPr>
                <w:rFonts w:hint="eastAsia" w:ascii="宋体" w:hAnsi="宋体" w:cs="宋体"/>
                <w:sz w:val="24"/>
                <w:highlight w:val="none"/>
              </w:rPr>
              <w:t>2.2.4</w:t>
            </w:r>
          </w:p>
          <w:p>
            <w:pPr>
              <w:keepNext w:val="0"/>
              <w:keepLines w:val="0"/>
              <w:suppressLineNumbers w:val="0"/>
              <w:spacing w:before="0" w:beforeAutospacing="0" w:after="0" w:afterAutospacing="0"/>
              <w:ind w:left="0" w:right="0"/>
              <w:jc w:val="center"/>
              <w:rPr>
                <w:rFonts w:hint="default" w:ascii="宋体" w:hAnsi="宋体" w:cs="宋体"/>
                <w:sz w:val="24"/>
                <w:highlight w:val="none"/>
              </w:rPr>
            </w:pPr>
            <w:r>
              <w:rPr>
                <w:rFonts w:hint="eastAsia" w:ascii="宋体" w:hAnsi="宋体" w:cs="宋体"/>
                <w:sz w:val="24"/>
                <w:highlight w:val="none"/>
              </w:rPr>
              <w:t>商务评分</w:t>
            </w:r>
          </w:p>
        </w:tc>
        <w:tc>
          <w:tcPr>
            <w:tcW w:w="992" w:type="dxa"/>
            <w:vMerge w:val="restart"/>
            <w:vAlign w:val="center"/>
          </w:tcPr>
          <w:p>
            <w:pPr>
              <w:keepNext w:val="0"/>
              <w:keepLines w:val="0"/>
              <w:suppressLineNumbers w:val="0"/>
              <w:spacing w:before="0" w:beforeAutospacing="0" w:after="0" w:afterAutospacing="0"/>
              <w:ind w:left="4" w:leftChars="2" w:right="0"/>
              <w:jc w:val="center"/>
              <w:rPr>
                <w:rFonts w:hint="eastAsia" w:ascii="宋体" w:hAnsi="宋体" w:cs="宋体"/>
                <w:sz w:val="24"/>
                <w:highlight w:val="none"/>
              </w:rPr>
            </w:pPr>
            <w:r>
              <w:rPr>
                <w:rFonts w:hint="eastAsia" w:ascii="宋体" w:hAnsi="宋体" w:cs="宋体"/>
                <w:sz w:val="24"/>
                <w:highlight w:val="none"/>
              </w:rPr>
              <w:t>主要人员</w:t>
            </w:r>
          </w:p>
        </w:tc>
        <w:tc>
          <w:tcPr>
            <w:tcW w:w="993" w:type="dxa"/>
            <w:vMerge w:val="restart"/>
            <w:vAlign w:val="center"/>
          </w:tcPr>
          <w:p>
            <w:pPr>
              <w:keepNext w:val="0"/>
              <w:keepLines w:val="0"/>
              <w:suppressLineNumbers w:val="0"/>
              <w:spacing w:before="0" w:beforeAutospacing="0" w:after="0" w:afterAutospacing="0"/>
              <w:ind w:left="4" w:leftChars="2" w:right="0"/>
              <w:jc w:val="center"/>
              <w:rPr>
                <w:rFonts w:hint="eastAsia" w:ascii="宋体" w:hAnsi="宋体" w:cs="宋体"/>
                <w:sz w:val="24"/>
                <w:highlight w:val="none"/>
              </w:rPr>
            </w:pPr>
            <w:r>
              <w:rPr>
                <w:rFonts w:hint="eastAsia" w:ascii="宋体" w:hAnsi="宋体" w:cs="宋体"/>
                <w:sz w:val="24"/>
                <w:highlight w:val="none"/>
              </w:rPr>
              <w:t>8分</w:t>
            </w:r>
          </w:p>
        </w:tc>
        <w:tc>
          <w:tcPr>
            <w:tcW w:w="1417" w:type="dxa"/>
            <w:tcBorders>
              <w:bottom w:val="single" w:color="auto" w:sz="4" w:space="0"/>
            </w:tcBorders>
            <w:vAlign w:val="center"/>
          </w:tcPr>
          <w:p>
            <w:pPr>
              <w:keepNext w:val="0"/>
              <w:keepLines w:val="0"/>
              <w:suppressLineNumbers w:val="0"/>
              <w:spacing w:before="22" w:beforeAutospacing="0" w:after="0" w:afterAutospacing="0"/>
              <w:ind w:left="0" w:right="0" w:firstLine="9"/>
              <w:jc w:val="center"/>
              <w:rPr>
                <w:rFonts w:hint="eastAsia" w:ascii="宋体" w:hAnsi="宋体" w:cs="宋体"/>
                <w:sz w:val="24"/>
                <w:highlight w:val="none"/>
              </w:rPr>
            </w:pPr>
            <w:r>
              <w:rPr>
                <w:rFonts w:hint="eastAsia" w:ascii="宋体" w:hAnsi="宋体" w:cs="宋体"/>
                <w:sz w:val="24"/>
                <w:highlight w:val="none"/>
              </w:rPr>
              <w:t>项目负责人任职资格与业绩</w:t>
            </w:r>
          </w:p>
        </w:tc>
        <w:tc>
          <w:tcPr>
            <w:tcW w:w="766" w:type="dxa"/>
            <w:tcBorders>
              <w:bottom w:val="single" w:color="auto" w:sz="4" w:space="0"/>
            </w:tcBorders>
            <w:vAlign w:val="center"/>
          </w:tcPr>
          <w:p>
            <w:pPr>
              <w:keepNext w:val="0"/>
              <w:keepLines w:val="0"/>
              <w:suppressLineNumbers w:val="0"/>
              <w:spacing w:before="85" w:beforeAutospacing="0" w:after="0" w:afterAutospacing="0"/>
              <w:ind w:left="0" w:right="0"/>
              <w:jc w:val="center"/>
              <w:rPr>
                <w:rFonts w:hint="eastAsia" w:ascii="宋体" w:hAnsi="宋体" w:cs="宋体"/>
                <w:sz w:val="24"/>
                <w:highlight w:val="none"/>
              </w:rPr>
            </w:pPr>
            <w:r>
              <w:rPr>
                <w:rFonts w:hint="eastAsia" w:ascii="宋体" w:hAnsi="宋体" w:cs="宋体"/>
                <w:sz w:val="24"/>
                <w:highlight w:val="none"/>
              </w:rPr>
              <w:t>4分</w:t>
            </w:r>
          </w:p>
        </w:tc>
        <w:tc>
          <w:tcPr>
            <w:tcW w:w="4479" w:type="dxa"/>
            <w:tcBorders>
              <w:bottom w:val="single" w:color="auto" w:sz="4" w:space="0"/>
            </w:tcBorders>
            <w:vAlign w:val="center"/>
          </w:tcPr>
          <w:p>
            <w:pPr>
              <w:keepNext w:val="0"/>
              <w:keepLines w:val="0"/>
              <w:suppressLineNumbers w:val="0"/>
              <w:spacing w:before="0" w:beforeAutospacing="0" w:after="0" w:afterAutospacing="0"/>
              <w:ind w:left="0" w:right="0"/>
              <w:rPr>
                <w:rFonts w:hint="eastAsia" w:ascii="宋体" w:hAnsi="宋体" w:cs="宋体"/>
                <w:sz w:val="24"/>
                <w:highlight w:val="none"/>
              </w:rPr>
            </w:pPr>
            <w:r>
              <w:rPr>
                <w:rFonts w:hint="eastAsia" w:ascii="宋体" w:hAnsi="宋体" w:cs="宋体"/>
                <w:sz w:val="24"/>
                <w:highlight w:val="none"/>
              </w:rPr>
              <w:t>1.满足资格审查条件（项目负责人最低要求）得2.4分；</w:t>
            </w:r>
          </w:p>
          <w:p>
            <w:pPr>
              <w:keepNext w:val="0"/>
              <w:keepLines w:val="0"/>
              <w:suppressLineNumbers w:val="0"/>
              <w:spacing w:before="0" w:beforeAutospacing="0" w:after="0" w:afterAutospacing="0"/>
              <w:ind w:left="0" w:right="0"/>
              <w:rPr>
                <w:rFonts w:hint="eastAsia" w:ascii="宋体" w:hAnsi="宋体" w:cs="宋体"/>
                <w:sz w:val="24"/>
                <w:highlight w:val="none"/>
              </w:rPr>
            </w:pPr>
            <w:r>
              <w:rPr>
                <w:rFonts w:hint="eastAsia" w:ascii="宋体" w:hAnsi="宋体" w:cs="宋体"/>
                <w:sz w:val="24"/>
                <w:highlight w:val="none"/>
              </w:rPr>
              <w:t>2.在满足资格审查条件基础上：</w:t>
            </w:r>
          </w:p>
          <w:p>
            <w:pPr>
              <w:keepNext w:val="0"/>
              <w:keepLines w:val="0"/>
              <w:suppressLineNumbers w:val="0"/>
              <w:spacing w:before="0" w:beforeAutospacing="0" w:after="0" w:afterAutospacing="0"/>
              <w:ind w:left="0" w:right="0"/>
              <w:rPr>
                <w:rFonts w:hint="eastAsia" w:ascii="宋体" w:hAnsi="宋体" w:cs="宋体"/>
                <w:sz w:val="24"/>
                <w:highlight w:val="none"/>
              </w:rPr>
            </w:pPr>
            <w:r>
              <w:rPr>
                <w:rFonts w:hint="eastAsia" w:ascii="宋体" w:hAnsi="宋体" w:cs="宋体"/>
                <w:sz w:val="24"/>
                <w:highlight w:val="none"/>
              </w:rPr>
              <w:t>（1）每增加1个</w:t>
            </w:r>
            <w:r>
              <w:rPr>
                <w:rFonts w:hint="eastAsia" w:ascii="宋体" w:hAnsi="宋体" w:cs="宋体"/>
                <w:b/>
                <w:bCs/>
                <w:sz w:val="24"/>
                <w:highlight w:val="none"/>
                <w:lang w:eastAsia="zh-CN"/>
              </w:rPr>
              <w:t>已完成</w:t>
            </w:r>
            <w:r>
              <w:rPr>
                <w:rFonts w:hint="eastAsia" w:ascii="宋体" w:hAnsi="宋体" w:cs="宋体"/>
                <w:sz w:val="24"/>
                <w:highlight w:val="none"/>
                <w:lang w:eastAsia="zh-CN"/>
              </w:rPr>
              <w:t>的</w:t>
            </w:r>
            <w:r>
              <w:rPr>
                <w:rFonts w:hint="eastAsia" w:ascii="宋体" w:hAnsi="宋体" w:cs="宋体"/>
                <w:sz w:val="24"/>
                <w:highlight w:val="none"/>
              </w:rPr>
              <w:t>审计项目</w:t>
            </w:r>
            <w:r>
              <w:rPr>
                <w:rFonts w:hint="eastAsia" w:ascii="宋体" w:hAnsi="宋体" w:cs="宋体"/>
                <w:sz w:val="24"/>
                <w:highlight w:val="none"/>
                <w:lang w:val="en-US" w:eastAsia="zh-CN"/>
              </w:rPr>
              <w:t>送审总额</w:t>
            </w:r>
            <w:r>
              <w:rPr>
                <w:rFonts w:hint="eastAsia" w:ascii="宋体" w:hAnsi="宋体" w:cs="宋体"/>
                <w:sz w:val="24"/>
                <w:highlight w:val="none"/>
              </w:rPr>
              <w:t>≥</w:t>
            </w:r>
            <w:r>
              <w:rPr>
                <w:rFonts w:hint="eastAsia" w:ascii="宋体" w:hAnsi="宋体" w:cs="宋体"/>
                <w:sz w:val="24"/>
                <w:highlight w:val="none"/>
                <w:lang w:val="en-US" w:eastAsia="zh-CN"/>
              </w:rPr>
              <w:t>30</w:t>
            </w:r>
            <w:r>
              <w:rPr>
                <w:rFonts w:hint="eastAsia" w:ascii="宋体" w:hAnsi="宋体" w:cs="宋体"/>
                <w:sz w:val="24"/>
                <w:highlight w:val="none"/>
              </w:rPr>
              <w:t>亿元的道路工程造价审计工作项目负责人业绩加0.8分，最高加0.8分；</w:t>
            </w:r>
          </w:p>
          <w:p>
            <w:pPr>
              <w:keepNext w:val="0"/>
              <w:keepLines w:val="0"/>
              <w:suppressLineNumbers w:val="0"/>
              <w:spacing w:before="0" w:beforeAutospacing="0" w:after="0" w:afterAutospacing="0"/>
              <w:ind w:left="0" w:right="0"/>
              <w:rPr>
                <w:rFonts w:hint="eastAsia" w:ascii="宋体" w:hAnsi="宋体" w:cs="宋体"/>
                <w:sz w:val="24"/>
                <w:highlight w:val="none"/>
              </w:rPr>
            </w:pPr>
            <w:r>
              <w:rPr>
                <w:rFonts w:hint="eastAsia" w:ascii="宋体" w:hAnsi="宋体" w:cs="宋体"/>
                <w:sz w:val="24"/>
                <w:highlight w:val="none"/>
              </w:rPr>
              <w:t>（2）2017年1月1日至今具有1个</w:t>
            </w:r>
            <w:r>
              <w:rPr>
                <w:rFonts w:hint="eastAsia" w:ascii="宋体" w:hAnsi="宋体" w:cs="宋体"/>
                <w:b/>
                <w:bCs/>
                <w:sz w:val="24"/>
                <w:highlight w:val="none"/>
                <w:lang w:eastAsia="zh-CN"/>
              </w:rPr>
              <w:t>已完成</w:t>
            </w:r>
            <w:r>
              <w:rPr>
                <w:rFonts w:hint="eastAsia" w:ascii="宋体" w:hAnsi="宋体" w:cs="宋体"/>
                <w:sz w:val="24"/>
                <w:highlight w:val="none"/>
                <w:lang w:eastAsia="zh-CN"/>
              </w:rPr>
              <w:t>的</w:t>
            </w:r>
            <w:r>
              <w:rPr>
                <w:rFonts w:hint="eastAsia" w:ascii="宋体" w:hAnsi="宋体" w:cs="宋体"/>
                <w:sz w:val="24"/>
                <w:highlight w:val="none"/>
              </w:rPr>
              <w:t>国内道路工程建设项目跟踪审计工作或结算审计（审核）或决算审计（审核）项目负责人业绩的加0.4分，最高加0.8分。</w:t>
            </w:r>
          </w:p>
          <w:p>
            <w:pPr>
              <w:keepNext w:val="0"/>
              <w:keepLines w:val="0"/>
              <w:suppressLineNumbers w:val="0"/>
              <w:spacing w:before="0" w:beforeAutospacing="0" w:after="0" w:afterAutospacing="0"/>
              <w:ind w:left="0" w:right="0"/>
              <w:rPr>
                <w:rFonts w:hint="eastAsia" w:ascii="宋体" w:hAnsi="宋体"/>
                <w:b/>
                <w:bCs/>
                <w:szCs w:val="21"/>
                <w:highlight w:val="none"/>
              </w:rPr>
            </w:pPr>
            <w:r>
              <w:rPr>
                <w:rFonts w:hint="eastAsia" w:ascii="宋体" w:hAnsi="宋体"/>
                <w:b/>
                <w:bCs/>
                <w:szCs w:val="21"/>
                <w:highlight w:val="none"/>
              </w:rPr>
              <w:t>注：</w:t>
            </w:r>
          </w:p>
          <w:p>
            <w:pPr>
              <w:keepNext w:val="0"/>
              <w:keepLines w:val="0"/>
              <w:suppressLineNumbers w:val="0"/>
              <w:spacing w:before="0" w:beforeAutospacing="0" w:after="0" w:afterAutospacing="0"/>
              <w:ind w:left="0" w:right="0"/>
              <w:rPr>
                <w:rFonts w:hint="eastAsia" w:ascii="宋体" w:hAnsi="宋体"/>
                <w:b/>
                <w:bCs/>
                <w:szCs w:val="21"/>
                <w:highlight w:val="none"/>
              </w:rPr>
            </w:pPr>
            <w:r>
              <w:rPr>
                <w:rFonts w:hint="eastAsia" w:ascii="宋体" w:hAnsi="宋体"/>
                <w:b/>
                <w:bCs/>
                <w:szCs w:val="21"/>
                <w:highlight w:val="none"/>
              </w:rPr>
              <w:t>1.同一项目同时满足（1）、（2）两项要求时不可同时加分；</w:t>
            </w:r>
          </w:p>
          <w:p>
            <w:pPr>
              <w:keepNext w:val="0"/>
              <w:keepLines w:val="0"/>
              <w:suppressLineNumbers w:val="0"/>
              <w:spacing w:before="0" w:beforeAutospacing="0" w:after="0" w:afterAutospacing="0"/>
              <w:ind w:left="0" w:right="0"/>
              <w:rPr>
                <w:rFonts w:hint="eastAsia" w:ascii="宋体" w:hAnsi="宋体"/>
                <w:b/>
                <w:bCs/>
                <w:szCs w:val="21"/>
                <w:highlight w:val="none"/>
                <w:lang w:eastAsia="zh-CN"/>
              </w:rPr>
            </w:pPr>
            <w:r>
              <w:rPr>
                <w:rFonts w:hint="eastAsia" w:ascii="宋体" w:hAnsi="宋体"/>
                <w:b/>
                <w:bCs/>
                <w:szCs w:val="21"/>
                <w:highlight w:val="none"/>
              </w:rPr>
              <w:t>2.需提供中标通知书</w:t>
            </w:r>
            <w:r>
              <w:rPr>
                <w:rFonts w:hint="eastAsia" w:ascii="宋体" w:hAnsi="宋体"/>
                <w:b/>
                <w:bCs/>
                <w:szCs w:val="21"/>
                <w:highlight w:val="none"/>
                <w:lang w:eastAsia="zh-CN"/>
              </w:rPr>
              <w:t>（</w:t>
            </w:r>
            <w:r>
              <w:rPr>
                <w:rFonts w:hint="eastAsia" w:ascii="宋体" w:hAnsi="宋体"/>
                <w:b/>
                <w:bCs/>
                <w:szCs w:val="21"/>
                <w:highlight w:val="none"/>
              </w:rPr>
              <w:t>或合同协议书</w:t>
            </w:r>
            <w:r>
              <w:rPr>
                <w:rFonts w:hint="eastAsia" w:ascii="宋体" w:hAnsi="宋体"/>
                <w:b/>
                <w:bCs/>
                <w:szCs w:val="21"/>
                <w:highlight w:val="none"/>
                <w:lang w:eastAsia="zh-CN"/>
              </w:rPr>
              <w:t>）及审计报告</w:t>
            </w:r>
            <w:r>
              <w:rPr>
                <w:rFonts w:hint="eastAsia" w:ascii="宋体" w:hAnsi="宋体" w:cs="宋体"/>
                <w:b/>
                <w:sz w:val="21"/>
                <w:szCs w:val="21"/>
                <w:highlight w:val="none"/>
                <w:lang w:eastAsia="zh-CN"/>
              </w:rPr>
              <w:t>（或业主单位出具的加盖业主单位公章的证明材料）</w:t>
            </w:r>
            <w:r>
              <w:rPr>
                <w:rFonts w:hint="eastAsia" w:ascii="宋体" w:hAnsi="宋体"/>
                <w:b/>
                <w:bCs/>
                <w:szCs w:val="21"/>
                <w:highlight w:val="none"/>
              </w:rPr>
              <w:t>的复印件或扫描件加盖投标人单位章</w:t>
            </w:r>
            <w:r>
              <w:rPr>
                <w:rFonts w:hint="eastAsia" w:ascii="宋体" w:hAnsi="宋体"/>
                <w:b/>
                <w:bCs/>
                <w:szCs w:val="21"/>
                <w:highlight w:val="none"/>
                <w:lang w:eastAsia="zh-CN"/>
              </w:rPr>
              <w:t>；</w:t>
            </w:r>
          </w:p>
          <w:p>
            <w:pPr>
              <w:keepNext w:val="0"/>
              <w:keepLines w:val="0"/>
              <w:suppressLineNumbers w:val="0"/>
              <w:spacing w:before="0" w:beforeAutospacing="0" w:after="0" w:afterAutospacing="0"/>
              <w:ind w:left="0" w:right="0"/>
              <w:rPr>
                <w:rFonts w:hint="eastAsia" w:ascii="宋体" w:hAnsi="宋体"/>
                <w:b/>
                <w:bCs/>
                <w:szCs w:val="21"/>
                <w:highlight w:val="none"/>
              </w:rPr>
            </w:pPr>
            <w:r>
              <w:rPr>
                <w:rFonts w:hint="eastAsia" w:ascii="宋体" w:hAnsi="宋体"/>
                <w:b/>
                <w:bCs/>
                <w:szCs w:val="21"/>
                <w:highlight w:val="none"/>
                <w:lang w:val="en-US" w:eastAsia="zh-CN"/>
              </w:rPr>
              <w:t>3.提供的</w:t>
            </w:r>
            <w:r>
              <w:rPr>
                <w:rFonts w:hint="eastAsia" w:ascii="宋体" w:hAnsi="宋体"/>
                <w:b/>
                <w:bCs/>
                <w:szCs w:val="21"/>
                <w:highlight w:val="none"/>
              </w:rPr>
              <w:t>相关证明资料</w:t>
            </w:r>
            <w:r>
              <w:rPr>
                <w:rFonts w:hint="eastAsia" w:ascii="宋体" w:hAnsi="宋体"/>
                <w:b/>
                <w:bCs/>
                <w:szCs w:val="21"/>
                <w:highlight w:val="none"/>
                <w:lang w:eastAsia="zh-CN"/>
              </w:rPr>
              <w:t>中</w:t>
            </w:r>
            <w:r>
              <w:rPr>
                <w:rFonts w:hint="eastAsia" w:ascii="宋体" w:hAnsi="宋体"/>
                <w:b/>
                <w:bCs/>
                <w:szCs w:val="21"/>
                <w:highlight w:val="none"/>
              </w:rPr>
              <w:t>需体现</w:t>
            </w:r>
            <w:r>
              <w:rPr>
                <w:rFonts w:hint="eastAsia" w:ascii="宋体" w:hAnsi="宋体"/>
                <w:b/>
                <w:bCs/>
                <w:szCs w:val="21"/>
                <w:highlight w:val="none"/>
                <w:lang w:eastAsia="zh-CN"/>
              </w:rPr>
              <w:t>项目内容、项目完成时间、</w:t>
            </w:r>
            <w:r>
              <w:rPr>
                <w:rFonts w:hint="eastAsia" w:ascii="宋体" w:hAnsi="宋体"/>
                <w:b/>
                <w:bCs/>
                <w:szCs w:val="21"/>
                <w:highlight w:val="none"/>
              </w:rPr>
              <w:t>项目</w:t>
            </w:r>
            <w:r>
              <w:rPr>
                <w:rFonts w:hint="eastAsia" w:ascii="宋体" w:hAnsi="宋体"/>
                <w:b/>
                <w:bCs/>
                <w:szCs w:val="21"/>
                <w:highlight w:val="none"/>
                <w:lang w:eastAsia="zh-CN"/>
              </w:rPr>
              <w:t>送审总额</w:t>
            </w:r>
            <w:r>
              <w:rPr>
                <w:rFonts w:hint="eastAsia" w:ascii="宋体" w:hAnsi="宋体"/>
                <w:b/>
                <w:bCs/>
                <w:szCs w:val="21"/>
                <w:highlight w:val="none"/>
              </w:rPr>
              <w:t>及项目负责人的姓名及岗位信息，否则，所填报的项目业绩不予认可；</w:t>
            </w:r>
          </w:p>
          <w:p>
            <w:pPr>
              <w:keepNext w:val="0"/>
              <w:keepLines w:val="0"/>
              <w:suppressLineNumbers w:val="0"/>
              <w:spacing w:before="0" w:beforeAutospacing="0" w:after="0" w:afterAutospacing="0"/>
              <w:ind w:left="0" w:right="0"/>
              <w:rPr>
                <w:rFonts w:hint="default" w:ascii="宋体" w:hAnsi="宋体"/>
                <w:b/>
                <w:bCs/>
                <w:color w:val="C00000"/>
                <w:sz w:val="24"/>
                <w:szCs w:val="24"/>
                <w:highlight w:val="none"/>
                <w:lang w:val="en-US" w:eastAsia="zh-CN"/>
              </w:rPr>
            </w:pPr>
            <w:r>
              <w:rPr>
                <w:rFonts w:hint="eastAsia" w:ascii="宋体" w:hAnsi="宋体"/>
                <w:b/>
                <w:bCs/>
                <w:color w:val="C00000"/>
                <w:sz w:val="24"/>
                <w:szCs w:val="24"/>
                <w:highlight w:val="none"/>
                <w:lang w:val="en-US" w:eastAsia="zh-CN"/>
              </w:rPr>
              <w:t>4.</w:t>
            </w:r>
            <w:r>
              <w:rPr>
                <w:rFonts w:hint="eastAsia" w:ascii="宋体" w:hAnsi="宋体"/>
                <w:b/>
                <w:bCs/>
                <w:color w:val="C00000"/>
                <w:sz w:val="24"/>
                <w:szCs w:val="24"/>
                <w:highlight w:val="none"/>
              </w:rPr>
              <w:t>审计报告</w:t>
            </w:r>
            <w:r>
              <w:rPr>
                <w:rFonts w:hint="eastAsia" w:ascii="宋体" w:hAnsi="宋体"/>
                <w:b/>
                <w:bCs/>
                <w:color w:val="C00000"/>
                <w:sz w:val="24"/>
                <w:szCs w:val="24"/>
                <w:highlight w:val="none"/>
                <w:lang w:eastAsia="zh-CN"/>
              </w:rPr>
              <w:t>仅须提供包含相关内容的</w:t>
            </w:r>
            <w:r>
              <w:rPr>
                <w:rFonts w:hint="eastAsia" w:ascii="宋体" w:hAnsi="宋体"/>
                <w:b/>
                <w:bCs/>
                <w:color w:val="C00000"/>
                <w:sz w:val="24"/>
                <w:szCs w:val="24"/>
                <w:highlight w:val="none"/>
              </w:rPr>
              <w:t>关键页</w:t>
            </w:r>
            <w:r>
              <w:rPr>
                <w:rFonts w:hint="eastAsia" w:ascii="宋体" w:hAnsi="宋体"/>
                <w:b/>
                <w:bCs/>
                <w:color w:val="C00000"/>
                <w:sz w:val="24"/>
                <w:szCs w:val="24"/>
                <w:highlight w:val="none"/>
                <w:lang w:eastAsia="zh-CN"/>
              </w:rPr>
              <w:t>即可；</w:t>
            </w:r>
          </w:p>
          <w:p>
            <w:pPr>
              <w:keepNext w:val="0"/>
              <w:keepLines w:val="0"/>
              <w:suppressLineNumbers w:val="0"/>
              <w:spacing w:before="0" w:beforeAutospacing="0" w:after="0" w:afterAutospacing="0"/>
              <w:ind w:left="0" w:right="0"/>
              <w:rPr>
                <w:rFonts w:hint="eastAsia" w:ascii="宋体" w:hAnsi="宋体" w:eastAsia="宋体" w:cs="宋体"/>
                <w:sz w:val="24"/>
                <w:highlight w:val="none"/>
                <w:lang w:eastAsia="zh-CN"/>
              </w:rPr>
            </w:pPr>
            <w:r>
              <w:rPr>
                <w:rFonts w:hint="eastAsia" w:ascii="宋体" w:hAnsi="宋体"/>
                <w:b/>
                <w:bCs/>
                <w:szCs w:val="21"/>
                <w:highlight w:val="none"/>
                <w:lang w:val="en-US" w:eastAsia="zh-CN"/>
              </w:rPr>
              <w:t>5</w:t>
            </w:r>
            <w:r>
              <w:rPr>
                <w:rFonts w:hint="eastAsia" w:ascii="宋体" w:hAnsi="宋体"/>
                <w:b/>
                <w:bCs/>
                <w:szCs w:val="21"/>
                <w:highlight w:val="none"/>
              </w:rPr>
              <w:t>.业绩时间以</w:t>
            </w:r>
            <w:r>
              <w:rPr>
                <w:rFonts w:hint="eastAsia" w:ascii="宋体" w:hAnsi="宋体"/>
                <w:b/>
                <w:bCs/>
                <w:szCs w:val="21"/>
                <w:highlight w:val="none"/>
                <w:lang w:eastAsia="zh-CN"/>
              </w:rPr>
              <w:t>审计报告或业主单位出具的证明材料中的</w:t>
            </w:r>
            <w:r>
              <w:rPr>
                <w:rFonts w:hint="eastAsia" w:ascii="宋体" w:hAnsi="宋体"/>
                <w:b/>
                <w:bCs/>
                <w:szCs w:val="21"/>
                <w:highlight w:val="none"/>
              </w:rPr>
              <w:t>时间为准</w:t>
            </w:r>
            <w:r>
              <w:rPr>
                <w:rFonts w:hint="eastAsia" w:ascii="宋体" w:hAnsi="宋体"/>
                <w:b/>
                <w:bCs/>
                <w:szCs w:val="21"/>
                <w:highlight w:val="none"/>
                <w:lang w:eastAsia="zh-CN"/>
              </w:rPr>
              <w:t>，若审计报告或业主单位出具的证明材料中无法鉴别项目完成时间的，该业绩不予认可。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993" w:type="dxa"/>
            <w:gridSpan w:val="2"/>
            <w:vMerge w:val="continue"/>
            <w:vAlign w:val="center"/>
          </w:tcPr>
          <w:p>
            <w:pPr>
              <w:keepNext w:val="0"/>
              <w:keepLines w:val="0"/>
              <w:suppressLineNumbers w:val="0"/>
              <w:spacing w:before="0" w:beforeAutospacing="0" w:after="0" w:afterAutospacing="0"/>
              <w:ind w:left="0" w:right="0"/>
              <w:jc w:val="center"/>
              <w:rPr>
                <w:rFonts w:hint="eastAsia" w:ascii="宋体" w:hAnsi="宋体" w:cs="宋体"/>
                <w:sz w:val="24"/>
                <w:highlight w:val="none"/>
              </w:rPr>
            </w:pPr>
          </w:p>
        </w:tc>
        <w:tc>
          <w:tcPr>
            <w:tcW w:w="992" w:type="dxa"/>
            <w:vMerge w:val="continue"/>
            <w:tcBorders>
              <w:bottom w:val="single" w:color="auto" w:sz="4" w:space="0"/>
            </w:tcBorders>
            <w:vAlign w:val="center"/>
          </w:tcPr>
          <w:p>
            <w:pPr>
              <w:keepNext w:val="0"/>
              <w:keepLines w:val="0"/>
              <w:suppressLineNumbers w:val="0"/>
              <w:spacing w:before="0" w:beforeAutospacing="0" w:after="0" w:afterAutospacing="0"/>
              <w:ind w:left="244" w:right="0"/>
              <w:rPr>
                <w:rFonts w:hint="eastAsia" w:ascii="宋体" w:hAnsi="宋体" w:cs="宋体"/>
                <w:sz w:val="24"/>
                <w:highlight w:val="none"/>
              </w:rPr>
            </w:pPr>
          </w:p>
        </w:tc>
        <w:tc>
          <w:tcPr>
            <w:tcW w:w="993" w:type="dxa"/>
            <w:vMerge w:val="continue"/>
            <w:tcBorders>
              <w:bottom w:val="single" w:color="auto" w:sz="4" w:space="0"/>
            </w:tcBorders>
            <w:vAlign w:val="center"/>
          </w:tcPr>
          <w:p>
            <w:pPr>
              <w:keepNext w:val="0"/>
              <w:keepLines w:val="0"/>
              <w:suppressLineNumbers w:val="0"/>
              <w:spacing w:before="0" w:beforeAutospacing="0" w:after="0" w:afterAutospacing="0"/>
              <w:ind w:left="335" w:right="0"/>
              <w:rPr>
                <w:rFonts w:hint="eastAsia" w:ascii="宋体" w:hAnsi="宋体" w:cs="宋体"/>
                <w:sz w:val="24"/>
                <w:highlight w:val="none"/>
              </w:rPr>
            </w:pPr>
          </w:p>
        </w:tc>
        <w:tc>
          <w:tcPr>
            <w:tcW w:w="1417" w:type="dxa"/>
            <w:tcBorders>
              <w:top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cs="宋体"/>
                <w:sz w:val="24"/>
                <w:highlight w:val="none"/>
              </w:rPr>
            </w:pPr>
            <w:r>
              <w:rPr>
                <w:rFonts w:hint="eastAsia" w:ascii="宋体" w:hAnsi="宋体" w:cs="宋体"/>
                <w:sz w:val="24"/>
                <w:highlight w:val="none"/>
              </w:rPr>
              <w:t>拟派</w:t>
            </w:r>
          </w:p>
          <w:p>
            <w:pPr>
              <w:keepNext w:val="0"/>
              <w:keepLines w:val="0"/>
              <w:suppressLineNumbers w:val="0"/>
              <w:spacing w:before="0" w:beforeAutospacing="0" w:after="0" w:afterAutospacing="0"/>
              <w:ind w:left="0" w:right="0"/>
              <w:jc w:val="center"/>
              <w:rPr>
                <w:rFonts w:hint="default" w:ascii="宋体" w:hAnsi="宋体"/>
                <w:bCs/>
                <w:sz w:val="24"/>
                <w:highlight w:val="none"/>
              </w:rPr>
            </w:pPr>
            <w:r>
              <w:rPr>
                <w:rFonts w:hint="eastAsia" w:ascii="宋体" w:hAnsi="宋体" w:cs="宋体"/>
                <w:sz w:val="24"/>
                <w:highlight w:val="none"/>
              </w:rPr>
              <w:t>主要审计人员</w:t>
            </w:r>
          </w:p>
        </w:tc>
        <w:tc>
          <w:tcPr>
            <w:tcW w:w="766" w:type="dxa"/>
            <w:tcBorders>
              <w:top w:val="single" w:color="auto" w:sz="4" w:space="0"/>
            </w:tcBorders>
            <w:vAlign w:val="center"/>
          </w:tcPr>
          <w:p>
            <w:pPr>
              <w:keepNext w:val="0"/>
              <w:keepLines w:val="0"/>
              <w:suppressLineNumbers w:val="0"/>
              <w:spacing w:before="85" w:beforeAutospacing="0" w:after="0" w:afterAutospacing="0"/>
              <w:ind w:left="0" w:right="0"/>
              <w:jc w:val="center"/>
              <w:rPr>
                <w:rFonts w:hint="eastAsia" w:ascii="宋体" w:hAnsi="宋体" w:cs="宋体"/>
                <w:sz w:val="24"/>
                <w:highlight w:val="none"/>
              </w:rPr>
            </w:pPr>
            <w:r>
              <w:rPr>
                <w:rFonts w:hint="eastAsia" w:ascii="宋体" w:hAnsi="宋体" w:cs="宋体"/>
                <w:sz w:val="24"/>
                <w:highlight w:val="none"/>
              </w:rPr>
              <w:t>4分</w:t>
            </w:r>
          </w:p>
        </w:tc>
        <w:tc>
          <w:tcPr>
            <w:tcW w:w="4479" w:type="dxa"/>
            <w:tcBorders>
              <w:top w:val="single" w:color="auto" w:sz="4" w:space="0"/>
              <w:bottom w:val="single" w:color="auto" w:sz="4" w:space="0"/>
            </w:tcBorders>
          </w:tcPr>
          <w:p>
            <w:pPr>
              <w:keepNext w:val="0"/>
              <w:keepLines w:val="0"/>
              <w:suppressLineNumbers w:val="0"/>
              <w:spacing w:before="0" w:beforeAutospacing="0" w:after="0" w:afterAutospacing="0"/>
              <w:ind w:left="0" w:right="0"/>
              <w:jc w:val="left"/>
              <w:rPr>
                <w:rFonts w:hint="eastAsia" w:ascii="宋体" w:hAnsi="宋体" w:cs="宋体"/>
                <w:sz w:val="24"/>
                <w:highlight w:val="none"/>
              </w:rPr>
            </w:pPr>
            <w:r>
              <w:rPr>
                <w:rFonts w:hint="eastAsia" w:ascii="宋体" w:hAnsi="宋体" w:cs="宋体"/>
                <w:sz w:val="24"/>
                <w:highlight w:val="none"/>
              </w:rPr>
              <w:t>除项目负责人外，配备具有道路工程造价审计经验的人员为7人及以上的，其中至少5人具有</w:t>
            </w:r>
            <w:r>
              <w:rPr>
                <w:rFonts w:hint="eastAsia" w:ascii="宋体" w:hAnsi="宋体"/>
                <w:sz w:val="24"/>
                <w:highlight w:val="none"/>
              </w:rPr>
              <w:t>住房和城乡建设部颁发的注册造价工程师证书</w:t>
            </w:r>
            <w:r>
              <w:rPr>
                <w:rFonts w:hint="eastAsia" w:ascii="宋体" w:hAnsi="宋体" w:cs="宋体"/>
                <w:sz w:val="24"/>
                <w:highlight w:val="none"/>
              </w:rPr>
              <w:t>得4分。7人以下得0分。</w:t>
            </w:r>
          </w:p>
          <w:p>
            <w:pPr>
              <w:pStyle w:val="2"/>
              <w:keepNext w:val="0"/>
              <w:keepLines w:val="0"/>
              <w:suppressLineNumbers w:val="0"/>
              <w:spacing w:before="0" w:beforeAutospacing="0" w:after="0" w:afterAutospacing="0" w:line="240" w:lineRule="auto"/>
              <w:ind w:left="0" w:right="141" w:rightChars="67" w:firstLine="0"/>
              <w:jc w:val="left"/>
              <w:rPr>
                <w:rFonts w:hint="eastAsia" w:ascii="宋体" w:hAnsi="宋体" w:cs="宋体"/>
                <w:b/>
                <w:sz w:val="21"/>
                <w:szCs w:val="21"/>
                <w:highlight w:val="none"/>
              </w:rPr>
            </w:pPr>
            <w:r>
              <w:rPr>
                <w:rFonts w:hint="eastAsia" w:ascii="宋体" w:hAnsi="宋体" w:cs="宋体"/>
                <w:b/>
                <w:sz w:val="21"/>
                <w:szCs w:val="21"/>
                <w:highlight w:val="none"/>
              </w:rPr>
              <w:t>注：</w:t>
            </w:r>
          </w:p>
          <w:p>
            <w:pPr>
              <w:pStyle w:val="2"/>
              <w:keepNext w:val="0"/>
              <w:keepLines w:val="0"/>
              <w:suppressLineNumbers w:val="0"/>
              <w:spacing w:before="0" w:beforeAutospacing="0" w:after="0" w:afterAutospacing="0" w:line="240" w:lineRule="auto"/>
              <w:ind w:left="0" w:right="141" w:rightChars="67" w:firstLine="0"/>
              <w:jc w:val="left"/>
              <w:rPr>
                <w:rFonts w:hint="eastAsia" w:ascii="宋体" w:hAnsi="宋体" w:cs="宋体"/>
                <w:b/>
                <w:sz w:val="21"/>
                <w:szCs w:val="21"/>
                <w:highlight w:val="none"/>
              </w:rPr>
            </w:pPr>
            <w:r>
              <w:rPr>
                <w:rFonts w:hint="eastAsia" w:ascii="宋体" w:hAnsi="宋体" w:cs="宋体"/>
                <w:b/>
                <w:sz w:val="21"/>
                <w:szCs w:val="21"/>
                <w:highlight w:val="none"/>
              </w:rPr>
              <w:t>1.需提供相关人员身份证、注册证书的复印件或扫描件加盖投标人单位章，以及投标人或其分支机构所属社保机构出具的拟委任的审计人员的2021年1月至投标截止日前任意</w:t>
            </w:r>
            <w:r>
              <w:rPr>
                <w:rFonts w:hint="eastAsia" w:ascii="宋体" w:hAnsi="宋体" w:cs="宋体"/>
                <w:b/>
                <w:sz w:val="21"/>
                <w:szCs w:val="21"/>
                <w:highlight w:val="none"/>
                <w:lang w:eastAsia="zh-CN"/>
              </w:rPr>
              <w:t>连续</w:t>
            </w:r>
            <w:r>
              <w:rPr>
                <w:rFonts w:hint="eastAsia" w:ascii="宋体" w:hAnsi="宋体" w:cs="宋体"/>
                <w:b/>
                <w:sz w:val="21"/>
                <w:szCs w:val="21"/>
                <w:highlight w:val="none"/>
              </w:rPr>
              <w:t>三个月的社保缴费证明或其他能够证明拟委任的审计人员参加社保的有效证明材料（必须由社保部门出具或从社保系统中打印，没有则视为不是本单位职工）的复印件或扫描件加盖投标人单位章。如相关人员为离退休人员不需再交纳社保的，则必须提供其离退休相关证明材料。如所提供人员有转所情况的,必须附转所相关证明材料的复印件或扫描件加盖投标人单位章。注册证书、社保缴纳凭证单位须与投标人单位或其所属分支机构一致，否则视为非单位人员。</w:t>
            </w:r>
          </w:p>
          <w:p>
            <w:pPr>
              <w:pStyle w:val="2"/>
              <w:keepNext w:val="0"/>
              <w:keepLines w:val="0"/>
              <w:suppressLineNumbers w:val="0"/>
              <w:spacing w:before="0" w:beforeAutospacing="0" w:after="0" w:afterAutospacing="0" w:line="240" w:lineRule="auto"/>
              <w:ind w:left="0" w:right="141" w:rightChars="67" w:firstLine="0"/>
              <w:jc w:val="left"/>
              <w:rPr>
                <w:rFonts w:hint="default" w:ascii="宋体" w:hAnsi="宋体" w:cs="宋体"/>
                <w:b/>
                <w:sz w:val="21"/>
                <w:szCs w:val="21"/>
                <w:highlight w:val="none"/>
              </w:rPr>
            </w:pPr>
            <w:r>
              <w:rPr>
                <w:rFonts w:hint="eastAsia" w:ascii="宋体" w:hAnsi="宋体" w:cs="宋体"/>
                <w:b/>
                <w:sz w:val="21"/>
                <w:szCs w:val="21"/>
                <w:highlight w:val="none"/>
              </w:rPr>
              <w:t>2.需提供的拟派人员审计经验的认定由投标人自行出具相关审计经验证明。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993" w:type="dxa"/>
            <w:gridSpan w:val="2"/>
            <w:vMerge w:val="continue"/>
            <w:vAlign w:val="center"/>
          </w:tcPr>
          <w:p>
            <w:pPr>
              <w:keepNext w:val="0"/>
              <w:keepLines w:val="0"/>
              <w:suppressLineNumbers w:val="0"/>
              <w:spacing w:before="0" w:beforeAutospacing="0" w:after="0" w:afterAutospacing="0"/>
              <w:ind w:left="0" w:right="0"/>
              <w:jc w:val="center"/>
              <w:rPr>
                <w:rFonts w:hint="eastAsia" w:ascii="宋体" w:hAnsi="宋体" w:cs="宋体"/>
                <w:sz w:val="24"/>
                <w:highlight w:val="none"/>
              </w:rPr>
            </w:pPr>
          </w:p>
        </w:tc>
        <w:tc>
          <w:tcPr>
            <w:tcW w:w="992" w:type="dxa"/>
            <w:tcBorders>
              <w:top w:val="single" w:color="auto" w:sz="4" w:space="0"/>
            </w:tcBorders>
            <w:vAlign w:val="center"/>
          </w:tcPr>
          <w:p>
            <w:pPr>
              <w:keepNext w:val="0"/>
              <w:keepLines w:val="0"/>
              <w:suppressLineNumbers w:val="0"/>
              <w:spacing w:before="0" w:beforeAutospacing="0" w:after="0" w:afterAutospacing="0"/>
              <w:ind w:left="4" w:leftChars="2" w:right="0"/>
              <w:jc w:val="center"/>
              <w:rPr>
                <w:rFonts w:hint="eastAsia" w:ascii="宋体" w:hAnsi="宋体" w:cs="宋体"/>
                <w:sz w:val="24"/>
                <w:highlight w:val="none"/>
              </w:rPr>
            </w:pPr>
            <w:r>
              <w:rPr>
                <w:rFonts w:hint="eastAsia" w:ascii="宋体" w:hAnsi="宋体" w:cs="宋体"/>
                <w:sz w:val="24"/>
                <w:highlight w:val="none"/>
              </w:rPr>
              <w:t>投标人</w:t>
            </w:r>
          </w:p>
          <w:p>
            <w:pPr>
              <w:keepNext w:val="0"/>
              <w:keepLines w:val="0"/>
              <w:suppressLineNumbers w:val="0"/>
              <w:spacing w:before="0" w:beforeAutospacing="0" w:after="0" w:afterAutospacing="0"/>
              <w:ind w:left="4" w:leftChars="2" w:right="0"/>
              <w:jc w:val="center"/>
              <w:rPr>
                <w:rFonts w:hint="eastAsia" w:ascii="宋体" w:hAnsi="宋体" w:cs="宋体"/>
                <w:sz w:val="24"/>
                <w:highlight w:val="none"/>
              </w:rPr>
            </w:pPr>
            <w:r>
              <w:rPr>
                <w:rFonts w:hint="eastAsia" w:ascii="宋体" w:hAnsi="宋体" w:cs="宋体"/>
                <w:sz w:val="24"/>
                <w:highlight w:val="none"/>
              </w:rPr>
              <w:t>业绩</w:t>
            </w:r>
          </w:p>
        </w:tc>
        <w:tc>
          <w:tcPr>
            <w:tcW w:w="993" w:type="dxa"/>
            <w:tcBorders>
              <w:top w:val="single" w:color="auto" w:sz="4" w:space="0"/>
            </w:tcBorders>
            <w:vAlign w:val="center"/>
          </w:tcPr>
          <w:p>
            <w:pPr>
              <w:keepNext w:val="0"/>
              <w:keepLines w:val="0"/>
              <w:suppressLineNumbers w:val="0"/>
              <w:spacing w:before="22" w:beforeAutospacing="0" w:after="0" w:afterAutospacing="0"/>
              <w:ind w:left="4" w:leftChars="2" w:right="0" w:firstLine="9"/>
              <w:jc w:val="center"/>
              <w:rPr>
                <w:rFonts w:hint="eastAsia" w:ascii="宋体" w:hAnsi="宋体" w:cs="宋体"/>
                <w:sz w:val="24"/>
                <w:highlight w:val="none"/>
              </w:rPr>
            </w:pPr>
            <w:r>
              <w:rPr>
                <w:rFonts w:hint="eastAsia" w:ascii="宋体" w:hAnsi="宋体" w:cs="宋体"/>
                <w:sz w:val="24"/>
                <w:highlight w:val="none"/>
              </w:rPr>
              <w:t>24分</w:t>
            </w:r>
          </w:p>
        </w:tc>
        <w:tc>
          <w:tcPr>
            <w:tcW w:w="6662" w:type="dxa"/>
            <w:gridSpan w:val="3"/>
            <w:tcBorders>
              <w:top w:val="single" w:color="auto" w:sz="4" w:space="0"/>
              <w:bottom w:val="single" w:color="auto" w:sz="4" w:space="0"/>
            </w:tcBorders>
            <w:vAlign w:val="center"/>
          </w:tcPr>
          <w:p>
            <w:pPr>
              <w:pStyle w:val="2"/>
              <w:keepNext w:val="0"/>
              <w:keepLines w:val="0"/>
              <w:suppressLineNumbers w:val="0"/>
              <w:spacing w:before="0" w:beforeAutospacing="0" w:after="0" w:afterAutospacing="0" w:line="240" w:lineRule="auto"/>
              <w:ind w:left="0" w:right="0" w:firstLine="0"/>
              <w:rPr>
                <w:rFonts w:hint="eastAsia" w:ascii="宋体" w:hAnsi="宋体" w:cs="宋体"/>
                <w:highlight w:val="none"/>
              </w:rPr>
            </w:pPr>
            <w:r>
              <w:rPr>
                <w:rFonts w:hint="eastAsia" w:ascii="宋体" w:hAnsi="宋体" w:cs="宋体"/>
                <w:highlight w:val="none"/>
              </w:rPr>
              <w:t>投标人提供2017年1月1日至今</w:t>
            </w:r>
            <w:r>
              <w:rPr>
                <w:rFonts w:hint="eastAsia" w:ascii="宋体" w:hAnsi="宋体" w:cs="宋体"/>
                <w:b/>
                <w:bCs/>
                <w:highlight w:val="none"/>
                <w:lang w:eastAsia="zh-CN"/>
              </w:rPr>
              <w:t>已完成</w:t>
            </w:r>
            <w:r>
              <w:rPr>
                <w:rFonts w:hint="eastAsia" w:ascii="宋体" w:hAnsi="宋体" w:cs="宋体"/>
                <w:highlight w:val="none"/>
              </w:rPr>
              <w:t>的类似道路工程造价项目得分如下：</w:t>
            </w:r>
          </w:p>
          <w:p>
            <w:pPr>
              <w:pStyle w:val="2"/>
              <w:keepNext w:val="0"/>
              <w:keepLines w:val="0"/>
              <w:suppressLineNumbers w:val="0"/>
              <w:spacing w:before="0" w:beforeAutospacing="0" w:after="0" w:afterAutospacing="0" w:line="240" w:lineRule="auto"/>
              <w:ind w:left="0" w:right="0" w:firstLine="0"/>
              <w:rPr>
                <w:rFonts w:hint="eastAsia" w:ascii="宋体" w:hAnsi="宋体" w:cs="宋体"/>
                <w:highlight w:val="none"/>
              </w:rPr>
            </w:pPr>
            <w:r>
              <w:rPr>
                <w:rFonts w:hint="eastAsia" w:ascii="宋体" w:hAnsi="宋体" w:cs="宋体"/>
                <w:highlight w:val="none"/>
              </w:rPr>
              <w:t>①审计项目</w:t>
            </w:r>
            <w:r>
              <w:rPr>
                <w:rFonts w:hint="eastAsia" w:ascii="宋体" w:hAnsi="宋体" w:cs="宋体"/>
                <w:highlight w:val="none"/>
                <w:lang w:eastAsia="zh-CN"/>
              </w:rPr>
              <w:t>送审总额</w:t>
            </w:r>
            <w:r>
              <w:rPr>
                <w:rFonts w:hint="eastAsia" w:ascii="宋体" w:hAnsi="宋体" w:cs="宋体"/>
                <w:highlight w:val="none"/>
              </w:rPr>
              <w:t>≥</w:t>
            </w:r>
            <w:r>
              <w:rPr>
                <w:rFonts w:hint="eastAsia" w:ascii="宋体" w:hAnsi="宋体" w:cs="宋体"/>
                <w:highlight w:val="none"/>
                <w:lang w:val="en-US" w:eastAsia="zh-CN"/>
              </w:rPr>
              <w:t>5</w:t>
            </w:r>
            <w:r>
              <w:rPr>
                <w:rFonts w:hint="eastAsia" w:ascii="宋体" w:hAnsi="宋体" w:cs="宋体"/>
                <w:highlight w:val="none"/>
              </w:rPr>
              <w:t>0亿元，每提供1个得</w:t>
            </w:r>
            <w:r>
              <w:rPr>
                <w:rFonts w:hint="eastAsia" w:ascii="宋体" w:hAnsi="宋体" w:cs="宋体"/>
                <w:highlight w:val="none"/>
                <w:lang w:val="en-US" w:eastAsia="zh-CN"/>
              </w:rPr>
              <w:t>12</w:t>
            </w:r>
            <w:r>
              <w:rPr>
                <w:rFonts w:hint="eastAsia" w:ascii="宋体" w:hAnsi="宋体" w:cs="宋体"/>
                <w:highlight w:val="none"/>
              </w:rPr>
              <w:t>分。</w:t>
            </w:r>
          </w:p>
          <w:p>
            <w:pPr>
              <w:pStyle w:val="2"/>
              <w:keepNext w:val="0"/>
              <w:keepLines w:val="0"/>
              <w:suppressLineNumbers w:val="0"/>
              <w:spacing w:before="0" w:beforeAutospacing="0" w:after="0" w:afterAutospacing="0" w:line="240" w:lineRule="auto"/>
              <w:ind w:left="0" w:right="0" w:firstLine="0"/>
              <w:rPr>
                <w:rFonts w:hint="eastAsia" w:ascii="宋体" w:hAnsi="宋体" w:cs="宋体"/>
                <w:highlight w:val="none"/>
              </w:rPr>
            </w:pPr>
            <w:r>
              <w:rPr>
                <w:rFonts w:hint="eastAsia" w:ascii="宋体" w:hAnsi="宋体" w:cs="宋体"/>
                <w:highlight w:val="none"/>
              </w:rPr>
              <w:t>②30亿元≤审计项目</w:t>
            </w:r>
            <w:r>
              <w:rPr>
                <w:rFonts w:hint="eastAsia" w:ascii="宋体" w:hAnsi="宋体" w:cs="宋体"/>
                <w:highlight w:val="none"/>
                <w:lang w:eastAsia="zh-CN"/>
              </w:rPr>
              <w:t>送审总额</w:t>
            </w:r>
            <w:r>
              <w:rPr>
                <w:rFonts w:hint="eastAsia" w:ascii="宋体" w:hAnsi="宋体" w:cs="宋体"/>
                <w:highlight w:val="none"/>
              </w:rPr>
              <w:t>＜</w:t>
            </w:r>
            <w:r>
              <w:rPr>
                <w:rFonts w:hint="eastAsia" w:ascii="宋体" w:hAnsi="宋体" w:cs="宋体"/>
                <w:highlight w:val="none"/>
                <w:lang w:val="en-US" w:eastAsia="zh-CN"/>
              </w:rPr>
              <w:t>5</w:t>
            </w:r>
            <w:r>
              <w:rPr>
                <w:rFonts w:hint="eastAsia" w:ascii="宋体" w:hAnsi="宋体" w:cs="宋体"/>
                <w:highlight w:val="none"/>
              </w:rPr>
              <w:t>0亿元，每提供1个得</w:t>
            </w:r>
            <w:r>
              <w:rPr>
                <w:rFonts w:hint="eastAsia" w:ascii="宋体" w:hAnsi="宋体" w:cs="宋体"/>
                <w:highlight w:val="none"/>
                <w:lang w:val="en-US" w:eastAsia="zh-CN"/>
              </w:rPr>
              <w:t>8</w:t>
            </w:r>
            <w:r>
              <w:rPr>
                <w:rFonts w:hint="eastAsia" w:ascii="宋体" w:hAnsi="宋体" w:cs="宋体"/>
                <w:highlight w:val="none"/>
              </w:rPr>
              <w:t>分。</w:t>
            </w:r>
          </w:p>
          <w:p>
            <w:pPr>
              <w:pStyle w:val="2"/>
              <w:keepNext w:val="0"/>
              <w:keepLines w:val="0"/>
              <w:suppressLineNumbers w:val="0"/>
              <w:spacing w:before="0" w:beforeAutospacing="0" w:after="0" w:afterAutospacing="0" w:line="240" w:lineRule="auto"/>
              <w:ind w:left="0" w:right="0" w:firstLine="0"/>
              <w:rPr>
                <w:rFonts w:hint="eastAsia" w:ascii="宋体" w:hAnsi="宋体" w:cs="宋体"/>
                <w:highlight w:val="none"/>
              </w:rPr>
            </w:pPr>
            <w:r>
              <w:rPr>
                <w:rFonts w:hint="eastAsia" w:ascii="宋体" w:hAnsi="宋体" w:cs="宋体"/>
                <w:highlight w:val="none"/>
              </w:rPr>
              <w:t>③</w:t>
            </w:r>
            <w:r>
              <w:rPr>
                <w:rFonts w:hint="eastAsia" w:ascii="宋体" w:hAnsi="宋体" w:cs="宋体"/>
                <w:highlight w:val="none"/>
                <w:lang w:val="en-US" w:eastAsia="zh-CN"/>
              </w:rPr>
              <w:t>2</w:t>
            </w:r>
            <w:r>
              <w:rPr>
                <w:rFonts w:hint="eastAsia" w:ascii="宋体" w:hAnsi="宋体" w:cs="宋体"/>
                <w:highlight w:val="none"/>
              </w:rPr>
              <w:t>0亿元≤审计项目</w:t>
            </w:r>
            <w:r>
              <w:rPr>
                <w:rFonts w:hint="eastAsia" w:ascii="宋体" w:hAnsi="宋体" w:cs="宋体"/>
                <w:highlight w:val="none"/>
                <w:lang w:eastAsia="zh-CN"/>
              </w:rPr>
              <w:t>送审总额</w:t>
            </w:r>
            <w:r>
              <w:rPr>
                <w:rFonts w:hint="eastAsia" w:ascii="宋体" w:hAnsi="宋体" w:cs="宋体"/>
                <w:highlight w:val="none"/>
              </w:rPr>
              <w:t>＜30亿元，每提供1个得</w:t>
            </w:r>
            <w:r>
              <w:rPr>
                <w:rFonts w:hint="eastAsia" w:ascii="宋体" w:hAnsi="宋体" w:cs="宋体"/>
                <w:highlight w:val="none"/>
                <w:lang w:val="en-US" w:eastAsia="zh-CN"/>
              </w:rPr>
              <w:t>6</w:t>
            </w:r>
            <w:r>
              <w:rPr>
                <w:rFonts w:hint="eastAsia" w:ascii="宋体" w:hAnsi="宋体" w:cs="宋体"/>
                <w:highlight w:val="none"/>
              </w:rPr>
              <w:t>分。</w:t>
            </w:r>
          </w:p>
          <w:p>
            <w:pPr>
              <w:pStyle w:val="2"/>
              <w:keepNext w:val="0"/>
              <w:keepLines w:val="0"/>
              <w:suppressLineNumbers w:val="0"/>
              <w:spacing w:before="0" w:beforeAutospacing="0" w:after="0" w:afterAutospacing="0" w:line="240" w:lineRule="auto"/>
              <w:ind w:left="0" w:right="0" w:firstLine="0"/>
              <w:rPr>
                <w:rFonts w:hint="eastAsia" w:ascii="宋体" w:hAnsi="宋体" w:cs="宋体"/>
                <w:highlight w:val="none"/>
              </w:rPr>
            </w:pPr>
            <w:r>
              <w:rPr>
                <w:rFonts w:hint="eastAsia" w:ascii="宋体" w:hAnsi="宋体" w:cs="宋体"/>
                <w:highlight w:val="none"/>
              </w:rPr>
              <w:t>本项最高得24分。</w:t>
            </w:r>
          </w:p>
          <w:p>
            <w:pPr>
              <w:pStyle w:val="2"/>
              <w:keepNext w:val="0"/>
              <w:keepLines w:val="0"/>
              <w:suppressLineNumbers w:val="0"/>
              <w:spacing w:before="0" w:beforeAutospacing="0" w:after="0" w:afterAutospacing="0" w:line="240" w:lineRule="auto"/>
              <w:ind w:left="0" w:right="0" w:firstLine="0"/>
              <w:rPr>
                <w:rFonts w:hint="eastAsia" w:ascii="宋体" w:hAnsi="宋体" w:cs="宋体"/>
                <w:b/>
                <w:sz w:val="21"/>
                <w:highlight w:val="none"/>
              </w:rPr>
            </w:pPr>
            <w:r>
              <w:rPr>
                <w:rFonts w:hint="eastAsia" w:ascii="宋体" w:hAnsi="宋体" w:cs="宋体"/>
                <w:b/>
                <w:sz w:val="21"/>
                <w:highlight w:val="none"/>
              </w:rPr>
              <w:t>注：</w:t>
            </w:r>
          </w:p>
          <w:p>
            <w:pPr>
              <w:pStyle w:val="2"/>
              <w:keepNext w:val="0"/>
              <w:keepLines w:val="0"/>
              <w:suppressLineNumbers w:val="0"/>
              <w:spacing w:before="0" w:beforeAutospacing="0" w:after="0" w:afterAutospacing="0" w:line="240" w:lineRule="auto"/>
              <w:ind w:left="0" w:right="0" w:firstLine="0"/>
              <w:rPr>
                <w:rFonts w:hint="eastAsia" w:ascii="宋体" w:hAnsi="宋体" w:cs="宋体"/>
                <w:b/>
                <w:sz w:val="21"/>
                <w:szCs w:val="21"/>
                <w:highlight w:val="none"/>
              </w:rPr>
            </w:pPr>
            <w:r>
              <w:rPr>
                <w:rFonts w:hint="eastAsia" w:ascii="宋体" w:hAnsi="宋体" w:cs="宋体"/>
                <w:b/>
                <w:sz w:val="21"/>
                <w:highlight w:val="none"/>
              </w:rPr>
              <w:t>1.</w:t>
            </w:r>
            <w:r>
              <w:rPr>
                <w:rFonts w:hint="eastAsia" w:ascii="宋体" w:hAnsi="宋体" w:cs="宋体"/>
                <w:b/>
                <w:sz w:val="21"/>
                <w:szCs w:val="21"/>
                <w:highlight w:val="none"/>
              </w:rPr>
              <w:t>类似道路工程造价项目指道路工程跟踪审计或全过程造价咨询或交（竣）工结（决）算审计；</w:t>
            </w:r>
          </w:p>
          <w:p>
            <w:pPr>
              <w:pStyle w:val="2"/>
              <w:keepNext w:val="0"/>
              <w:keepLines w:val="0"/>
              <w:suppressLineNumbers w:val="0"/>
              <w:spacing w:before="0" w:beforeAutospacing="0" w:after="0" w:afterAutospacing="0" w:line="240" w:lineRule="auto"/>
              <w:ind w:left="0" w:right="0" w:firstLine="0"/>
              <w:rPr>
                <w:rFonts w:hint="eastAsia" w:ascii="宋体" w:hAnsi="宋体" w:cs="宋体"/>
                <w:b/>
                <w:sz w:val="21"/>
                <w:szCs w:val="21"/>
                <w:highlight w:val="none"/>
                <w:lang w:eastAsia="zh-CN"/>
              </w:rPr>
            </w:pPr>
            <w:r>
              <w:rPr>
                <w:rFonts w:hint="eastAsia" w:ascii="宋体" w:hAnsi="宋体" w:cs="宋体"/>
                <w:b/>
                <w:sz w:val="21"/>
                <w:szCs w:val="21"/>
                <w:highlight w:val="none"/>
              </w:rPr>
              <w:t>2.</w:t>
            </w:r>
            <w:r>
              <w:rPr>
                <w:rFonts w:hint="eastAsia" w:ascii="宋体" w:hAnsi="宋体" w:cs="宋体"/>
                <w:b/>
                <w:sz w:val="21"/>
                <w:szCs w:val="21"/>
                <w:highlight w:val="none"/>
                <w:lang w:eastAsia="zh-CN"/>
              </w:rPr>
              <w:t>需提供中标通知书（或合同协议书）及审计报告（或业主单位出具的加盖业主单位公章的证明材料）的复印件或扫描件加盖投标人单位章；</w:t>
            </w:r>
          </w:p>
          <w:p>
            <w:pPr>
              <w:keepNext w:val="0"/>
              <w:keepLines w:val="0"/>
              <w:suppressLineNumbers w:val="0"/>
              <w:spacing w:before="0" w:beforeAutospacing="0" w:after="0" w:afterAutospacing="0"/>
              <w:ind w:left="0" w:right="0"/>
              <w:rPr>
                <w:rFonts w:hint="eastAsia" w:ascii="宋体" w:hAnsi="宋体"/>
                <w:b/>
                <w:bCs/>
                <w:szCs w:val="21"/>
                <w:highlight w:val="none"/>
              </w:rPr>
            </w:pPr>
            <w:r>
              <w:rPr>
                <w:rFonts w:hint="eastAsia" w:ascii="宋体" w:hAnsi="宋体" w:cs="宋体"/>
                <w:b/>
                <w:sz w:val="21"/>
                <w:szCs w:val="21"/>
                <w:highlight w:val="none"/>
                <w:lang w:val="en-US" w:eastAsia="zh-CN"/>
              </w:rPr>
              <w:t>3.</w:t>
            </w:r>
            <w:r>
              <w:rPr>
                <w:rFonts w:hint="eastAsia" w:ascii="宋体" w:hAnsi="宋体"/>
                <w:b/>
                <w:bCs/>
                <w:szCs w:val="21"/>
                <w:highlight w:val="none"/>
                <w:lang w:val="en-US" w:eastAsia="zh-CN"/>
              </w:rPr>
              <w:t>提供的</w:t>
            </w:r>
            <w:r>
              <w:rPr>
                <w:rFonts w:hint="eastAsia" w:ascii="宋体" w:hAnsi="宋体"/>
                <w:b/>
                <w:bCs/>
                <w:szCs w:val="21"/>
                <w:highlight w:val="none"/>
              </w:rPr>
              <w:t>相关证明资料</w:t>
            </w:r>
            <w:r>
              <w:rPr>
                <w:rFonts w:hint="eastAsia" w:ascii="宋体" w:hAnsi="宋体"/>
                <w:b/>
                <w:bCs/>
                <w:szCs w:val="21"/>
                <w:highlight w:val="none"/>
                <w:lang w:eastAsia="zh-CN"/>
              </w:rPr>
              <w:t>中</w:t>
            </w:r>
            <w:r>
              <w:rPr>
                <w:rFonts w:hint="eastAsia" w:ascii="宋体" w:hAnsi="宋体"/>
                <w:b/>
                <w:bCs/>
                <w:szCs w:val="21"/>
                <w:highlight w:val="none"/>
              </w:rPr>
              <w:t>需体现</w:t>
            </w:r>
            <w:r>
              <w:rPr>
                <w:rFonts w:hint="eastAsia" w:ascii="宋体" w:hAnsi="宋体"/>
                <w:b/>
                <w:bCs/>
                <w:szCs w:val="21"/>
                <w:highlight w:val="none"/>
                <w:lang w:eastAsia="zh-CN"/>
              </w:rPr>
              <w:t>项目内容、项目完成时间、</w:t>
            </w:r>
            <w:r>
              <w:rPr>
                <w:rFonts w:hint="eastAsia" w:ascii="宋体" w:hAnsi="宋体"/>
                <w:b/>
                <w:bCs/>
                <w:szCs w:val="21"/>
                <w:highlight w:val="none"/>
              </w:rPr>
              <w:t>项目</w:t>
            </w:r>
            <w:r>
              <w:rPr>
                <w:rFonts w:hint="eastAsia" w:ascii="宋体" w:hAnsi="宋体"/>
                <w:b/>
                <w:bCs/>
                <w:szCs w:val="21"/>
                <w:highlight w:val="none"/>
                <w:lang w:eastAsia="zh-CN"/>
              </w:rPr>
              <w:t>送审总额等</w:t>
            </w:r>
            <w:r>
              <w:rPr>
                <w:rFonts w:hint="eastAsia" w:ascii="宋体" w:hAnsi="宋体"/>
                <w:b/>
                <w:bCs/>
                <w:szCs w:val="21"/>
                <w:highlight w:val="none"/>
              </w:rPr>
              <w:t>信息，否则，所填报的项目业绩不予认可；</w:t>
            </w:r>
          </w:p>
          <w:p>
            <w:pPr>
              <w:keepNext w:val="0"/>
              <w:keepLines w:val="0"/>
              <w:suppressLineNumbers w:val="0"/>
              <w:spacing w:before="0" w:beforeAutospacing="0" w:after="0" w:afterAutospacing="0"/>
              <w:ind w:left="0" w:right="0"/>
              <w:rPr>
                <w:rFonts w:hint="default" w:ascii="宋体" w:hAnsi="宋体"/>
                <w:b/>
                <w:bCs/>
                <w:color w:val="C00000"/>
                <w:sz w:val="24"/>
                <w:szCs w:val="24"/>
                <w:highlight w:val="none"/>
                <w:lang w:val="en-US" w:eastAsia="zh-CN"/>
              </w:rPr>
            </w:pPr>
            <w:r>
              <w:rPr>
                <w:rFonts w:hint="eastAsia" w:ascii="宋体" w:hAnsi="宋体"/>
                <w:b/>
                <w:bCs/>
                <w:color w:val="C00000"/>
                <w:sz w:val="24"/>
                <w:szCs w:val="24"/>
                <w:highlight w:val="none"/>
                <w:lang w:val="en-US" w:eastAsia="zh-CN"/>
              </w:rPr>
              <w:t>4.</w:t>
            </w:r>
            <w:r>
              <w:rPr>
                <w:rFonts w:hint="eastAsia" w:ascii="宋体" w:hAnsi="宋体"/>
                <w:b/>
                <w:bCs/>
                <w:color w:val="C00000"/>
                <w:sz w:val="24"/>
                <w:szCs w:val="24"/>
                <w:highlight w:val="none"/>
              </w:rPr>
              <w:t>审计报告</w:t>
            </w:r>
            <w:r>
              <w:rPr>
                <w:rFonts w:hint="eastAsia" w:ascii="宋体" w:hAnsi="宋体"/>
                <w:b/>
                <w:bCs/>
                <w:color w:val="C00000"/>
                <w:sz w:val="24"/>
                <w:szCs w:val="24"/>
                <w:highlight w:val="none"/>
                <w:lang w:eastAsia="zh-CN"/>
              </w:rPr>
              <w:t>仅须提供包含相关内容的</w:t>
            </w:r>
            <w:r>
              <w:rPr>
                <w:rFonts w:hint="eastAsia" w:ascii="宋体" w:hAnsi="宋体"/>
                <w:b/>
                <w:bCs/>
                <w:color w:val="C00000"/>
                <w:sz w:val="24"/>
                <w:szCs w:val="24"/>
                <w:highlight w:val="none"/>
              </w:rPr>
              <w:t>关键页</w:t>
            </w:r>
            <w:r>
              <w:rPr>
                <w:rFonts w:hint="eastAsia" w:ascii="宋体" w:hAnsi="宋体"/>
                <w:b/>
                <w:bCs/>
                <w:color w:val="C00000"/>
                <w:sz w:val="24"/>
                <w:szCs w:val="24"/>
                <w:highlight w:val="none"/>
                <w:lang w:eastAsia="zh-CN"/>
              </w:rPr>
              <w:t>即可；</w:t>
            </w:r>
          </w:p>
          <w:p>
            <w:pPr>
              <w:keepNext w:val="0"/>
              <w:keepLines w:val="0"/>
              <w:suppressLineNumbers w:val="0"/>
              <w:spacing w:before="0" w:beforeAutospacing="0" w:after="0" w:afterAutospacing="0"/>
              <w:ind w:left="0" w:right="0"/>
              <w:rPr>
                <w:rFonts w:hint="eastAsia" w:ascii="宋体" w:hAnsi="宋体"/>
                <w:highlight w:val="none"/>
              </w:rPr>
            </w:pPr>
            <w:r>
              <w:rPr>
                <w:rFonts w:hint="eastAsia" w:ascii="宋体" w:hAnsi="宋体"/>
                <w:b/>
                <w:bCs/>
                <w:szCs w:val="21"/>
                <w:highlight w:val="none"/>
                <w:lang w:val="en-US" w:eastAsia="zh-CN"/>
              </w:rPr>
              <w:t>5</w:t>
            </w:r>
            <w:r>
              <w:rPr>
                <w:rFonts w:hint="eastAsia" w:ascii="宋体" w:hAnsi="宋体"/>
                <w:b/>
                <w:bCs/>
                <w:szCs w:val="21"/>
                <w:highlight w:val="none"/>
              </w:rPr>
              <w:t>.业绩时间以</w:t>
            </w:r>
            <w:r>
              <w:rPr>
                <w:rFonts w:hint="eastAsia" w:ascii="宋体" w:hAnsi="宋体"/>
                <w:b/>
                <w:bCs/>
                <w:szCs w:val="21"/>
                <w:highlight w:val="none"/>
                <w:lang w:eastAsia="zh-CN"/>
              </w:rPr>
              <w:t>审计报告或业主单位出具的证明材料中的</w:t>
            </w:r>
            <w:r>
              <w:rPr>
                <w:rFonts w:hint="eastAsia" w:ascii="宋体" w:hAnsi="宋体"/>
                <w:b/>
                <w:bCs/>
                <w:szCs w:val="21"/>
                <w:highlight w:val="none"/>
              </w:rPr>
              <w:t>时间为准</w:t>
            </w:r>
            <w:r>
              <w:rPr>
                <w:rFonts w:hint="eastAsia" w:ascii="宋体" w:hAnsi="宋体"/>
                <w:b/>
                <w:bCs/>
                <w:szCs w:val="21"/>
                <w:highlight w:val="none"/>
                <w:lang w:eastAsia="zh-CN"/>
              </w:rPr>
              <w:t>，若审计报告或业主单位出具的证明材料中无法鉴别项目完成时间的，该业绩不予认可。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993" w:type="dxa"/>
            <w:gridSpan w:val="2"/>
            <w:vMerge w:val="continue"/>
            <w:vAlign w:val="center"/>
          </w:tcPr>
          <w:p>
            <w:pPr>
              <w:keepNext w:val="0"/>
              <w:keepLines w:val="0"/>
              <w:suppressLineNumbers w:val="0"/>
              <w:spacing w:before="0" w:beforeAutospacing="0" w:after="0" w:afterAutospacing="0"/>
              <w:ind w:left="0" w:right="0"/>
              <w:jc w:val="center"/>
              <w:rPr>
                <w:rFonts w:hint="eastAsia" w:ascii="宋体" w:hAnsi="宋体" w:cs="宋体"/>
                <w:sz w:val="24"/>
                <w:highlight w:val="none"/>
              </w:rPr>
            </w:pPr>
          </w:p>
        </w:tc>
        <w:tc>
          <w:tcPr>
            <w:tcW w:w="992" w:type="dxa"/>
            <w:tcBorders>
              <w:top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r>
              <w:rPr>
                <w:rFonts w:hint="eastAsia" w:ascii="宋体" w:hAnsi="宋体" w:cs="宋体"/>
                <w:sz w:val="24"/>
                <w:highlight w:val="none"/>
              </w:rPr>
              <w:t>服务响应承诺</w:t>
            </w:r>
          </w:p>
        </w:tc>
        <w:tc>
          <w:tcPr>
            <w:tcW w:w="993" w:type="dxa"/>
            <w:tcBorders>
              <w:top w:val="single" w:color="auto" w:sz="4" w:space="0"/>
            </w:tcBorders>
            <w:vAlign w:val="center"/>
          </w:tcPr>
          <w:p>
            <w:pPr>
              <w:keepNext w:val="0"/>
              <w:keepLines w:val="0"/>
              <w:suppressLineNumbers w:val="0"/>
              <w:spacing w:before="0" w:beforeAutospacing="0" w:after="0" w:afterAutospacing="0"/>
              <w:ind w:left="244" w:right="0"/>
              <w:rPr>
                <w:rFonts w:hint="eastAsia" w:ascii="宋体" w:hAnsi="宋体" w:cs="宋体"/>
                <w:sz w:val="24"/>
                <w:highlight w:val="none"/>
              </w:rPr>
            </w:pPr>
            <w:r>
              <w:rPr>
                <w:rFonts w:hint="eastAsia" w:ascii="宋体" w:hAnsi="宋体" w:cs="宋体"/>
                <w:sz w:val="24"/>
                <w:highlight w:val="none"/>
              </w:rPr>
              <w:t>2分</w:t>
            </w:r>
          </w:p>
        </w:tc>
        <w:tc>
          <w:tcPr>
            <w:tcW w:w="6662" w:type="dxa"/>
            <w:gridSpan w:val="3"/>
            <w:tcBorders>
              <w:top w:val="single" w:color="auto" w:sz="4" w:space="0"/>
              <w:bottom w:val="single" w:color="auto" w:sz="4" w:space="0"/>
            </w:tcBorders>
            <w:vAlign w:val="center"/>
          </w:tcPr>
          <w:p>
            <w:pPr>
              <w:keepNext w:val="0"/>
              <w:keepLines w:val="0"/>
              <w:suppressLineNumbers w:val="0"/>
              <w:spacing w:before="22" w:beforeAutospacing="0" w:after="0" w:afterAutospacing="0"/>
              <w:ind w:left="0" w:right="0"/>
              <w:rPr>
                <w:rFonts w:hint="eastAsia" w:ascii="宋体" w:hAnsi="宋体" w:cs="宋体"/>
                <w:sz w:val="24"/>
                <w:highlight w:val="none"/>
              </w:rPr>
            </w:pPr>
            <w:r>
              <w:rPr>
                <w:rFonts w:hint="eastAsia" w:ascii="宋体" w:hAnsi="宋体" w:cs="宋体"/>
                <w:sz w:val="24"/>
                <w:highlight w:val="none"/>
              </w:rPr>
              <w:t>投标人承诺在接到委托人通知后1小时以内到达委托人单位的，得2分。</w:t>
            </w:r>
            <w:r>
              <w:rPr>
                <w:rFonts w:hint="eastAsia" w:ascii="宋体" w:hAnsi="宋体" w:cs="宋体"/>
                <w:b/>
                <w:szCs w:val="21"/>
                <w:highlight w:val="none"/>
              </w:rPr>
              <w:t>注：提供承诺书并加盖投标人单位章。（承诺书格式自拟，未提供不得分）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993" w:type="dxa"/>
            <w:gridSpan w:val="2"/>
            <w:vMerge w:val="continue"/>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992" w:type="dxa"/>
            <w:tcBorders>
              <w:top w:val="single" w:color="auto" w:sz="4" w:space="0"/>
            </w:tcBorders>
            <w:vAlign w:val="center"/>
          </w:tcPr>
          <w:p>
            <w:pPr>
              <w:keepNext w:val="0"/>
              <w:keepLines w:val="0"/>
              <w:suppressLineNumbers w:val="0"/>
              <w:spacing w:before="0" w:beforeAutospacing="0" w:after="0" w:afterAutospacing="0"/>
              <w:ind w:left="4" w:leftChars="2" w:right="0"/>
              <w:jc w:val="center"/>
              <w:rPr>
                <w:rFonts w:hint="eastAsia" w:ascii="宋体" w:hAnsi="宋体" w:cs="宋体"/>
                <w:sz w:val="24"/>
                <w:highlight w:val="none"/>
              </w:rPr>
            </w:pPr>
            <w:r>
              <w:rPr>
                <w:rFonts w:hint="eastAsia" w:ascii="宋体" w:hAnsi="宋体" w:cs="宋体"/>
                <w:sz w:val="24"/>
                <w:highlight w:val="none"/>
              </w:rPr>
              <w:t>主营业务收入</w:t>
            </w:r>
          </w:p>
        </w:tc>
        <w:tc>
          <w:tcPr>
            <w:tcW w:w="993" w:type="dxa"/>
            <w:tcBorders>
              <w:top w:val="single" w:color="auto" w:sz="4" w:space="0"/>
            </w:tcBorders>
            <w:vAlign w:val="center"/>
          </w:tcPr>
          <w:p>
            <w:pPr>
              <w:keepNext w:val="0"/>
              <w:keepLines w:val="0"/>
              <w:suppressLineNumbers w:val="0"/>
              <w:spacing w:before="0" w:beforeAutospacing="0" w:after="0" w:afterAutospacing="0"/>
              <w:ind w:left="4" w:leftChars="2" w:right="0"/>
              <w:jc w:val="center"/>
              <w:rPr>
                <w:rFonts w:hint="eastAsia" w:ascii="宋体" w:hAnsi="宋体" w:cs="宋体"/>
                <w:sz w:val="24"/>
                <w:highlight w:val="none"/>
              </w:rPr>
            </w:pPr>
            <w:r>
              <w:rPr>
                <w:rFonts w:hint="eastAsia" w:ascii="宋体" w:hAnsi="宋体" w:cs="宋体"/>
                <w:sz w:val="24"/>
                <w:highlight w:val="none"/>
              </w:rPr>
              <w:t>4分</w:t>
            </w:r>
          </w:p>
        </w:tc>
        <w:tc>
          <w:tcPr>
            <w:tcW w:w="6662" w:type="dxa"/>
            <w:gridSpan w:val="3"/>
            <w:tcBorders>
              <w:top w:val="single" w:color="auto" w:sz="4" w:space="0"/>
              <w:bottom w:val="single" w:color="auto" w:sz="4" w:space="0"/>
            </w:tcBorders>
            <w:vAlign w:val="center"/>
          </w:tcPr>
          <w:p>
            <w:pPr>
              <w:keepNext w:val="0"/>
              <w:keepLines w:val="0"/>
              <w:suppressLineNumbers w:val="0"/>
              <w:spacing w:before="22" w:beforeAutospacing="0" w:after="0" w:afterAutospacing="0"/>
              <w:ind w:left="0" w:right="0"/>
              <w:rPr>
                <w:rFonts w:hint="eastAsia" w:ascii="宋体" w:hAnsi="宋体" w:cs="宋体"/>
                <w:sz w:val="24"/>
                <w:highlight w:val="none"/>
              </w:rPr>
            </w:pPr>
            <w:r>
              <w:rPr>
                <w:rFonts w:hint="eastAsia" w:ascii="宋体" w:hAnsi="宋体" w:cs="宋体"/>
                <w:sz w:val="24"/>
                <w:highlight w:val="none"/>
              </w:rPr>
              <w:t>业务收入2017、2018、2019、2020四年平均业务收入达到1000万得1分，每增加200万加0.5分。本项最高得4分。</w:t>
            </w:r>
          </w:p>
          <w:p>
            <w:pPr>
              <w:pStyle w:val="2"/>
              <w:keepNext w:val="0"/>
              <w:keepLines w:val="0"/>
              <w:suppressLineNumbers w:val="0"/>
              <w:spacing w:before="0" w:beforeAutospacing="0" w:after="0" w:afterAutospacing="0" w:line="240" w:lineRule="auto"/>
              <w:ind w:left="0" w:right="0" w:firstLine="0"/>
              <w:rPr>
                <w:rFonts w:hint="eastAsia" w:ascii="宋体" w:hAnsi="宋体"/>
                <w:b/>
                <w:highlight w:val="none"/>
              </w:rPr>
            </w:pPr>
            <w:r>
              <w:rPr>
                <w:rFonts w:hint="eastAsia" w:ascii="宋体" w:hAnsi="宋体" w:cs="宋体"/>
                <w:b/>
                <w:sz w:val="21"/>
                <w:highlight w:val="none"/>
              </w:rPr>
              <w:t>注：提供经审计的年度财务报告（含资产负债表、利润或利润分配表、现金流量表和财务报表附注）的复印件或扫描件加盖投标人单位章。若投标人成立时间不足4年的，提供自成立以来的年度财务报告，成立时间以营业执照上载明的时间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993" w:type="dxa"/>
            <w:gridSpan w:val="2"/>
            <w:vMerge w:val="continue"/>
            <w:vAlign w:val="center"/>
          </w:tcPr>
          <w:p>
            <w:pPr>
              <w:keepNext w:val="0"/>
              <w:keepLines w:val="0"/>
              <w:suppressLineNumbers w:val="0"/>
              <w:spacing w:before="0" w:beforeAutospacing="0" w:after="0" w:afterAutospacing="0"/>
              <w:ind w:left="0" w:right="0"/>
              <w:jc w:val="center"/>
              <w:rPr>
                <w:rFonts w:hint="eastAsia" w:ascii="宋体" w:hAnsi="宋体" w:cs="宋体"/>
                <w:sz w:val="24"/>
                <w:highlight w:val="none"/>
              </w:rPr>
            </w:pPr>
          </w:p>
        </w:tc>
        <w:tc>
          <w:tcPr>
            <w:tcW w:w="992" w:type="dxa"/>
            <w:tcBorders>
              <w:top w:val="single" w:color="auto" w:sz="4" w:space="0"/>
            </w:tcBorders>
            <w:vAlign w:val="center"/>
          </w:tcPr>
          <w:p>
            <w:pPr>
              <w:keepNext w:val="0"/>
              <w:keepLines w:val="0"/>
              <w:suppressLineNumbers w:val="0"/>
              <w:spacing w:before="0" w:beforeAutospacing="0" w:after="0" w:afterAutospacing="0"/>
              <w:ind w:left="4" w:leftChars="2" w:right="0" w:firstLine="1"/>
              <w:jc w:val="center"/>
              <w:rPr>
                <w:rFonts w:hint="eastAsia" w:ascii="宋体" w:hAnsi="宋体" w:cs="宋体"/>
                <w:sz w:val="24"/>
                <w:highlight w:val="none"/>
              </w:rPr>
            </w:pPr>
            <w:r>
              <w:rPr>
                <w:rFonts w:hint="eastAsia" w:ascii="宋体" w:hAnsi="宋体" w:cs="宋体"/>
                <w:sz w:val="24"/>
                <w:highlight w:val="none"/>
              </w:rPr>
              <w:t>企业成立时间（年）</w:t>
            </w:r>
          </w:p>
        </w:tc>
        <w:tc>
          <w:tcPr>
            <w:tcW w:w="993" w:type="dxa"/>
            <w:tcBorders>
              <w:top w:val="single" w:color="auto" w:sz="4" w:space="0"/>
            </w:tcBorders>
            <w:vAlign w:val="center"/>
          </w:tcPr>
          <w:p>
            <w:pPr>
              <w:keepNext w:val="0"/>
              <w:keepLines w:val="0"/>
              <w:suppressLineNumbers w:val="0"/>
              <w:spacing w:before="0" w:beforeAutospacing="0" w:after="0" w:afterAutospacing="0"/>
              <w:ind w:left="4" w:leftChars="1" w:right="0" w:hanging="2" w:hangingChars="1"/>
              <w:jc w:val="center"/>
              <w:rPr>
                <w:rFonts w:hint="eastAsia" w:ascii="宋体" w:hAnsi="宋体" w:cs="宋体"/>
                <w:sz w:val="24"/>
                <w:highlight w:val="none"/>
              </w:rPr>
            </w:pPr>
            <w:r>
              <w:rPr>
                <w:rFonts w:hint="eastAsia" w:ascii="宋体" w:hAnsi="宋体" w:cs="宋体"/>
                <w:sz w:val="24"/>
                <w:highlight w:val="none"/>
              </w:rPr>
              <w:t>2分</w:t>
            </w:r>
          </w:p>
        </w:tc>
        <w:tc>
          <w:tcPr>
            <w:tcW w:w="6662" w:type="dxa"/>
            <w:gridSpan w:val="3"/>
            <w:tcBorders>
              <w:top w:val="single" w:color="auto" w:sz="4" w:space="0"/>
              <w:bottom w:val="single" w:color="auto" w:sz="4" w:space="0"/>
            </w:tcBorders>
            <w:vAlign w:val="center"/>
          </w:tcPr>
          <w:p>
            <w:pPr>
              <w:keepNext w:val="0"/>
              <w:keepLines w:val="0"/>
              <w:suppressLineNumbers w:val="0"/>
              <w:spacing w:before="22" w:beforeAutospacing="0" w:after="0" w:afterAutospacing="0"/>
              <w:ind w:left="0" w:right="0"/>
              <w:rPr>
                <w:rFonts w:hint="eastAsia" w:ascii="宋体" w:hAnsi="宋体" w:cs="宋体"/>
                <w:sz w:val="24"/>
                <w:highlight w:val="none"/>
              </w:rPr>
            </w:pPr>
            <w:r>
              <w:rPr>
                <w:rFonts w:hint="eastAsia" w:ascii="宋体" w:hAnsi="宋体" w:cs="宋体"/>
                <w:sz w:val="24"/>
                <w:highlight w:val="none"/>
              </w:rPr>
              <w:t>投标人机构实际成立时间在5年（含5年）以内，得1分。超过5年，每增加1年加0.2分。本项最高得2分。</w:t>
            </w:r>
          </w:p>
          <w:p>
            <w:pPr>
              <w:keepNext w:val="0"/>
              <w:keepLines w:val="0"/>
              <w:suppressLineNumbers w:val="0"/>
              <w:spacing w:before="22" w:beforeAutospacing="0" w:after="0" w:afterAutospacing="0"/>
              <w:ind w:left="0" w:right="0"/>
              <w:rPr>
                <w:rFonts w:hint="eastAsia" w:ascii="宋体" w:hAnsi="宋体" w:cs="宋体"/>
                <w:b/>
                <w:sz w:val="24"/>
                <w:highlight w:val="none"/>
              </w:rPr>
            </w:pPr>
            <w:r>
              <w:rPr>
                <w:rFonts w:hint="eastAsia" w:ascii="宋体" w:hAnsi="宋体" w:cs="宋体"/>
                <w:b/>
                <w:highlight w:val="none"/>
              </w:rPr>
              <w:t>注：成立时间以营业执照上载明的时间为准，如有企业名称变更，必须附相关证明材料的复印件或扫描件加盖投标人单位章。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9640" w:type="dxa"/>
            <w:gridSpan w:val="7"/>
            <w:vAlign w:val="center"/>
          </w:tcPr>
          <w:p>
            <w:pPr>
              <w:keepNext w:val="0"/>
              <w:keepLines w:val="0"/>
              <w:suppressLineNumbers w:val="0"/>
              <w:spacing w:before="0" w:beforeAutospacing="0" w:after="0" w:afterAutospacing="0" w:line="360" w:lineRule="auto"/>
              <w:ind w:left="0" w:right="132" w:rightChars="63"/>
              <w:rPr>
                <w:rFonts w:hint="eastAsia" w:ascii="宋体" w:hAnsi="宋体" w:cs="宋体"/>
                <w:b/>
                <w:color w:val="C00000"/>
                <w:sz w:val="24"/>
                <w:highlight w:val="none"/>
              </w:rPr>
            </w:pPr>
            <w:r>
              <w:rPr>
                <w:rFonts w:hint="eastAsia" w:ascii="宋体" w:hAnsi="宋体" w:cs="宋体"/>
                <w:b/>
                <w:color w:val="C00000"/>
                <w:sz w:val="24"/>
                <w:highlight w:val="none"/>
              </w:rPr>
              <w:t>需要补充的其他内容：</w:t>
            </w:r>
          </w:p>
          <w:p>
            <w:pPr>
              <w:keepNext w:val="0"/>
              <w:keepLines w:val="0"/>
              <w:suppressLineNumbers w:val="0"/>
              <w:spacing w:before="0" w:beforeAutospacing="0" w:after="0" w:afterAutospacing="0" w:line="360" w:lineRule="auto"/>
              <w:ind w:left="0" w:right="0"/>
              <w:rPr>
                <w:rFonts w:hint="eastAsia" w:ascii="宋体" w:hAnsi="宋体" w:cs="宋体"/>
                <w:sz w:val="24"/>
                <w:highlight w:val="none"/>
              </w:rPr>
            </w:pPr>
            <w:r>
              <w:rPr>
                <w:rFonts w:hint="eastAsia" w:ascii="宋体" w:hAnsi="宋体" w:cs="宋体"/>
                <w:sz w:val="24"/>
                <w:highlight w:val="none"/>
              </w:rPr>
              <w:t>1.各评分因素（评标价和履约信誉评分项除外）得分</w:t>
            </w:r>
            <w:r>
              <w:rPr>
                <w:rFonts w:hint="eastAsia" w:ascii="宋体" w:hAnsi="宋体" w:cs="宋体"/>
                <w:b/>
                <w:sz w:val="24"/>
                <w:highlight w:val="none"/>
              </w:rPr>
              <w:t>一般不得低于其权重分值的60%</w:t>
            </w:r>
            <w:r>
              <w:rPr>
                <w:rFonts w:hint="eastAsia" w:ascii="宋体" w:hAnsi="宋体" w:cs="宋体"/>
                <w:sz w:val="24"/>
                <w:highlight w:val="none"/>
              </w:rPr>
              <w:t>，且各评分因素得分以评标委员会各成员的打分平均值确定，评标委员会成员总数为7人以上时，该平均值以去掉一个最高分和一个最低分后计算。评标委员会成员对某一项评分因素的评分低于权重分值60%的，应在评标报告中作出说明。</w:t>
            </w:r>
          </w:p>
          <w:p>
            <w:pPr>
              <w:pStyle w:val="2"/>
              <w:keepNext w:val="0"/>
              <w:keepLines w:val="0"/>
              <w:suppressLineNumbers w:val="0"/>
              <w:spacing w:before="0" w:beforeAutospacing="0" w:after="0" w:afterAutospacing="0" w:line="360" w:lineRule="auto"/>
              <w:ind w:left="2" w:right="0" w:hanging="2" w:hangingChars="1"/>
              <w:rPr>
                <w:rFonts w:hint="eastAsia" w:ascii="宋体" w:hAnsi="宋体" w:cs="宋体"/>
                <w:b/>
                <w:highlight w:val="none"/>
              </w:rPr>
            </w:pPr>
            <w:r>
              <w:rPr>
                <w:rFonts w:hint="eastAsia" w:ascii="宋体" w:hAnsi="宋体" w:cs="宋体"/>
                <w:b/>
                <w:highlight w:val="none"/>
              </w:rPr>
              <w:t>2.无效标条件：投标人或投标文件有下列情形之一的，其投标作无效标处理：</w:t>
            </w:r>
          </w:p>
          <w:p>
            <w:pPr>
              <w:pStyle w:val="2"/>
              <w:keepNext w:val="0"/>
              <w:keepLines w:val="0"/>
              <w:suppressLineNumbers w:val="0"/>
              <w:spacing w:before="0" w:beforeAutospacing="0" w:after="0" w:afterAutospacing="0" w:line="276" w:lineRule="auto"/>
              <w:ind w:left="0" w:right="0" w:firstLine="0"/>
              <w:rPr>
                <w:rFonts w:hint="eastAsia" w:ascii="宋体" w:hAnsi="宋体" w:cs="宋体"/>
                <w:b/>
                <w:highlight w:val="none"/>
              </w:rPr>
            </w:pPr>
            <w:r>
              <w:rPr>
                <w:rFonts w:hint="eastAsia" w:ascii="宋体" w:hAnsi="宋体" w:cs="宋体"/>
                <w:b/>
                <w:kern w:val="0"/>
                <w:highlight w:val="none"/>
              </w:rPr>
              <w:t>(1)</w:t>
            </w:r>
            <w:r>
              <w:rPr>
                <w:rFonts w:hint="eastAsia" w:ascii="宋体" w:hAnsi="宋体" w:cs="宋体"/>
                <w:b/>
                <w:highlight w:val="none"/>
              </w:rPr>
              <w:t>第二章“投标人须知正文部分”及“投标人须知前附表”规定的任何一种情形的；</w:t>
            </w:r>
          </w:p>
          <w:p>
            <w:pPr>
              <w:pStyle w:val="2"/>
              <w:keepNext w:val="0"/>
              <w:keepLines w:val="0"/>
              <w:suppressLineNumbers w:val="0"/>
              <w:spacing w:before="0" w:beforeAutospacing="0" w:after="0" w:afterAutospacing="0" w:line="360" w:lineRule="auto"/>
              <w:ind w:left="8" w:right="0" w:firstLine="0"/>
              <w:rPr>
                <w:rFonts w:hint="eastAsia" w:ascii="宋体" w:hAnsi="宋体" w:cs="宋体"/>
                <w:b/>
                <w:highlight w:val="none"/>
              </w:rPr>
            </w:pPr>
            <w:r>
              <w:rPr>
                <w:rFonts w:hint="eastAsia" w:ascii="宋体" w:hAnsi="宋体" w:cs="宋体"/>
                <w:b/>
                <w:kern w:val="0"/>
                <w:highlight w:val="none"/>
              </w:rPr>
              <w:t>(2)</w:t>
            </w:r>
            <w:r>
              <w:rPr>
                <w:rFonts w:hint="eastAsia" w:ascii="宋体" w:hAnsi="宋体" w:cs="宋体"/>
                <w:b/>
                <w:highlight w:val="none"/>
              </w:rPr>
              <w:t>在形式评审与响应性评审和资格评审中，评标委员会认定投标人的投标不符合评标办法前附表中规定的任何一项评审标准的；</w:t>
            </w:r>
          </w:p>
          <w:p>
            <w:pPr>
              <w:pStyle w:val="2"/>
              <w:keepNext w:val="0"/>
              <w:keepLines w:val="0"/>
              <w:suppressLineNumbers w:val="0"/>
              <w:spacing w:before="0" w:beforeAutospacing="0" w:after="0" w:afterAutospacing="0" w:line="360" w:lineRule="auto"/>
              <w:ind w:left="2" w:right="0" w:hanging="2" w:hangingChars="1"/>
              <w:rPr>
                <w:rFonts w:hint="eastAsia" w:ascii="宋体" w:hAnsi="宋体" w:cs="宋体"/>
                <w:b/>
                <w:highlight w:val="none"/>
              </w:rPr>
            </w:pPr>
            <w:r>
              <w:rPr>
                <w:rFonts w:hint="eastAsia" w:ascii="宋体" w:hAnsi="宋体" w:cs="宋体"/>
                <w:b/>
                <w:kern w:val="0"/>
                <w:highlight w:val="none"/>
              </w:rPr>
              <w:t>(3)</w:t>
            </w:r>
            <w:r>
              <w:rPr>
                <w:rFonts w:hint="eastAsia" w:ascii="宋体" w:hAnsi="宋体" w:cs="宋体"/>
                <w:b/>
                <w:highlight w:val="none"/>
              </w:rPr>
              <w:t>不按评标委员会要求澄清、说明或补正的；</w:t>
            </w:r>
          </w:p>
          <w:p>
            <w:pPr>
              <w:pStyle w:val="2"/>
              <w:keepNext w:val="0"/>
              <w:keepLines w:val="0"/>
              <w:suppressLineNumbers w:val="0"/>
              <w:spacing w:before="0" w:beforeAutospacing="0" w:after="0" w:afterAutospacing="0" w:line="360" w:lineRule="auto"/>
              <w:ind w:left="2" w:right="0" w:hanging="2" w:hangingChars="1"/>
              <w:rPr>
                <w:rFonts w:hint="eastAsia" w:ascii="宋体" w:hAnsi="宋体" w:cs="宋体"/>
                <w:b/>
                <w:highlight w:val="none"/>
              </w:rPr>
            </w:pPr>
            <w:r>
              <w:rPr>
                <w:rFonts w:hint="eastAsia" w:ascii="宋体" w:hAnsi="宋体" w:cs="宋体"/>
                <w:b/>
                <w:kern w:val="0"/>
                <w:highlight w:val="none"/>
              </w:rPr>
              <w:t>(4)</w:t>
            </w:r>
            <w:r>
              <w:rPr>
                <w:rFonts w:hint="eastAsia" w:ascii="宋体" w:hAnsi="宋体" w:cs="宋体"/>
                <w:b/>
                <w:highlight w:val="none"/>
              </w:rPr>
              <w:t>不接受评标委员会按招标文件要求对投标报价进行修正的；</w:t>
            </w:r>
          </w:p>
          <w:p>
            <w:pPr>
              <w:pStyle w:val="2"/>
              <w:keepNext w:val="0"/>
              <w:keepLines w:val="0"/>
              <w:suppressLineNumbers w:val="0"/>
              <w:spacing w:before="0" w:beforeAutospacing="0" w:after="0" w:afterAutospacing="0" w:line="360" w:lineRule="auto"/>
              <w:ind w:left="2" w:right="0" w:hanging="2" w:hangingChars="1"/>
              <w:rPr>
                <w:rFonts w:hint="eastAsia" w:ascii="宋体" w:hAnsi="宋体" w:cs="宋体"/>
                <w:b/>
                <w:highlight w:val="none"/>
              </w:rPr>
            </w:pPr>
            <w:r>
              <w:rPr>
                <w:rFonts w:hint="eastAsia" w:ascii="宋体" w:hAnsi="宋体" w:cs="宋体"/>
                <w:b/>
                <w:kern w:val="0"/>
                <w:highlight w:val="none"/>
              </w:rPr>
              <w:t>(5)</w:t>
            </w:r>
            <w:r>
              <w:rPr>
                <w:rFonts w:hint="eastAsia" w:ascii="宋体" w:hAnsi="宋体" w:cs="宋体"/>
                <w:b/>
                <w:highlight w:val="none"/>
              </w:rPr>
              <w:t>投标人的最终投标报价超过招标人设置的投标控制限价的；</w:t>
            </w:r>
          </w:p>
          <w:p>
            <w:pPr>
              <w:pStyle w:val="2"/>
              <w:keepNext w:val="0"/>
              <w:keepLines w:val="0"/>
              <w:suppressLineNumbers w:val="0"/>
              <w:spacing w:before="0" w:beforeAutospacing="0" w:after="0" w:afterAutospacing="0" w:line="360" w:lineRule="auto"/>
              <w:ind w:left="2" w:right="0" w:hanging="2" w:hangingChars="1"/>
              <w:rPr>
                <w:rFonts w:hint="eastAsia" w:ascii="宋体" w:hAnsi="宋体" w:cs="宋体"/>
                <w:b/>
                <w:highlight w:val="none"/>
              </w:rPr>
            </w:pPr>
            <w:r>
              <w:rPr>
                <w:rFonts w:hint="eastAsia" w:ascii="宋体" w:hAnsi="宋体" w:cs="宋体"/>
                <w:b/>
                <w:kern w:val="0"/>
                <w:highlight w:val="none"/>
              </w:rPr>
              <w:t>(6)</w:t>
            </w:r>
            <w:r>
              <w:rPr>
                <w:rFonts w:hint="eastAsia" w:ascii="宋体" w:hAnsi="宋体" w:cs="宋体"/>
                <w:b/>
                <w:highlight w:val="none"/>
              </w:rPr>
              <w:t>评标委员会认定投标人以低于成本报价竞标的；</w:t>
            </w:r>
          </w:p>
          <w:p>
            <w:pPr>
              <w:pStyle w:val="2"/>
              <w:keepNext w:val="0"/>
              <w:keepLines w:val="0"/>
              <w:suppressLineNumbers w:val="0"/>
              <w:spacing w:before="0" w:beforeAutospacing="0" w:after="0" w:afterAutospacing="0" w:line="360" w:lineRule="auto"/>
              <w:ind w:left="2" w:right="0" w:hanging="2" w:hangingChars="1"/>
              <w:rPr>
                <w:rFonts w:hint="eastAsia" w:ascii="宋体" w:hAnsi="宋体" w:cs="宋体"/>
                <w:b/>
                <w:highlight w:val="none"/>
              </w:rPr>
            </w:pPr>
            <w:r>
              <w:rPr>
                <w:rFonts w:hint="eastAsia" w:ascii="宋体" w:hAnsi="宋体" w:cs="宋体"/>
                <w:b/>
                <w:kern w:val="0"/>
                <w:highlight w:val="none"/>
              </w:rPr>
              <w:t>(7)</w:t>
            </w:r>
            <w:r>
              <w:rPr>
                <w:rFonts w:hint="eastAsia" w:ascii="宋体" w:hAnsi="宋体" w:cs="宋体"/>
                <w:b/>
                <w:highlight w:val="none"/>
              </w:rPr>
              <w:t>投标文件对本招标文件需承诺内容未作出承诺的；</w:t>
            </w:r>
          </w:p>
          <w:p>
            <w:pPr>
              <w:pStyle w:val="2"/>
              <w:keepNext w:val="0"/>
              <w:keepLines w:val="0"/>
              <w:suppressLineNumbers w:val="0"/>
              <w:spacing w:before="0" w:beforeAutospacing="0" w:after="0" w:afterAutospacing="0" w:line="360" w:lineRule="auto"/>
              <w:ind w:left="8" w:right="0" w:firstLine="0"/>
              <w:rPr>
                <w:rFonts w:hint="eastAsia" w:ascii="宋体" w:hAnsi="宋体" w:cs="宋体"/>
                <w:b/>
                <w:highlight w:val="none"/>
              </w:rPr>
            </w:pPr>
            <w:r>
              <w:rPr>
                <w:rFonts w:hint="eastAsia" w:ascii="宋体" w:hAnsi="宋体" w:cs="宋体"/>
                <w:b/>
                <w:kern w:val="0"/>
                <w:highlight w:val="none"/>
              </w:rPr>
              <w:t>(8)</w:t>
            </w:r>
            <w:r>
              <w:rPr>
                <w:rFonts w:hint="eastAsia" w:ascii="宋体" w:hAnsi="宋体" w:cs="宋体"/>
                <w:b/>
                <w:highlight w:val="none"/>
              </w:rPr>
              <w:t>评标委员会根据评标办法正文3.3.1条规定认定投标人存在串通投标、弄虚作假、行贿等违法行为的；</w:t>
            </w:r>
          </w:p>
          <w:p>
            <w:pPr>
              <w:pStyle w:val="2"/>
              <w:keepNext w:val="0"/>
              <w:keepLines w:val="0"/>
              <w:suppressLineNumbers w:val="0"/>
              <w:spacing w:before="0" w:beforeAutospacing="0" w:after="0" w:afterAutospacing="0" w:line="360" w:lineRule="auto"/>
              <w:ind w:left="8" w:right="0" w:firstLine="0"/>
              <w:rPr>
                <w:rFonts w:hint="default" w:ascii="宋体" w:hAnsi="宋体" w:cs="宋体"/>
                <w:b/>
                <w:highlight w:val="none"/>
              </w:rPr>
            </w:pPr>
            <w:r>
              <w:rPr>
                <w:rFonts w:hint="eastAsia" w:ascii="宋体" w:hAnsi="宋体" w:cs="宋体"/>
                <w:b/>
                <w:highlight w:val="none"/>
              </w:rPr>
              <w:t>(9)投标人为所投标段的</w:t>
            </w:r>
            <w:r>
              <w:rPr>
                <w:rFonts w:hint="eastAsia" w:ascii="宋体" w:hAnsi="宋体" w:cs="宋体"/>
                <w:b/>
                <w:highlight w:val="none"/>
                <w:lang w:val="en-US" w:eastAsia="zh-CN"/>
              </w:rPr>
              <w:t>回避</w:t>
            </w:r>
            <w:r>
              <w:rPr>
                <w:rFonts w:hint="eastAsia" w:ascii="宋体" w:hAnsi="宋体" w:cs="宋体"/>
                <w:b/>
                <w:highlight w:val="none"/>
              </w:rPr>
              <w:t>单位，仍对本标段竣工决算造价审计项目投标的（已承接本次招标项目各标段被审查单位审计业务单位的情况见附件一）。</w:t>
            </w:r>
          </w:p>
          <w:p>
            <w:pPr>
              <w:pStyle w:val="2"/>
              <w:keepNext w:val="0"/>
              <w:keepLines w:val="0"/>
              <w:suppressLineNumbers w:val="0"/>
              <w:spacing w:before="0" w:beforeAutospacing="0" w:after="0" w:afterAutospacing="0" w:line="360" w:lineRule="auto"/>
              <w:ind w:left="8" w:right="0" w:firstLine="0"/>
              <w:rPr>
                <w:rFonts w:hint="eastAsia" w:ascii="宋体" w:hAnsi="宋体" w:cs="宋体"/>
                <w:highlight w:val="none"/>
              </w:rPr>
            </w:pPr>
            <w:r>
              <w:rPr>
                <w:rFonts w:hint="eastAsia" w:ascii="宋体" w:hAnsi="宋体" w:cs="宋体"/>
                <w:highlight w:val="none"/>
              </w:rPr>
              <w:t>3.在评标过程中，如有效投标不足3个，评标委员会应当对有效投标是否仍具有竞争性进行评审。评标委员会一致认为有效投标仍具有竞争性的，应当继续推荐中标候选人，并在评标报告中予以说明。评标委员会对有效投标是否仍具有竞争性无法达成一致意见的，应当否决全部投标。</w:t>
            </w:r>
          </w:p>
          <w:p>
            <w:pPr>
              <w:pStyle w:val="2"/>
              <w:keepNext w:val="0"/>
              <w:keepLines w:val="0"/>
              <w:suppressLineNumbers w:val="0"/>
              <w:spacing w:before="0" w:beforeAutospacing="0" w:after="0" w:afterAutospacing="0" w:line="360" w:lineRule="auto"/>
              <w:ind w:left="8" w:right="0" w:firstLine="0"/>
              <w:rPr>
                <w:rFonts w:hint="eastAsia" w:ascii="宋体" w:hAnsi="宋体" w:cs="宋体"/>
                <w:highlight w:val="none"/>
              </w:rPr>
            </w:pPr>
            <w:r>
              <w:rPr>
                <w:rFonts w:hint="eastAsia" w:ascii="宋体" w:hAnsi="宋体" w:cs="宋体"/>
                <w:highlight w:val="none"/>
              </w:rPr>
              <w:t>4.废标条件：有效投标不足3个，且评标委员会对有效投标是否仍具有竞争性无法达成一致意见，否决全部投标的。</w:t>
            </w:r>
          </w:p>
          <w:p>
            <w:pPr>
              <w:pStyle w:val="2"/>
              <w:keepNext w:val="0"/>
              <w:keepLines w:val="0"/>
              <w:suppressLineNumbers w:val="0"/>
              <w:spacing w:before="0" w:beforeAutospacing="0" w:after="0" w:afterAutospacing="0" w:line="360" w:lineRule="auto"/>
              <w:ind w:left="2" w:right="0" w:hanging="2" w:hangingChars="1"/>
              <w:rPr>
                <w:rFonts w:hint="eastAsia" w:ascii="宋体" w:hAnsi="宋体" w:cs="宋体"/>
                <w:highlight w:val="none"/>
              </w:rPr>
            </w:pPr>
            <w:r>
              <w:rPr>
                <w:rFonts w:hint="eastAsia" w:ascii="宋体" w:hAnsi="宋体" w:cs="宋体"/>
                <w:highlight w:val="none"/>
              </w:rPr>
              <w:t>5.</w:t>
            </w:r>
            <w:r>
              <w:rPr>
                <w:rFonts w:hint="eastAsia" w:cs="宋体"/>
                <w:b/>
                <w:bCs/>
                <w:highlight w:val="none"/>
              </w:rPr>
              <w:t>当投标人在所投的标段</w:t>
            </w:r>
            <w:r>
              <w:rPr>
                <w:rFonts w:hint="eastAsia" w:cs="宋体"/>
                <w:b/>
                <w:bCs/>
                <w:highlight w:val="none"/>
                <w:lang w:eastAsia="zh-CN"/>
              </w:rPr>
              <w:t>中均</w:t>
            </w:r>
            <w:r>
              <w:rPr>
                <w:rFonts w:hint="eastAsia" w:cs="宋体"/>
                <w:b/>
                <w:bCs/>
                <w:highlight w:val="none"/>
              </w:rPr>
              <w:t>排名第一时，评标委员会将按照标段顺序优先推荐其为投标人所投的标段中标段号靠前的项目的第一中标候选人，同时放弃其余标段中标候选人资格，由其排名后</w:t>
            </w:r>
            <w:r>
              <w:rPr>
                <w:rFonts w:hint="eastAsia" w:cs="宋体"/>
                <w:b/>
                <w:bCs/>
                <w:highlight w:val="none"/>
                <w:lang w:eastAsia="zh-CN"/>
              </w:rPr>
              <w:t>面的</w:t>
            </w:r>
            <w:r>
              <w:rPr>
                <w:rFonts w:hint="eastAsia" w:cs="宋体"/>
                <w:b/>
                <w:bCs/>
                <w:highlight w:val="none"/>
              </w:rPr>
              <w:t>投标人依序替补，如若A单位投标了JGJS1、JGJS2、JGJS3标段，同时在这三个标段中位列第一中标候选人，则A单位推荐为JGJS1标段第一中标候选人，同时放弃JGJS2、JGJS3标段中标候选人资格。其他情况照此类推。</w:t>
            </w:r>
            <w:r>
              <w:rPr>
                <w:rFonts w:hint="eastAsia" w:ascii="宋体" w:hAnsi="宋体" w:eastAsia="宋体" w:cs="宋体"/>
                <w:b/>
                <w:bCs/>
                <w:sz w:val="24"/>
                <w:szCs w:val="24"/>
                <w:highlight w:val="none"/>
                <w:lang w:eastAsia="zh-CN"/>
              </w:rPr>
              <w:t>同时，</w:t>
            </w:r>
            <w:r>
              <w:rPr>
                <w:rFonts w:hint="default" w:ascii="宋体" w:hAnsi="宋体" w:eastAsia="宋体" w:cs="宋体"/>
                <w:b/>
                <w:bCs/>
                <w:sz w:val="24"/>
                <w:szCs w:val="24"/>
                <w:highlight w:val="none"/>
              </w:rPr>
              <w:t>已经在某一</w:t>
            </w:r>
            <w:r>
              <w:rPr>
                <w:rFonts w:hint="eastAsia" w:ascii="宋体" w:hAnsi="宋体" w:eastAsia="宋体" w:cs="宋体"/>
                <w:b/>
                <w:bCs/>
                <w:sz w:val="24"/>
                <w:szCs w:val="24"/>
                <w:highlight w:val="none"/>
                <w:lang w:eastAsia="zh-CN"/>
              </w:rPr>
              <w:t>标段</w:t>
            </w:r>
            <w:r>
              <w:rPr>
                <w:rFonts w:hint="default" w:ascii="宋体" w:hAnsi="宋体" w:eastAsia="宋体" w:cs="宋体"/>
                <w:b/>
                <w:bCs/>
                <w:sz w:val="24"/>
                <w:szCs w:val="24"/>
                <w:highlight w:val="none"/>
              </w:rPr>
              <w:t>被推荐为第一中标候选人的投标人，不再作为其他</w:t>
            </w:r>
            <w:r>
              <w:rPr>
                <w:rFonts w:hint="eastAsia" w:ascii="宋体" w:hAnsi="宋体" w:eastAsia="宋体" w:cs="宋体"/>
                <w:b/>
                <w:bCs/>
                <w:sz w:val="24"/>
                <w:szCs w:val="24"/>
                <w:highlight w:val="none"/>
                <w:lang w:eastAsia="zh-CN"/>
              </w:rPr>
              <w:t>标段</w:t>
            </w:r>
            <w:r>
              <w:rPr>
                <w:rFonts w:hint="default" w:ascii="宋体" w:hAnsi="宋体" w:eastAsia="宋体" w:cs="宋体"/>
                <w:b/>
                <w:bCs/>
                <w:sz w:val="24"/>
                <w:szCs w:val="24"/>
                <w:highlight w:val="none"/>
              </w:rPr>
              <w:t>的中标候选人推荐，由排名其后的投标人递补，依次类推。</w:t>
            </w:r>
          </w:p>
        </w:tc>
      </w:tr>
    </w:tbl>
    <w:p>
      <w:pPr>
        <w:spacing w:before="1"/>
        <w:rPr>
          <w:rFonts w:hint="eastAsia" w:ascii="宋体" w:hAnsi="宋体" w:cs="宋体"/>
          <w:sz w:val="20"/>
          <w:szCs w:val="20"/>
          <w:highlight w:val="none"/>
        </w:rPr>
      </w:pPr>
    </w:p>
    <w:p>
      <w:pPr>
        <w:adjustRightInd w:val="0"/>
        <w:snapToGrid w:val="0"/>
        <w:spacing w:line="360" w:lineRule="auto"/>
        <w:rPr>
          <w:rFonts w:hint="eastAsia" w:ascii="宋体" w:hAnsi="宋体" w:cs="宋体"/>
          <w:b/>
          <w:bCs/>
          <w:highlight w:val="none"/>
        </w:rPr>
      </w:pPr>
      <w:r>
        <w:rPr>
          <w:rFonts w:hint="eastAsia" w:ascii="宋体" w:hAnsi="宋体" w:cs="宋体"/>
          <w:b/>
          <w:sz w:val="24"/>
          <w:highlight w:val="none"/>
        </w:rPr>
        <w:br w:type="page"/>
      </w:r>
      <w:r>
        <w:rPr>
          <w:rFonts w:hint="eastAsia" w:ascii="宋体" w:hAnsi="宋体" w:cs="宋体"/>
          <w:b/>
          <w:sz w:val="24"/>
          <w:highlight w:val="none"/>
        </w:rPr>
        <w:t>附件一：已承接内审业务</w:t>
      </w:r>
      <w:r>
        <w:rPr>
          <w:rFonts w:hint="eastAsia" w:ascii="宋体" w:hAnsi="宋体" w:cs="宋体"/>
          <w:b/>
          <w:sz w:val="24"/>
          <w:highlight w:val="none"/>
          <w:lang w:eastAsia="zh-CN"/>
        </w:rPr>
        <w:t>（</w:t>
      </w:r>
      <w:r>
        <w:rPr>
          <w:rFonts w:hint="eastAsia" w:ascii="宋体" w:hAnsi="宋体" w:cs="宋体"/>
          <w:b/>
          <w:sz w:val="24"/>
          <w:highlight w:val="none"/>
        </w:rPr>
        <w:t>相关</w:t>
      </w:r>
      <w:r>
        <w:rPr>
          <w:rFonts w:hint="eastAsia" w:ascii="宋体" w:hAnsi="宋体" w:cs="宋体"/>
          <w:b/>
          <w:sz w:val="24"/>
          <w:highlight w:val="none"/>
          <w:lang w:eastAsia="zh-CN"/>
        </w:rPr>
        <w:t>）</w:t>
      </w:r>
      <w:r>
        <w:rPr>
          <w:rFonts w:hint="eastAsia" w:ascii="宋体" w:hAnsi="宋体" w:cs="宋体"/>
          <w:b/>
          <w:sz w:val="24"/>
          <w:highlight w:val="none"/>
        </w:rPr>
        <w:t>单位</w:t>
      </w:r>
    </w:p>
    <w:p>
      <w:pPr>
        <w:pStyle w:val="2"/>
        <w:spacing w:line="360" w:lineRule="atLeast"/>
        <w:ind w:left="0" w:firstLine="422" w:firstLineChars="200"/>
        <w:rPr>
          <w:rFonts w:hint="eastAsia" w:ascii="宋体" w:hAnsi="宋体" w:cs="宋体"/>
          <w:b/>
          <w:bCs/>
          <w:sz w:val="21"/>
          <w:highlight w:val="none"/>
        </w:rPr>
      </w:pPr>
    </w:p>
    <w:tbl>
      <w:tblPr>
        <w:tblStyle w:val="8"/>
        <w:tblW w:w="904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17"/>
        <w:gridCol w:w="3750"/>
        <w:gridCol w:w="438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0" w:hRule="atLeast"/>
          <w:jc w:val="center"/>
        </w:trPr>
        <w:tc>
          <w:tcPr>
            <w:tcW w:w="917" w:type="dxa"/>
            <w:vAlign w:val="center"/>
          </w:tcPr>
          <w:p>
            <w:pPr>
              <w:keepNext w:val="0"/>
              <w:keepLines w:val="0"/>
              <w:suppressLineNumbers w:val="0"/>
              <w:spacing w:before="0" w:beforeAutospacing="0" w:after="0" w:afterAutospacing="0" w:line="360" w:lineRule="exact"/>
              <w:ind w:left="-107" w:leftChars="-51" w:right="-132" w:rightChars="-63"/>
              <w:jc w:val="center"/>
              <w:rPr>
                <w:rFonts w:hint="eastAsia" w:ascii="宋体" w:hAnsi="宋体"/>
                <w:b/>
                <w:color w:val="000000"/>
                <w:sz w:val="24"/>
                <w:highlight w:val="none"/>
              </w:rPr>
            </w:pPr>
            <w:r>
              <w:rPr>
                <w:rFonts w:hint="eastAsia" w:ascii="宋体" w:hAnsi="宋体"/>
                <w:b/>
                <w:color w:val="000000"/>
                <w:sz w:val="24"/>
                <w:highlight w:val="none"/>
              </w:rPr>
              <w:t>标段号</w:t>
            </w:r>
          </w:p>
        </w:tc>
        <w:tc>
          <w:tcPr>
            <w:tcW w:w="3750" w:type="dxa"/>
            <w:vAlign w:val="center"/>
          </w:tcPr>
          <w:p>
            <w:pPr>
              <w:keepNext w:val="0"/>
              <w:keepLines w:val="0"/>
              <w:suppressLineNumbers w:val="0"/>
              <w:spacing w:before="0" w:beforeAutospacing="0" w:after="0" w:afterAutospacing="0" w:line="360" w:lineRule="exact"/>
              <w:ind w:left="-107" w:leftChars="-51" w:right="-132" w:rightChars="-63"/>
              <w:jc w:val="center"/>
              <w:rPr>
                <w:rFonts w:hint="eastAsia" w:ascii="宋体" w:hAnsi="宋体"/>
                <w:b/>
                <w:color w:val="000000"/>
                <w:sz w:val="24"/>
                <w:highlight w:val="none"/>
              </w:rPr>
            </w:pPr>
            <w:r>
              <w:rPr>
                <w:rFonts w:hint="eastAsia" w:ascii="宋体" w:hAnsi="宋体"/>
                <w:b/>
                <w:color w:val="000000"/>
                <w:sz w:val="24"/>
                <w:highlight w:val="none"/>
              </w:rPr>
              <w:t>审计工程项目</w:t>
            </w:r>
          </w:p>
        </w:tc>
        <w:tc>
          <w:tcPr>
            <w:tcW w:w="4381" w:type="dxa"/>
            <w:vAlign w:val="center"/>
          </w:tcPr>
          <w:p>
            <w:pPr>
              <w:keepNext w:val="0"/>
              <w:keepLines w:val="0"/>
              <w:suppressLineNumbers w:val="0"/>
              <w:spacing w:before="0" w:beforeAutospacing="0" w:after="0" w:afterAutospacing="0" w:line="360" w:lineRule="exact"/>
              <w:ind w:left="-107" w:leftChars="-51" w:right="-132" w:rightChars="-63"/>
              <w:jc w:val="center"/>
              <w:rPr>
                <w:rFonts w:hint="eastAsia" w:ascii="宋体" w:hAnsi="宋体"/>
                <w:b/>
                <w:color w:val="000000"/>
                <w:sz w:val="24"/>
                <w:highlight w:val="none"/>
              </w:rPr>
            </w:pPr>
            <w:r>
              <w:rPr>
                <w:rFonts w:hint="eastAsia" w:ascii="宋体" w:hAnsi="宋体"/>
                <w:b/>
                <w:color w:val="000000"/>
                <w:sz w:val="24"/>
                <w:highlight w:val="none"/>
              </w:rPr>
              <w:t>已承接内审业务</w:t>
            </w:r>
            <w:r>
              <w:rPr>
                <w:rFonts w:hint="eastAsia" w:ascii="宋体" w:hAnsi="宋体"/>
                <w:b/>
                <w:color w:val="000000"/>
                <w:sz w:val="24"/>
                <w:highlight w:val="none"/>
                <w:lang w:eastAsia="zh-CN"/>
              </w:rPr>
              <w:t>（</w:t>
            </w:r>
            <w:r>
              <w:rPr>
                <w:rFonts w:hint="eastAsia" w:ascii="宋体" w:hAnsi="宋体"/>
                <w:b/>
                <w:color w:val="000000"/>
                <w:sz w:val="24"/>
                <w:highlight w:val="none"/>
              </w:rPr>
              <w:t>相关</w:t>
            </w:r>
            <w:r>
              <w:rPr>
                <w:rFonts w:hint="eastAsia" w:ascii="宋体" w:hAnsi="宋体"/>
                <w:b/>
                <w:color w:val="000000"/>
                <w:sz w:val="24"/>
                <w:highlight w:val="none"/>
                <w:lang w:eastAsia="zh-CN"/>
              </w:rPr>
              <w:t>）</w:t>
            </w:r>
            <w:r>
              <w:rPr>
                <w:rFonts w:hint="eastAsia" w:ascii="宋体" w:hAnsi="宋体"/>
                <w:b/>
                <w:color w:val="000000"/>
                <w:sz w:val="24"/>
                <w:highlight w:val="none"/>
              </w:rPr>
              <w:t>单位</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0" w:hRule="atLeast"/>
          <w:jc w:val="center"/>
        </w:trPr>
        <w:tc>
          <w:tcPr>
            <w:tcW w:w="917" w:type="dxa"/>
            <w:vAlign w:val="center"/>
          </w:tcPr>
          <w:p>
            <w:pPr>
              <w:keepNext w:val="0"/>
              <w:keepLines w:val="0"/>
              <w:suppressLineNumbers w:val="0"/>
              <w:spacing w:before="0" w:beforeAutospacing="0" w:after="0" w:afterAutospacing="0" w:line="360" w:lineRule="exact"/>
              <w:ind w:left="-107" w:leftChars="-51" w:right="-132" w:rightChars="-63"/>
              <w:jc w:val="center"/>
              <w:rPr>
                <w:rFonts w:hint="eastAsia" w:ascii="宋体" w:hAnsi="宋体"/>
                <w:b/>
                <w:color w:val="000000"/>
                <w:sz w:val="24"/>
                <w:highlight w:val="none"/>
              </w:rPr>
            </w:pPr>
            <w:r>
              <w:rPr>
                <w:rFonts w:hint="eastAsia" w:ascii="宋体" w:hAnsi="宋体"/>
                <w:b/>
                <w:color w:val="000000"/>
                <w:sz w:val="24"/>
                <w:highlight w:val="none"/>
              </w:rPr>
              <w:t>JGJS1</w:t>
            </w:r>
          </w:p>
        </w:tc>
        <w:tc>
          <w:tcPr>
            <w:tcW w:w="3750" w:type="dxa"/>
            <w:vAlign w:val="center"/>
          </w:tcPr>
          <w:p>
            <w:pPr>
              <w:keepNext w:val="0"/>
              <w:keepLines w:val="0"/>
              <w:suppressLineNumbers w:val="0"/>
              <w:spacing w:before="0" w:beforeAutospacing="0" w:after="0" w:afterAutospacing="0" w:line="360" w:lineRule="exact"/>
              <w:ind w:left="-107" w:leftChars="-51" w:right="-132" w:rightChars="-63"/>
              <w:jc w:val="center"/>
              <w:rPr>
                <w:rFonts w:hint="eastAsia" w:ascii="宋体" w:hAnsi="宋体"/>
                <w:b/>
                <w:color w:val="000000"/>
                <w:sz w:val="24"/>
                <w:highlight w:val="none"/>
              </w:rPr>
            </w:pPr>
            <w:r>
              <w:rPr>
                <w:rFonts w:hint="eastAsia" w:ascii="宋体" w:hAnsi="宋体"/>
                <w:b/>
                <w:color w:val="000000"/>
                <w:sz w:val="24"/>
                <w:highlight w:val="none"/>
              </w:rPr>
              <w:t>三都至荔波高速公路</w:t>
            </w:r>
          </w:p>
        </w:tc>
        <w:tc>
          <w:tcPr>
            <w:tcW w:w="4381" w:type="dxa"/>
            <w:vAlign w:val="center"/>
          </w:tcPr>
          <w:p>
            <w:pPr>
              <w:keepNext w:val="0"/>
              <w:keepLines w:val="0"/>
              <w:suppressLineNumbers w:val="0"/>
              <w:spacing w:before="0" w:beforeAutospacing="0" w:after="0" w:afterAutospacing="0" w:line="360" w:lineRule="exact"/>
              <w:ind w:left="-107" w:leftChars="-51" w:right="-132" w:rightChars="-63"/>
              <w:jc w:val="center"/>
              <w:rPr>
                <w:rFonts w:hint="eastAsia" w:ascii="宋体" w:hAnsi="宋体"/>
                <w:b/>
                <w:color w:val="000000"/>
                <w:sz w:val="24"/>
                <w:highlight w:val="none"/>
              </w:rPr>
            </w:pPr>
            <w:r>
              <w:rPr>
                <w:rFonts w:hint="eastAsia" w:ascii="宋体" w:hAnsi="宋体"/>
                <w:b/>
                <w:color w:val="000000"/>
                <w:sz w:val="24"/>
                <w:highlight w:val="none"/>
              </w:rPr>
              <w:t>大成工程咨询有限公司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0" w:hRule="atLeast"/>
          <w:jc w:val="center"/>
        </w:trPr>
        <w:tc>
          <w:tcPr>
            <w:tcW w:w="917" w:type="dxa"/>
            <w:vAlign w:val="center"/>
          </w:tcPr>
          <w:p>
            <w:pPr>
              <w:keepNext w:val="0"/>
              <w:keepLines w:val="0"/>
              <w:suppressLineNumbers w:val="0"/>
              <w:spacing w:before="0" w:beforeAutospacing="0" w:after="0" w:afterAutospacing="0" w:line="360" w:lineRule="exact"/>
              <w:ind w:left="-107" w:leftChars="-51" w:right="-132" w:rightChars="-63"/>
              <w:jc w:val="center"/>
              <w:rPr>
                <w:rFonts w:hint="eastAsia" w:ascii="宋体" w:hAnsi="宋体"/>
                <w:b/>
                <w:color w:val="000000"/>
                <w:sz w:val="24"/>
                <w:highlight w:val="none"/>
              </w:rPr>
            </w:pPr>
            <w:r>
              <w:rPr>
                <w:rFonts w:hint="eastAsia" w:ascii="宋体" w:hAnsi="宋体"/>
                <w:b/>
                <w:color w:val="000000"/>
                <w:sz w:val="24"/>
                <w:highlight w:val="none"/>
              </w:rPr>
              <w:t>JGJS2</w:t>
            </w:r>
          </w:p>
        </w:tc>
        <w:tc>
          <w:tcPr>
            <w:tcW w:w="3750" w:type="dxa"/>
            <w:vAlign w:val="center"/>
          </w:tcPr>
          <w:p>
            <w:pPr>
              <w:keepNext w:val="0"/>
              <w:keepLines w:val="0"/>
              <w:suppressLineNumbers w:val="0"/>
              <w:spacing w:before="0" w:beforeAutospacing="0" w:after="0" w:afterAutospacing="0" w:line="360" w:lineRule="exact"/>
              <w:ind w:left="-107" w:leftChars="-51" w:right="-132" w:rightChars="-63"/>
              <w:jc w:val="center"/>
              <w:rPr>
                <w:rFonts w:hint="eastAsia" w:ascii="宋体" w:hAnsi="宋体"/>
                <w:b/>
                <w:color w:val="000000"/>
                <w:sz w:val="24"/>
                <w:highlight w:val="none"/>
              </w:rPr>
            </w:pPr>
            <w:r>
              <w:rPr>
                <w:rFonts w:hint="eastAsia" w:ascii="宋体" w:hAnsi="宋体"/>
                <w:b/>
                <w:color w:val="000000"/>
                <w:sz w:val="24"/>
                <w:highlight w:val="none"/>
              </w:rPr>
              <w:t>三穗至施秉高速公路</w:t>
            </w:r>
          </w:p>
        </w:tc>
        <w:tc>
          <w:tcPr>
            <w:tcW w:w="4381" w:type="dxa"/>
            <w:vAlign w:val="center"/>
          </w:tcPr>
          <w:p>
            <w:pPr>
              <w:keepNext w:val="0"/>
              <w:keepLines w:val="0"/>
              <w:suppressLineNumbers w:val="0"/>
              <w:spacing w:before="0" w:beforeAutospacing="0" w:after="0" w:afterAutospacing="0" w:line="360" w:lineRule="exact"/>
              <w:ind w:left="-107" w:leftChars="-51" w:right="-132" w:rightChars="-63"/>
              <w:jc w:val="center"/>
              <w:rPr>
                <w:rFonts w:hint="eastAsia" w:ascii="宋体" w:hAnsi="宋体"/>
                <w:b/>
                <w:color w:val="000000"/>
                <w:sz w:val="24"/>
                <w:highlight w:val="none"/>
              </w:rPr>
            </w:pPr>
            <w:r>
              <w:rPr>
                <w:rFonts w:hint="eastAsia" w:ascii="宋体" w:hAnsi="宋体"/>
                <w:b/>
                <w:color w:val="000000"/>
                <w:sz w:val="24"/>
                <w:highlight w:val="none"/>
              </w:rPr>
              <w:t>湖南天翔工程项目管理有限公司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0" w:hRule="atLeast"/>
          <w:jc w:val="center"/>
        </w:trPr>
        <w:tc>
          <w:tcPr>
            <w:tcW w:w="917" w:type="dxa"/>
            <w:vAlign w:val="center"/>
          </w:tcPr>
          <w:p>
            <w:pPr>
              <w:keepNext w:val="0"/>
              <w:keepLines w:val="0"/>
              <w:suppressLineNumbers w:val="0"/>
              <w:spacing w:before="0" w:beforeAutospacing="0" w:after="0" w:afterAutospacing="0" w:line="360" w:lineRule="exact"/>
              <w:ind w:left="-107" w:leftChars="-51" w:right="-132" w:rightChars="-63"/>
              <w:jc w:val="center"/>
              <w:rPr>
                <w:rFonts w:hint="eastAsia" w:ascii="宋体" w:hAnsi="宋体"/>
                <w:b/>
                <w:color w:val="000000"/>
                <w:sz w:val="24"/>
                <w:highlight w:val="none"/>
              </w:rPr>
            </w:pPr>
            <w:r>
              <w:rPr>
                <w:rFonts w:hint="eastAsia" w:ascii="宋体" w:hAnsi="宋体"/>
                <w:b/>
                <w:color w:val="000000"/>
                <w:sz w:val="24"/>
                <w:highlight w:val="none"/>
              </w:rPr>
              <w:t>JGJS3</w:t>
            </w:r>
          </w:p>
        </w:tc>
        <w:tc>
          <w:tcPr>
            <w:tcW w:w="3750" w:type="dxa"/>
            <w:vAlign w:val="center"/>
          </w:tcPr>
          <w:p>
            <w:pPr>
              <w:keepNext w:val="0"/>
              <w:keepLines w:val="0"/>
              <w:suppressLineNumbers w:val="0"/>
              <w:spacing w:before="0" w:beforeAutospacing="0" w:after="0" w:afterAutospacing="0" w:line="360" w:lineRule="exact"/>
              <w:ind w:left="-107" w:leftChars="-51" w:right="-132" w:rightChars="-63"/>
              <w:jc w:val="center"/>
              <w:rPr>
                <w:rFonts w:hint="eastAsia" w:ascii="宋体" w:hAnsi="宋体"/>
                <w:b/>
                <w:color w:val="000000"/>
                <w:sz w:val="24"/>
                <w:highlight w:val="none"/>
              </w:rPr>
            </w:pPr>
            <w:r>
              <w:rPr>
                <w:rFonts w:hint="eastAsia" w:ascii="宋体" w:hAnsi="宋体"/>
                <w:b/>
                <w:color w:val="000000"/>
                <w:sz w:val="24"/>
                <w:highlight w:val="none"/>
              </w:rPr>
              <w:t>三都至独山高速公路</w:t>
            </w:r>
          </w:p>
        </w:tc>
        <w:tc>
          <w:tcPr>
            <w:tcW w:w="4381" w:type="dxa"/>
            <w:vAlign w:val="center"/>
          </w:tcPr>
          <w:p>
            <w:pPr>
              <w:keepNext w:val="0"/>
              <w:keepLines w:val="0"/>
              <w:suppressLineNumbers w:val="0"/>
              <w:spacing w:before="0" w:beforeAutospacing="0" w:after="0" w:afterAutospacing="0" w:line="360" w:lineRule="exact"/>
              <w:ind w:left="-107" w:leftChars="-51" w:right="-132" w:rightChars="-63"/>
              <w:jc w:val="center"/>
              <w:rPr>
                <w:rFonts w:hint="eastAsia" w:ascii="宋体" w:hAnsi="宋体" w:eastAsia="宋体"/>
                <w:b/>
                <w:color w:val="000000"/>
                <w:sz w:val="24"/>
                <w:highlight w:val="none"/>
                <w:lang w:val="en-US" w:eastAsia="zh-CN"/>
              </w:rPr>
            </w:pPr>
            <w:r>
              <w:rPr>
                <w:rFonts w:hint="eastAsia" w:ascii="宋体" w:hAnsi="宋体"/>
                <w:b/>
                <w:color w:val="000000"/>
                <w:sz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0" w:hRule="atLeast"/>
          <w:jc w:val="center"/>
        </w:trPr>
        <w:tc>
          <w:tcPr>
            <w:tcW w:w="917" w:type="dxa"/>
            <w:vAlign w:val="center"/>
          </w:tcPr>
          <w:p>
            <w:pPr>
              <w:keepNext w:val="0"/>
              <w:keepLines w:val="0"/>
              <w:suppressLineNumbers w:val="0"/>
              <w:spacing w:before="0" w:beforeAutospacing="0" w:after="0" w:afterAutospacing="0" w:line="360" w:lineRule="exact"/>
              <w:ind w:left="-107" w:leftChars="-51" w:right="-132" w:rightChars="-63"/>
              <w:jc w:val="center"/>
              <w:rPr>
                <w:rFonts w:hint="eastAsia" w:ascii="宋体" w:hAnsi="宋体"/>
                <w:b/>
                <w:color w:val="000000"/>
                <w:sz w:val="24"/>
                <w:highlight w:val="none"/>
              </w:rPr>
            </w:pPr>
            <w:r>
              <w:rPr>
                <w:rFonts w:hint="eastAsia" w:ascii="宋体" w:hAnsi="宋体"/>
                <w:b/>
                <w:color w:val="000000"/>
                <w:sz w:val="24"/>
                <w:highlight w:val="none"/>
              </w:rPr>
              <w:t>JGJS4</w:t>
            </w:r>
          </w:p>
        </w:tc>
        <w:tc>
          <w:tcPr>
            <w:tcW w:w="3750" w:type="dxa"/>
            <w:vAlign w:val="center"/>
          </w:tcPr>
          <w:p>
            <w:pPr>
              <w:keepNext w:val="0"/>
              <w:keepLines w:val="0"/>
              <w:suppressLineNumbers w:val="0"/>
              <w:spacing w:before="0" w:beforeAutospacing="0" w:after="0" w:afterAutospacing="0" w:line="360" w:lineRule="exact"/>
              <w:ind w:left="-107" w:leftChars="-51" w:right="-132" w:rightChars="-63"/>
              <w:jc w:val="center"/>
              <w:rPr>
                <w:rFonts w:hint="eastAsia" w:ascii="宋体" w:hAnsi="宋体"/>
                <w:b/>
                <w:color w:val="000000"/>
                <w:sz w:val="24"/>
                <w:highlight w:val="none"/>
              </w:rPr>
            </w:pPr>
            <w:r>
              <w:rPr>
                <w:rFonts w:hint="eastAsia" w:ascii="宋体" w:hAnsi="宋体"/>
                <w:b/>
                <w:color w:val="000000"/>
                <w:sz w:val="24"/>
                <w:highlight w:val="none"/>
              </w:rPr>
              <w:t>紫云至望谟高速公路</w:t>
            </w:r>
          </w:p>
        </w:tc>
        <w:tc>
          <w:tcPr>
            <w:tcW w:w="4381" w:type="dxa"/>
            <w:vAlign w:val="center"/>
          </w:tcPr>
          <w:p>
            <w:pPr>
              <w:keepNext w:val="0"/>
              <w:keepLines w:val="0"/>
              <w:suppressLineNumbers w:val="0"/>
              <w:spacing w:before="0" w:beforeAutospacing="0" w:after="0" w:afterAutospacing="0" w:line="360" w:lineRule="exact"/>
              <w:ind w:left="-107" w:leftChars="-51" w:right="-132" w:rightChars="-63"/>
              <w:jc w:val="center"/>
              <w:rPr>
                <w:rFonts w:hint="eastAsia" w:ascii="宋体" w:hAnsi="宋体"/>
                <w:b/>
                <w:color w:val="000000"/>
                <w:sz w:val="24"/>
                <w:highlight w:val="none"/>
              </w:rPr>
            </w:pPr>
            <w:r>
              <w:rPr>
                <w:rFonts w:hint="eastAsia" w:ascii="宋体" w:hAnsi="宋体"/>
                <w:b/>
                <w:color w:val="000000"/>
                <w:sz w:val="24"/>
                <w:highlight w:val="none"/>
              </w:rPr>
              <w:t>青矩工程顾问有限公司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0" w:hRule="atLeast"/>
          <w:jc w:val="center"/>
        </w:trPr>
        <w:tc>
          <w:tcPr>
            <w:tcW w:w="917" w:type="dxa"/>
            <w:vAlign w:val="center"/>
          </w:tcPr>
          <w:p>
            <w:pPr>
              <w:keepNext w:val="0"/>
              <w:keepLines w:val="0"/>
              <w:suppressLineNumbers w:val="0"/>
              <w:spacing w:before="0" w:beforeAutospacing="0" w:after="0" w:afterAutospacing="0" w:line="360" w:lineRule="exact"/>
              <w:ind w:left="-107" w:leftChars="-51" w:right="-132" w:rightChars="-63"/>
              <w:jc w:val="center"/>
              <w:rPr>
                <w:rFonts w:hint="eastAsia" w:ascii="宋体" w:hAnsi="宋体"/>
                <w:b/>
                <w:color w:val="000000"/>
                <w:sz w:val="24"/>
                <w:highlight w:val="none"/>
              </w:rPr>
            </w:pPr>
            <w:r>
              <w:rPr>
                <w:rFonts w:hint="eastAsia" w:ascii="宋体" w:hAnsi="宋体"/>
                <w:b/>
                <w:color w:val="000000"/>
                <w:sz w:val="24"/>
                <w:highlight w:val="none"/>
              </w:rPr>
              <w:t>JGJS5</w:t>
            </w:r>
          </w:p>
        </w:tc>
        <w:tc>
          <w:tcPr>
            <w:tcW w:w="3750" w:type="dxa"/>
            <w:vAlign w:val="center"/>
          </w:tcPr>
          <w:p>
            <w:pPr>
              <w:keepNext w:val="0"/>
              <w:keepLines w:val="0"/>
              <w:suppressLineNumbers w:val="0"/>
              <w:spacing w:before="0" w:beforeAutospacing="0" w:after="0" w:afterAutospacing="0" w:line="360" w:lineRule="exact"/>
              <w:ind w:left="-107" w:leftChars="-51" w:right="-132" w:rightChars="-63"/>
              <w:jc w:val="center"/>
              <w:rPr>
                <w:rFonts w:hint="eastAsia" w:ascii="宋体" w:hAnsi="宋体"/>
                <w:b/>
                <w:color w:val="000000"/>
                <w:sz w:val="24"/>
                <w:highlight w:val="none"/>
              </w:rPr>
            </w:pPr>
            <w:r>
              <w:rPr>
                <w:rFonts w:hint="eastAsia" w:ascii="宋体" w:hAnsi="宋体"/>
                <w:b/>
                <w:color w:val="000000"/>
                <w:sz w:val="24"/>
                <w:highlight w:val="none"/>
              </w:rPr>
              <w:t>黎平至靖州高速公路</w:t>
            </w:r>
          </w:p>
        </w:tc>
        <w:tc>
          <w:tcPr>
            <w:tcW w:w="4381" w:type="dxa"/>
            <w:vAlign w:val="center"/>
          </w:tcPr>
          <w:p>
            <w:pPr>
              <w:keepNext w:val="0"/>
              <w:keepLines w:val="0"/>
              <w:suppressLineNumbers w:val="0"/>
              <w:spacing w:before="0" w:beforeAutospacing="0" w:after="0" w:afterAutospacing="0" w:line="360" w:lineRule="exact"/>
              <w:ind w:left="-107" w:leftChars="-51" w:right="-132" w:rightChars="-63"/>
              <w:jc w:val="center"/>
              <w:rPr>
                <w:rFonts w:hint="eastAsia" w:ascii="宋体" w:hAnsi="宋体"/>
                <w:b/>
                <w:color w:val="000000"/>
                <w:sz w:val="24"/>
                <w:highlight w:val="none"/>
              </w:rPr>
            </w:pPr>
            <w:r>
              <w:rPr>
                <w:rFonts w:hint="eastAsia" w:ascii="宋体" w:hAnsi="宋体"/>
                <w:b/>
                <w:color w:val="000000"/>
                <w:sz w:val="24"/>
                <w:highlight w:val="none"/>
                <w:lang w:val="en-US" w:eastAsia="zh-CN"/>
              </w:rPr>
              <w:t>鹏业云通建设咨询有限公司</w:t>
            </w:r>
          </w:p>
        </w:tc>
      </w:tr>
    </w:tbl>
    <w:p>
      <w:pPr>
        <w:pStyle w:val="2"/>
        <w:rPr>
          <w:rFonts w:hint="eastAsia"/>
          <w:highlight w:val="none"/>
        </w:rPr>
        <w:sectPr>
          <w:pgSz w:w="11907" w:h="16840"/>
          <w:pgMar w:top="1531" w:right="1418" w:bottom="1361" w:left="1418" w:header="720" w:footer="720" w:gutter="0"/>
          <w:cols w:space="720" w:num="1"/>
          <w:docGrid w:linePitch="285" w:charSpace="0"/>
        </w:sectPr>
      </w:pPr>
    </w:p>
    <w:p>
      <w:pPr>
        <w:spacing w:line="360" w:lineRule="auto"/>
        <w:ind w:firstLine="482" w:firstLineChars="200"/>
        <w:contextualSpacing/>
        <w:rPr>
          <w:rFonts w:hint="eastAsia" w:ascii="宋体" w:hAnsi="宋体" w:cs="宋体"/>
          <w:b/>
          <w:sz w:val="24"/>
          <w:highlight w:val="none"/>
        </w:rPr>
      </w:pPr>
      <w:r>
        <w:rPr>
          <w:rFonts w:hint="eastAsia" w:ascii="宋体" w:hAnsi="宋体" w:cs="宋体"/>
          <w:b/>
          <w:sz w:val="24"/>
          <w:highlight w:val="none"/>
        </w:rPr>
        <w:t>1.评标方法</w:t>
      </w:r>
    </w:p>
    <w:p>
      <w:pPr>
        <w:spacing w:line="360" w:lineRule="auto"/>
        <w:ind w:firstLine="480" w:firstLineChars="200"/>
        <w:contextualSpacing/>
        <w:rPr>
          <w:rFonts w:hint="eastAsia" w:ascii="宋体" w:hAnsi="宋体" w:cs="宋体"/>
          <w:sz w:val="24"/>
          <w:highlight w:val="none"/>
        </w:rPr>
      </w:pPr>
      <w:r>
        <w:rPr>
          <w:rFonts w:hint="eastAsia" w:ascii="宋体" w:hAnsi="宋体" w:cs="宋体"/>
          <w:sz w:val="24"/>
          <w:highlight w:val="none"/>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评标委员会应按照评标办法前附表规定的优先次序推荐中标候选人或确定中标人。</w:t>
      </w:r>
    </w:p>
    <w:p>
      <w:pPr>
        <w:spacing w:line="360" w:lineRule="auto"/>
        <w:ind w:firstLine="480" w:firstLineChars="200"/>
        <w:contextualSpacing/>
        <w:rPr>
          <w:rFonts w:hint="eastAsia" w:ascii="宋体" w:hAnsi="宋体" w:cs="宋体"/>
          <w:sz w:val="24"/>
          <w:highlight w:val="none"/>
        </w:rPr>
      </w:pPr>
    </w:p>
    <w:p>
      <w:pPr>
        <w:tabs>
          <w:tab w:val="left" w:pos="563"/>
        </w:tabs>
        <w:spacing w:line="360" w:lineRule="auto"/>
        <w:ind w:firstLine="482" w:firstLineChars="200"/>
        <w:contextualSpacing/>
        <w:rPr>
          <w:rFonts w:hint="eastAsia" w:ascii="宋体" w:hAnsi="宋体" w:cs="宋体"/>
          <w:b/>
          <w:sz w:val="24"/>
          <w:highlight w:val="none"/>
        </w:rPr>
      </w:pPr>
      <w:r>
        <w:rPr>
          <w:rFonts w:hint="eastAsia" w:ascii="宋体" w:hAnsi="宋体" w:cs="宋体"/>
          <w:b/>
          <w:sz w:val="24"/>
          <w:highlight w:val="none"/>
        </w:rPr>
        <w:t>2.评审标准</w:t>
      </w:r>
    </w:p>
    <w:p>
      <w:pPr>
        <w:spacing w:line="360" w:lineRule="auto"/>
        <w:ind w:firstLine="482" w:firstLineChars="200"/>
        <w:contextualSpacing/>
        <w:rPr>
          <w:rFonts w:hint="eastAsia" w:ascii="宋体" w:hAnsi="宋体" w:cs="宋体"/>
          <w:b/>
          <w:sz w:val="24"/>
          <w:highlight w:val="none"/>
        </w:rPr>
      </w:pPr>
      <w:r>
        <w:rPr>
          <w:rFonts w:hint="eastAsia" w:ascii="宋体" w:hAnsi="宋体" w:cs="宋体"/>
          <w:b/>
          <w:sz w:val="24"/>
          <w:highlight w:val="none"/>
        </w:rPr>
        <w:t>2.1 初步评审标准</w:t>
      </w:r>
    </w:p>
    <w:p>
      <w:pPr>
        <w:spacing w:line="360" w:lineRule="auto"/>
        <w:ind w:firstLine="480" w:firstLineChars="200"/>
        <w:contextualSpacing/>
        <w:rPr>
          <w:rFonts w:hint="eastAsia" w:ascii="宋体" w:hAnsi="宋体" w:cs="宋体"/>
          <w:sz w:val="24"/>
          <w:highlight w:val="none"/>
        </w:rPr>
      </w:pPr>
      <w:r>
        <w:rPr>
          <w:rFonts w:hint="eastAsia" w:ascii="宋体" w:hAnsi="宋体" w:cs="宋体"/>
          <w:sz w:val="24"/>
          <w:highlight w:val="none"/>
        </w:rPr>
        <w:t>2.1.1形式评审标准：见评标办法前附表。</w:t>
      </w:r>
    </w:p>
    <w:p>
      <w:pPr>
        <w:spacing w:line="360" w:lineRule="auto"/>
        <w:ind w:firstLine="480" w:firstLineChars="200"/>
        <w:contextualSpacing/>
        <w:rPr>
          <w:rFonts w:hint="eastAsia" w:ascii="宋体" w:hAnsi="宋体" w:cs="宋体"/>
          <w:sz w:val="24"/>
          <w:highlight w:val="none"/>
        </w:rPr>
      </w:pPr>
      <w:r>
        <w:rPr>
          <w:rFonts w:hint="eastAsia" w:ascii="宋体" w:hAnsi="宋体" w:cs="宋体"/>
          <w:sz w:val="24"/>
          <w:highlight w:val="none"/>
        </w:rPr>
        <w:t>2.1.2资格评审标准：见评标办法前附表。</w:t>
      </w:r>
    </w:p>
    <w:p>
      <w:pPr>
        <w:spacing w:line="360" w:lineRule="auto"/>
        <w:ind w:firstLine="480" w:firstLineChars="200"/>
        <w:contextualSpacing/>
        <w:rPr>
          <w:rFonts w:hint="eastAsia" w:ascii="宋体" w:hAnsi="宋体" w:cs="宋体"/>
          <w:sz w:val="24"/>
          <w:highlight w:val="none"/>
        </w:rPr>
      </w:pPr>
      <w:r>
        <w:rPr>
          <w:rFonts w:hint="eastAsia" w:ascii="宋体" w:hAnsi="宋体" w:cs="宋体"/>
          <w:sz w:val="24"/>
          <w:highlight w:val="none"/>
        </w:rPr>
        <w:t>2.1.3响应性评审标准：见评标办法前附表。</w:t>
      </w:r>
    </w:p>
    <w:p>
      <w:pPr>
        <w:spacing w:line="360" w:lineRule="auto"/>
        <w:ind w:firstLine="482" w:firstLineChars="200"/>
        <w:contextualSpacing/>
        <w:rPr>
          <w:rFonts w:hint="eastAsia" w:ascii="宋体" w:hAnsi="宋体" w:cs="宋体"/>
          <w:b/>
          <w:sz w:val="24"/>
          <w:highlight w:val="none"/>
        </w:rPr>
      </w:pPr>
      <w:r>
        <w:rPr>
          <w:rFonts w:hint="eastAsia" w:ascii="宋体" w:hAnsi="宋体" w:cs="宋体"/>
          <w:b/>
          <w:sz w:val="24"/>
          <w:highlight w:val="none"/>
        </w:rPr>
        <w:t>2.2 分值构成与评分标准</w:t>
      </w:r>
    </w:p>
    <w:p>
      <w:pPr>
        <w:spacing w:line="360" w:lineRule="auto"/>
        <w:ind w:firstLine="480" w:firstLineChars="200"/>
        <w:contextualSpacing/>
        <w:rPr>
          <w:rFonts w:hint="eastAsia" w:ascii="宋体" w:hAnsi="宋体" w:cs="宋体"/>
          <w:sz w:val="24"/>
          <w:highlight w:val="none"/>
        </w:rPr>
      </w:pPr>
      <w:r>
        <w:rPr>
          <w:rFonts w:hint="eastAsia" w:ascii="宋体" w:hAnsi="宋体" w:cs="宋体"/>
          <w:sz w:val="24"/>
          <w:highlight w:val="none"/>
        </w:rPr>
        <w:t>2.2.1 分值构成</w:t>
      </w:r>
    </w:p>
    <w:p>
      <w:pPr>
        <w:spacing w:line="360" w:lineRule="auto"/>
        <w:ind w:firstLine="480" w:firstLineChars="200"/>
        <w:contextualSpacing/>
        <w:rPr>
          <w:rFonts w:hint="eastAsia" w:ascii="宋体" w:hAnsi="宋体" w:cs="宋体"/>
          <w:sz w:val="24"/>
          <w:highlight w:val="none"/>
        </w:rPr>
      </w:pPr>
      <w:r>
        <w:rPr>
          <w:rFonts w:hint="eastAsia" w:ascii="宋体" w:hAnsi="宋体" w:cs="宋体"/>
          <w:kern w:val="0"/>
          <w:sz w:val="24"/>
          <w:highlight w:val="none"/>
        </w:rPr>
        <w:t>(1)</w:t>
      </w:r>
      <w:r>
        <w:rPr>
          <w:rFonts w:hint="eastAsia" w:ascii="宋体" w:hAnsi="宋体" w:cs="宋体"/>
          <w:sz w:val="24"/>
          <w:highlight w:val="none"/>
        </w:rPr>
        <w:t>投标报价：见评标办法前附表；</w:t>
      </w:r>
    </w:p>
    <w:p>
      <w:pPr>
        <w:spacing w:line="360" w:lineRule="auto"/>
        <w:ind w:firstLine="480" w:firstLineChars="200"/>
        <w:contextualSpacing/>
        <w:rPr>
          <w:rFonts w:hint="eastAsia" w:ascii="宋体" w:hAnsi="宋体" w:cs="宋体"/>
          <w:sz w:val="24"/>
          <w:highlight w:val="none"/>
        </w:rPr>
      </w:pPr>
      <w:r>
        <w:rPr>
          <w:rFonts w:hint="eastAsia" w:ascii="宋体" w:hAnsi="宋体" w:cs="宋体"/>
          <w:kern w:val="0"/>
          <w:sz w:val="24"/>
          <w:highlight w:val="none"/>
        </w:rPr>
        <w:t>(2)</w:t>
      </w:r>
      <w:r>
        <w:rPr>
          <w:rFonts w:hint="eastAsia" w:ascii="宋体" w:hAnsi="宋体" w:cs="宋体"/>
          <w:sz w:val="24"/>
          <w:highlight w:val="none"/>
        </w:rPr>
        <w:t>技术建议书：见评标办法前附表；</w:t>
      </w:r>
    </w:p>
    <w:p>
      <w:pPr>
        <w:spacing w:line="360" w:lineRule="auto"/>
        <w:ind w:firstLine="480" w:firstLineChars="200"/>
        <w:contextualSpacing/>
        <w:rPr>
          <w:rFonts w:hint="eastAsia" w:ascii="宋体" w:hAnsi="宋体" w:cs="宋体"/>
          <w:sz w:val="24"/>
          <w:highlight w:val="none"/>
        </w:rPr>
      </w:pPr>
      <w:r>
        <w:rPr>
          <w:rFonts w:hint="eastAsia" w:ascii="宋体" w:hAnsi="宋体" w:cs="宋体"/>
          <w:kern w:val="0"/>
          <w:sz w:val="24"/>
          <w:highlight w:val="none"/>
        </w:rPr>
        <w:t>(3)</w:t>
      </w:r>
      <w:r>
        <w:rPr>
          <w:rFonts w:hint="eastAsia" w:ascii="宋体" w:hAnsi="宋体" w:cs="宋体"/>
          <w:sz w:val="24"/>
          <w:highlight w:val="none"/>
        </w:rPr>
        <w:t>商务评分：见评标办法前附表；</w:t>
      </w:r>
    </w:p>
    <w:p>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2.2.2 报价得分计算标准：见评标办法前附表；</w:t>
      </w:r>
    </w:p>
    <w:p>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2.2.3 技术建议书计算标准：见评标办法前附表；</w:t>
      </w:r>
    </w:p>
    <w:p>
      <w:pPr>
        <w:spacing w:line="360" w:lineRule="auto"/>
        <w:ind w:firstLine="480" w:firstLineChars="200"/>
        <w:contextualSpacing/>
        <w:rPr>
          <w:rFonts w:hint="eastAsia" w:ascii="宋体" w:hAnsi="宋体" w:cs="宋体"/>
          <w:sz w:val="24"/>
          <w:highlight w:val="none"/>
        </w:rPr>
      </w:pPr>
      <w:r>
        <w:rPr>
          <w:rFonts w:hint="eastAsia" w:ascii="宋体" w:hAnsi="宋体" w:cs="宋体"/>
          <w:sz w:val="24"/>
          <w:highlight w:val="none"/>
        </w:rPr>
        <w:t>2.2.4商务评分计算标准：见评标办法前附表。</w:t>
      </w:r>
    </w:p>
    <w:p>
      <w:pPr>
        <w:spacing w:line="360" w:lineRule="auto"/>
        <w:ind w:firstLine="480" w:firstLineChars="200"/>
        <w:contextualSpacing/>
        <w:rPr>
          <w:rFonts w:hint="eastAsia" w:ascii="宋体" w:hAnsi="宋体" w:cs="宋体"/>
          <w:sz w:val="24"/>
          <w:highlight w:val="none"/>
        </w:rPr>
      </w:pPr>
    </w:p>
    <w:p>
      <w:pPr>
        <w:spacing w:line="360" w:lineRule="auto"/>
        <w:ind w:firstLine="482" w:firstLineChars="200"/>
        <w:contextualSpacing/>
        <w:rPr>
          <w:rFonts w:hint="eastAsia" w:ascii="宋体" w:hAnsi="宋体" w:cs="宋体"/>
          <w:b/>
          <w:sz w:val="24"/>
          <w:highlight w:val="none"/>
        </w:rPr>
      </w:pPr>
      <w:r>
        <w:rPr>
          <w:rFonts w:hint="eastAsia" w:ascii="宋体" w:hAnsi="宋体" w:cs="宋体"/>
          <w:b/>
          <w:sz w:val="24"/>
          <w:highlight w:val="none"/>
        </w:rPr>
        <w:t>3.评标程序</w:t>
      </w:r>
    </w:p>
    <w:p>
      <w:pPr>
        <w:spacing w:line="360" w:lineRule="auto"/>
        <w:ind w:firstLine="482" w:firstLineChars="200"/>
        <w:contextualSpacing/>
        <w:rPr>
          <w:rFonts w:hint="eastAsia" w:ascii="宋体" w:hAnsi="宋体" w:cs="宋体"/>
          <w:b/>
          <w:sz w:val="24"/>
          <w:highlight w:val="none"/>
        </w:rPr>
      </w:pPr>
      <w:r>
        <w:rPr>
          <w:rFonts w:hint="eastAsia" w:ascii="宋体" w:hAnsi="宋体" w:cs="宋体"/>
          <w:b/>
          <w:sz w:val="24"/>
          <w:highlight w:val="none"/>
        </w:rPr>
        <w:t>3.1 初步评审</w:t>
      </w:r>
    </w:p>
    <w:p>
      <w:pPr>
        <w:spacing w:line="360" w:lineRule="auto"/>
        <w:ind w:firstLine="480" w:firstLineChars="200"/>
        <w:contextualSpacing/>
        <w:rPr>
          <w:rFonts w:hint="eastAsia" w:ascii="宋体" w:hAnsi="宋体" w:cs="宋体"/>
          <w:sz w:val="24"/>
          <w:highlight w:val="none"/>
        </w:rPr>
      </w:pPr>
      <w:r>
        <w:rPr>
          <w:rFonts w:hint="eastAsia" w:ascii="宋体" w:hAnsi="宋体" w:cs="宋体"/>
          <w:sz w:val="24"/>
          <w:highlight w:val="none"/>
        </w:rPr>
        <w:t>3.1.1 评标委员会可以要求投标人提交第二章“投标人须知”第3.5.1项至第3.5.5项及评标办法规定的有关证明和证件的原件，以便核验。评标委员会依据本章第2.1款规定的标准对投标文件进行初步评审。有一项不符合评审标准的，评标委员会应否决其投标。</w:t>
      </w:r>
    </w:p>
    <w:p>
      <w:pPr>
        <w:spacing w:line="360" w:lineRule="auto"/>
        <w:ind w:firstLine="480" w:firstLineChars="200"/>
        <w:contextualSpacing/>
        <w:rPr>
          <w:rFonts w:hint="eastAsia" w:ascii="宋体" w:hAnsi="宋体" w:cs="宋体"/>
          <w:sz w:val="24"/>
          <w:highlight w:val="none"/>
        </w:rPr>
      </w:pPr>
    </w:p>
    <w:p>
      <w:pPr>
        <w:spacing w:line="360" w:lineRule="auto"/>
        <w:ind w:firstLine="482" w:firstLineChars="200"/>
        <w:contextualSpacing/>
        <w:rPr>
          <w:rFonts w:hint="eastAsia" w:ascii="宋体" w:hAnsi="宋体" w:cs="宋体"/>
          <w:b/>
          <w:sz w:val="24"/>
          <w:highlight w:val="none"/>
        </w:rPr>
      </w:pPr>
      <w:r>
        <w:rPr>
          <w:rFonts w:hint="eastAsia" w:ascii="宋体" w:hAnsi="宋体" w:cs="宋体"/>
          <w:b/>
          <w:sz w:val="24"/>
          <w:highlight w:val="none"/>
        </w:rPr>
        <w:t>3.2 详细评审</w:t>
      </w:r>
    </w:p>
    <w:p>
      <w:pPr>
        <w:spacing w:line="360" w:lineRule="auto"/>
        <w:ind w:firstLine="480" w:firstLineChars="200"/>
        <w:contextualSpacing/>
        <w:rPr>
          <w:rFonts w:hint="eastAsia" w:ascii="宋体" w:hAnsi="宋体" w:cs="宋体"/>
          <w:sz w:val="24"/>
          <w:highlight w:val="none"/>
        </w:rPr>
      </w:pPr>
      <w:r>
        <w:rPr>
          <w:rFonts w:hint="eastAsia" w:ascii="宋体" w:hAnsi="宋体" w:cs="宋体"/>
          <w:sz w:val="24"/>
          <w:highlight w:val="none"/>
        </w:rPr>
        <w:t>3.2.1 评标委员会按本章第 2.2 款规定的量化因素和分值进行打分，并计算出各投标人的报价、技术和商务得分。</w:t>
      </w:r>
    </w:p>
    <w:p>
      <w:pPr>
        <w:spacing w:line="360" w:lineRule="auto"/>
        <w:ind w:firstLine="480" w:firstLineChars="200"/>
        <w:contextualSpacing/>
        <w:rPr>
          <w:rFonts w:hint="eastAsia" w:ascii="宋体" w:hAnsi="宋体" w:cs="宋体"/>
          <w:sz w:val="24"/>
          <w:highlight w:val="none"/>
        </w:rPr>
      </w:pPr>
      <w:r>
        <w:rPr>
          <w:rFonts w:hint="eastAsia" w:ascii="宋体" w:hAnsi="宋体" w:cs="宋体"/>
          <w:sz w:val="24"/>
          <w:highlight w:val="none"/>
        </w:rPr>
        <w:t>(1) 按本章第 2.2.2项规定的评审因素和分值对报价计算出得分A；</w:t>
      </w:r>
    </w:p>
    <w:p>
      <w:pPr>
        <w:spacing w:line="360" w:lineRule="auto"/>
        <w:ind w:firstLine="480" w:firstLineChars="200"/>
        <w:contextualSpacing/>
        <w:rPr>
          <w:rFonts w:hint="eastAsia" w:ascii="宋体" w:hAnsi="宋体" w:cs="宋体"/>
          <w:sz w:val="24"/>
          <w:highlight w:val="none"/>
        </w:rPr>
      </w:pPr>
      <w:r>
        <w:rPr>
          <w:rFonts w:hint="eastAsia" w:ascii="宋体" w:hAnsi="宋体" w:cs="宋体"/>
          <w:sz w:val="24"/>
          <w:highlight w:val="none"/>
        </w:rPr>
        <w:t>(2) 按本章第 2.2.3 项规定的评审因素和分值对技术建议书计算出得分B；</w:t>
      </w:r>
    </w:p>
    <w:p>
      <w:pPr>
        <w:spacing w:line="360" w:lineRule="auto"/>
        <w:ind w:firstLine="480" w:firstLineChars="200"/>
        <w:contextualSpacing/>
        <w:rPr>
          <w:rFonts w:hint="eastAsia" w:ascii="宋体" w:hAnsi="宋体" w:cs="宋体"/>
          <w:sz w:val="24"/>
          <w:highlight w:val="none"/>
        </w:rPr>
      </w:pPr>
      <w:r>
        <w:rPr>
          <w:rFonts w:hint="eastAsia" w:ascii="宋体" w:hAnsi="宋体" w:cs="宋体"/>
          <w:sz w:val="24"/>
          <w:highlight w:val="none"/>
        </w:rPr>
        <w:t>(3) 按本章第2.2.4规定的评审因素和分值对技术建议书计算出得分C；</w:t>
      </w:r>
    </w:p>
    <w:p>
      <w:pPr>
        <w:spacing w:line="360" w:lineRule="auto"/>
        <w:ind w:firstLine="480" w:firstLineChars="200"/>
        <w:contextualSpacing/>
        <w:rPr>
          <w:rFonts w:hint="eastAsia" w:ascii="宋体" w:hAnsi="宋体" w:cs="宋体"/>
          <w:sz w:val="24"/>
          <w:highlight w:val="none"/>
        </w:rPr>
      </w:pPr>
      <w:r>
        <w:rPr>
          <w:rFonts w:hint="eastAsia" w:ascii="宋体" w:hAnsi="宋体" w:cs="宋体"/>
          <w:sz w:val="24"/>
          <w:highlight w:val="none"/>
        </w:rPr>
        <w:t>3.2.2 投标人的投标报价、技术、商务得分分值计算保留小数点后两位，小数点后第三位“四舍五入”。</w:t>
      </w:r>
    </w:p>
    <w:p>
      <w:pPr>
        <w:spacing w:line="360" w:lineRule="auto"/>
        <w:ind w:firstLine="480" w:firstLineChars="200"/>
        <w:contextualSpacing/>
        <w:rPr>
          <w:rFonts w:hint="eastAsia" w:ascii="宋体" w:hAnsi="宋体" w:cs="宋体"/>
          <w:sz w:val="24"/>
          <w:highlight w:val="none"/>
        </w:rPr>
      </w:pPr>
      <w:r>
        <w:rPr>
          <w:rFonts w:hint="eastAsia" w:ascii="宋体" w:hAnsi="宋体" w:cs="宋体"/>
          <w:sz w:val="24"/>
          <w:highlight w:val="none"/>
        </w:rPr>
        <w:t>3.2.3 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p>
      <w:pPr>
        <w:spacing w:line="360" w:lineRule="auto"/>
        <w:ind w:firstLine="482" w:firstLineChars="200"/>
        <w:contextualSpacing/>
        <w:rPr>
          <w:rFonts w:hint="eastAsia" w:ascii="宋体" w:hAnsi="宋体" w:cs="宋体"/>
          <w:b/>
          <w:sz w:val="24"/>
          <w:highlight w:val="none"/>
        </w:rPr>
      </w:pPr>
      <w:r>
        <w:rPr>
          <w:rFonts w:hint="eastAsia" w:ascii="宋体" w:hAnsi="宋体" w:cs="宋体"/>
          <w:b/>
          <w:sz w:val="24"/>
          <w:highlight w:val="none"/>
        </w:rPr>
        <w:t>3.3 投标文件相关信息的核查</w:t>
      </w:r>
    </w:p>
    <w:p>
      <w:pPr>
        <w:spacing w:line="360" w:lineRule="auto"/>
        <w:ind w:firstLine="480" w:firstLineChars="200"/>
        <w:contextualSpacing/>
        <w:rPr>
          <w:rFonts w:hint="eastAsia" w:ascii="宋体" w:hAnsi="宋体" w:cs="宋体"/>
          <w:sz w:val="24"/>
          <w:highlight w:val="none"/>
        </w:rPr>
      </w:pPr>
      <w:r>
        <w:rPr>
          <w:rFonts w:hint="eastAsia" w:ascii="宋体" w:hAnsi="宋体" w:cs="宋体"/>
          <w:sz w:val="24"/>
          <w:highlight w:val="none"/>
        </w:rPr>
        <w:t>3.3.1评标委员会应对在评标过程中发现的投标人与投标人之间、投标人与招标人之间存在的串通投标的情形进行评审和认定。投标人存在串通投标、弄虚作假、行贿等违法行为的，评标委员会应否决其投标。</w:t>
      </w:r>
    </w:p>
    <w:p>
      <w:pPr>
        <w:spacing w:line="360" w:lineRule="auto"/>
        <w:ind w:firstLine="482" w:firstLineChars="200"/>
        <w:contextualSpacing/>
        <w:rPr>
          <w:rFonts w:hint="eastAsia" w:ascii="宋体" w:hAnsi="宋体" w:cs="宋体"/>
          <w:b/>
          <w:sz w:val="24"/>
          <w:highlight w:val="none"/>
        </w:rPr>
      </w:pPr>
      <w:r>
        <w:rPr>
          <w:rFonts w:hint="eastAsia" w:ascii="宋体" w:hAnsi="宋体" w:cs="宋体"/>
          <w:b/>
          <w:kern w:val="0"/>
          <w:sz w:val="24"/>
          <w:highlight w:val="none"/>
        </w:rPr>
        <w:t>(1)</w:t>
      </w:r>
      <w:r>
        <w:rPr>
          <w:rFonts w:hint="eastAsia" w:ascii="宋体" w:hAnsi="宋体" w:cs="宋体"/>
          <w:b/>
          <w:sz w:val="24"/>
          <w:highlight w:val="none"/>
        </w:rPr>
        <w:t>有下列情形之一的，属于投标人相互串通投标：</w:t>
      </w:r>
    </w:p>
    <w:p>
      <w:pPr>
        <w:spacing w:line="360" w:lineRule="auto"/>
        <w:ind w:firstLine="482" w:firstLineChars="200"/>
        <w:contextualSpacing/>
        <w:rPr>
          <w:rFonts w:hint="eastAsia" w:ascii="宋体" w:hAnsi="宋体" w:cs="宋体"/>
          <w:b/>
          <w:sz w:val="24"/>
          <w:highlight w:val="none"/>
        </w:rPr>
      </w:pPr>
      <w:r>
        <w:rPr>
          <w:rFonts w:hint="eastAsia" w:ascii="宋体" w:hAnsi="宋体" w:cs="宋体"/>
          <w:b/>
          <w:sz w:val="24"/>
          <w:highlight w:val="none"/>
        </w:rPr>
        <w:t>a.投标人之间协商投标报价等投标文件的实质性内容；</w:t>
      </w:r>
    </w:p>
    <w:p>
      <w:pPr>
        <w:spacing w:line="360" w:lineRule="auto"/>
        <w:ind w:firstLine="482" w:firstLineChars="200"/>
        <w:contextualSpacing/>
        <w:rPr>
          <w:rFonts w:hint="eastAsia" w:ascii="宋体" w:hAnsi="宋体" w:cs="宋体"/>
          <w:b/>
          <w:sz w:val="24"/>
          <w:highlight w:val="none"/>
        </w:rPr>
      </w:pPr>
      <w:r>
        <w:rPr>
          <w:rFonts w:hint="eastAsia" w:ascii="宋体" w:hAnsi="宋体" w:cs="宋体"/>
          <w:b/>
          <w:sz w:val="24"/>
          <w:highlight w:val="none"/>
        </w:rPr>
        <w:t>b.投标人之间约定中标人；</w:t>
      </w:r>
    </w:p>
    <w:p>
      <w:pPr>
        <w:spacing w:line="360" w:lineRule="auto"/>
        <w:ind w:firstLine="482" w:firstLineChars="200"/>
        <w:contextualSpacing/>
        <w:rPr>
          <w:rFonts w:hint="eastAsia" w:ascii="宋体" w:hAnsi="宋体" w:cs="宋体"/>
          <w:b/>
          <w:sz w:val="24"/>
          <w:highlight w:val="none"/>
        </w:rPr>
      </w:pPr>
      <w:r>
        <w:rPr>
          <w:rFonts w:hint="eastAsia" w:ascii="宋体" w:hAnsi="宋体" w:cs="宋体"/>
          <w:b/>
          <w:sz w:val="24"/>
          <w:highlight w:val="none"/>
        </w:rPr>
        <w:t xml:space="preserve">c.投标人之间约定部分投标人放弃投标或中标； </w:t>
      </w:r>
    </w:p>
    <w:p>
      <w:pPr>
        <w:spacing w:line="360" w:lineRule="auto"/>
        <w:ind w:firstLine="482" w:firstLineChars="200"/>
        <w:contextualSpacing/>
        <w:rPr>
          <w:rFonts w:hint="eastAsia" w:ascii="宋体" w:hAnsi="宋体" w:cs="宋体"/>
          <w:b/>
          <w:sz w:val="24"/>
          <w:highlight w:val="none"/>
        </w:rPr>
      </w:pPr>
      <w:r>
        <w:rPr>
          <w:rFonts w:hint="eastAsia" w:ascii="宋体" w:hAnsi="宋体" w:cs="宋体"/>
          <w:b/>
          <w:sz w:val="24"/>
          <w:highlight w:val="none"/>
        </w:rPr>
        <w:t xml:space="preserve">d.属于同一集团、协会、商会等组织成员的投标人按照该组织要求协同投标； </w:t>
      </w:r>
    </w:p>
    <w:p>
      <w:pPr>
        <w:spacing w:line="360" w:lineRule="auto"/>
        <w:ind w:firstLine="482" w:firstLineChars="200"/>
        <w:contextualSpacing/>
        <w:rPr>
          <w:rFonts w:hint="eastAsia" w:ascii="宋体" w:hAnsi="宋体" w:cs="宋体"/>
          <w:b/>
          <w:sz w:val="24"/>
          <w:highlight w:val="none"/>
        </w:rPr>
      </w:pPr>
      <w:r>
        <w:rPr>
          <w:rFonts w:hint="eastAsia" w:ascii="宋体" w:hAnsi="宋体" w:cs="宋体"/>
          <w:b/>
          <w:sz w:val="24"/>
          <w:highlight w:val="none"/>
        </w:rPr>
        <w:t>e.投标人之间为谋取中标或排斥特定投标人而 采取的其他联合行动。</w:t>
      </w:r>
    </w:p>
    <w:p>
      <w:pPr>
        <w:spacing w:line="360" w:lineRule="auto"/>
        <w:ind w:firstLine="482" w:firstLineChars="200"/>
        <w:contextualSpacing/>
        <w:rPr>
          <w:rFonts w:hint="eastAsia" w:ascii="宋体" w:hAnsi="宋体" w:cs="宋体"/>
          <w:b/>
          <w:sz w:val="24"/>
          <w:highlight w:val="none"/>
        </w:rPr>
      </w:pPr>
      <w:r>
        <w:rPr>
          <w:rFonts w:hint="eastAsia" w:ascii="宋体" w:hAnsi="宋体" w:cs="宋体"/>
          <w:b/>
          <w:kern w:val="0"/>
          <w:sz w:val="24"/>
          <w:highlight w:val="none"/>
        </w:rPr>
        <w:t>(2)</w:t>
      </w:r>
      <w:r>
        <w:rPr>
          <w:rFonts w:hint="eastAsia" w:ascii="宋体" w:hAnsi="宋体" w:cs="宋体"/>
          <w:b/>
          <w:sz w:val="24"/>
          <w:highlight w:val="none"/>
        </w:rPr>
        <w:t xml:space="preserve">有下列情形之一的，视为投标人相互串通投标： </w:t>
      </w:r>
    </w:p>
    <w:p>
      <w:pPr>
        <w:spacing w:line="360" w:lineRule="auto"/>
        <w:ind w:firstLine="482" w:firstLineChars="200"/>
        <w:contextualSpacing/>
        <w:rPr>
          <w:rFonts w:hint="eastAsia" w:ascii="宋体" w:hAnsi="宋体" w:cs="宋体"/>
          <w:b/>
          <w:sz w:val="24"/>
          <w:highlight w:val="none"/>
        </w:rPr>
      </w:pPr>
      <w:r>
        <w:rPr>
          <w:rFonts w:hint="eastAsia" w:ascii="宋体" w:hAnsi="宋体" w:cs="宋体"/>
          <w:b/>
          <w:sz w:val="24"/>
          <w:highlight w:val="none"/>
        </w:rPr>
        <w:t xml:space="preserve">a.不同投标人的投标文件由同一单位或个人编制； </w:t>
      </w:r>
    </w:p>
    <w:p>
      <w:pPr>
        <w:spacing w:line="360" w:lineRule="auto"/>
        <w:ind w:firstLine="482" w:firstLineChars="200"/>
        <w:contextualSpacing/>
        <w:rPr>
          <w:rFonts w:hint="eastAsia" w:ascii="宋体" w:hAnsi="宋体" w:cs="宋体"/>
          <w:b/>
          <w:sz w:val="24"/>
          <w:highlight w:val="none"/>
        </w:rPr>
      </w:pPr>
      <w:r>
        <w:rPr>
          <w:rFonts w:hint="eastAsia" w:ascii="宋体" w:hAnsi="宋体" w:cs="宋体"/>
          <w:b/>
          <w:sz w:val="24"/>
          <w:highlight w:val="none"/>
        </w:rPr>
        <w:t xml:space="preserve">b.不同投标人委托同一单位或个人办理投标事宜； </w:t>
      </w:r>
    </w:p>
    <w:p>
      <w:pPr>
        <w:spacing w:line="360" w:lineRule="auto"/>
        <w:ind w:firstLine="482" w:firstLineChars="200"/>
        <w:contextualSpacing/>
        <w:rPr>
          <w:rFonts w:hint="eastAsia" w:ascii="宋体" w:hAnsi="宋体" w:cs="宋体"/>
          <w:b/>
          <w:sz w:val="24"/>
          <w:highlight w:val="none"/>
        </w:rPr>
      </w:pPr>
      <w:r>
        <w:rPr>
          <w:rFonts w:hint="eastAsia" w:ascii="宋体" w:hAnsi="宋体" w:cs="宋体"/>
          <w:b/>
          <w:sz w:val="24"/>
          <w:highlight w:val="none"/>
        </w:rPr>
        <w:t>c.不同投标人的投标文件载明的项目管理成员为同一人；</w:t>
      </w:r>
    </w:p>
    <w:p>
      <w:pPr>
        <w:spacing w:line="360" w:lineRule="auto"/>
        <w:ind w:firstLine="482" w:firstLineChars="200"/>
        <w:contextualSpacing/>
        <w:rPr>
          <w:rFonts w:hint="eastAsia" w:ascii="宋体" w:hAnsi="宋体" w:cs="宋体"/>
          <w:b/>
          <w:sz w:val="24"/>
          <w:highlight w:val="none"/>
        </w:rPr>
      </w:pPr>
      <w:r>
        <w:rPr>
          <w:rFonts w:hint="eastAsia" w:ascii="宋体" w:hAnsi="宋体" w:cs="宋体"/>
          <w:b/>
          <w:sz w:val="24"/>
          <w:highlight w:val="none"/>
        </w:rPr>
        <w:t xml:space="preserve">d.不同投标人的投标文件异常一致或投标报价呈规律性差异； </w:t>
      </w:r>
    </w:p>
    <w:p>
      <w:pPr>
        <w:spacing w:line="360" w:lineRule="auto"/>
        <w:ind w:firstLine="482" w:firstLineChars="200"/>
        <w:contextualSpacing/>
        <w:rPr>
          <w:rFonts w:hint="eastAsia" w:ascii="宋体" w:hAnsi="宋体" w:cs="宋体"/>
          <w:b/>
          <w:sz w:val="24"/>
          <w:highlight w:val="none"/>
        </w:rPr>
      </w:pPr>
      <w:r>
        <w:rPr>
          <w:rFonts w:hint="eastAsia" w:ascii="宋体" w:hAnsi="宋体" w:cs="宋体"/>
          <w:b/>
          <w:sz w:val="24"/>
          <w:highlight w:val="none"/>
        </w:rPr>
        <w:t xml:space="preserve">e.不同投标人的投标文件相互混装； </w:t>
      </w:r>
    </w:p>
    <w:p>
      <w:pPr>
        <w:spacing w:line="360" w:lineRule="auto"/>
        <w:ind w:firstLine="482" w:firstLineChars="200"/>
        <w:contextualSpacing/>
        <w:rPr>
          <w:rFonts w:hint="eastAsia" w:ascii="宋体" w:hAnsi="宋体" w:cs="宋体"/>
          <w:b/>
          <w:sz w:val="24"/>
          <w:highlight w:val="none"/>
        </w:rPr>
      </w:pPr>
      <w:r>
        <w:rPr>
          <w:rFonts w:hint="eastAsia" w:ascii="宋体" w:hAnsi="宋体" w:cs="宋体"/>
          <w:b/>
          <w:sz w:val="24"/>
          <w:highlight w:val="none"/>
        </w:rPr>
        <w:t>f.不同投标人的投标保证金从同一单位或个人的账户转出。</w:t>
      </w:r>
    </w:p>
    <w:p>
      <w:pPr>
        <w:spacing w:line="360" w:lineRule="auto"/>
        <w:ind w:firstLine="482" w:firstLineChars="200"/>
        <w:contextualSpacing/>
        <w:rPr>
          <w:rFonts w:hint="eastAsia" w:ascii="宋体" w:hAnsi="宋体" w:cs="宋体"/>
          <w:b/>
          <w:sz w:val="24"/>
          <w:highlight w:val="none"/>
        </w:rPr>
      </w:pPr>
      <w:r>
        <w:rPr>
          <w:rFonts w:hint="eastAsia" w:ascii="宋体" w:hAnsi="宋体" w:cs="宋体"/>
          <w:b/>
          <w:kern w:val="0"/>
          <w:sz w:val="24"/>
          <w:highlight w:val="none"/>
        </w:rPr>
        <w:t>(3)</w:t>
      </w:r>
      <w:r>
        <w:rPr>
          <w:rFonts w:hint="eastAsia" w:ascii="宋体" w:hAnsi="宋体" w:cs="宋体"/>
          <w:b/>
          <w:sz w:val="24"/>
          <w:highlight w:val="none"/>
        </w:rPr>
        <w:t xml:space="preserve">有下列情形之一的，属于招标人与投标人串通投标： </w:t>
      </w:r>
    </w:p>
    <w:p>
      <w:pPr>
        <w:spacing w:line="360" w:lineRule="auto"/>
        <w:ind w:firstLine="482" w:firstLineChars="200"/>
        <w:contextualSpacing/>
        <w:rPr>
          <w:rFonts w:hint="eastAsia" w:ascii="宋体" w:hAnsi="宋体" w:cs="宋体"/>
          <w:b/>
          <w:sz w:val="24"/>
          <w:highlight w:val="none"/>
        </w:rPr>
      </w:pPr>
      <w:r>
        <w:rPr>
          <w:rFonts w:hint="eastAsia" w:ascii="宋体" w:hAnsi="宋体" w:cs="宋体"/>
          <w:b/>
          <w:sz w:val="24"/>
          <w:highlight w:val="none"/>
        </w:rPr>
        <w:t xml:space="preserve">a.招标人在开标前开启投标文件并将有关信息泄露给其他投标人； </w:t>
      </w:r>
    </w:p>
    <w:p>
      <w:pPr>
        <w:spacing w:line="360" w:lineRule="auto"/>
        <w:ind w:firstLine="482" w:firstLineChars="200"/>
        <w:contextualSpacing/>
        <w:rPr>
          <w:rFonts w:hint="eastAsia" w:ascii="宋体" w:hAnsi="宋体" w:cs="宋体"/>
          <w:b/>
          <w:sz w:val="24"/>
          <w:highlight w:val="none"/>
        </w:rPr>
      </w:pPr>
      <w:r>
        <w:rPr>
          <w:rFonts w:hint="eastAsia" w:ascii="宋体" w:hAnsi="宋体" w:cs="宋体"/>
          <w:b/>
          <w:sz w:val="24"/>
          <w:highlight w:val="none"/>
        </w:rPr>
        <w:t xml:space="preserve">b.招标人直接或间接向投标人泄露标底、评标委员会成员等信息； </w:t>
      </w:r>
    </w:p>
    <w:p>
      <w:pPr>
        <w:spacing w:line="360" w:lineRule="auto"/>
        <w:ind w:firstLine="482" w:firstLineChars="200"/>
        <w:contextualSpacing/>
        <w:rPr>
          <w:rFonts w:hint="eastAsia" w:ascii="宋体" w:hAnsi="宋体" w:cs="宋体"/>
          <w:b/>
          <w:sz w:val="24"/>
          <w:highlight w:val="none"/>
        </w:rPr>
      </w:pPr>
      <w:r>
        <w:rPr>
          <w:rFonts w:hint="eastAsia" w:ascii="宋体" w:hAnsi="宋体" w:cs="宋体"/>
          <w:b/>
          <w:sz w:val="24"/>
          <w:highlight w:val="none"/>
        </w:rPr>
        <w:t xml:space="preserve">c.招标人明示或暗示投标人压低或抬高投标报价； </w:t>
      </w:r>
    </w:p>
    <w:p>
      <w:pPr>
        <w:spacing w:line="360" w:lineRule="auto"/>
        <w:ind w:firstLine="482" w:firstLineChars="200"/>
        <w:contextualSpacing/>
        <w:rPr>
          <w:rFonts w:hint="eastAsia" w:ascii="宋体" w:hAnsi="宋体" w:cs="宋体"/>
          <w:b/>
          <w:sz w:val="24"/>
          <w:highlight w:val="none"/>
        </w:rPr>
      </w:pPr>
      <w:r>
        <w:rPr>
          <w:rFonts w:hint="eastAsia" w:ascii="宋体" w:hAnsi="宋体" w:cs="宋体"/>
          <w:b/>
          <w:sz w:val="24"/>
          <w:highlight w:val="none"/>
        </w:rPr>
        <w:t xml:space="preserve">d.招标人授意投标人撤换、修改投标文件； </w:t>
      </w:r>
    </w:p>
    <w:p>
      <w:pPr>
        <w:spacing w:line="360" w:lineRule="auto"/>
        <w:ind w:firstLine="482" w:firstLineChars="200"/>
        <w:contextualSpacing/>
        <w:rPr>
          <w:rFonts w:hint="eastAsia" w:ascii="宋体" w:hAnsi="宋体" w:cs="宋体"/>
          <w:b/>
          <w:sz w:val="24"/>
          <w:highlight w:val="none"/>
        </w:rPr>
      </w:pPr>
      <w:r>
        <w:rPr>
          <w:rFonts w:hint="eastAsia" w:ascii="宋体" w:hAnsi="宋体" w:cs="宋体"/>
          <w:b/>
          <w:sz w:val="24"/>
          <w:highlight w:val="none"/>
        </w:rPr>
        <w:t xml:space="preserve">e.招标人明示或暗示投标人为特定投标人中标提供方便； </w:t>
      </w:r>
    </w:p>
    <w:p>
      <w:pPr>
        <w:spacing w:line="360" w:lineRule="auto"/>
        <w:ind w:firstLine="482" w:firstLineChars="200"/>
        <w:contextualSpacing/>
        <w:rPr>
          <w:rFonts w:hint="eastAsia" w:ascii="宋体" w:hAnsi="宋体" w:cs="宋体"/>
          <w:b/>
          <w:sz w:val="24"/>
          <w:highlight w:val="none"/>
        </w:rPr>
      </w:pPr>
      <w:r>
        <w:rPr>
          <w:rFonts w:hint="eastAsia" w:ascii="宋体" w:hAnsi="宋体" w:cs="宋体"/>
          <w:b/>
          <w:sz w:val="24"/>
          <w:highlight w:val="none"/>
        </w:rPr>
        <w:t>f.招标人与投标人为谋求特定投标人中标而采取的其他串通行为。</w:t>
      </w:r>
    </w:p>
    <w:p>
      <w:pPr>
        <w:spacing w:line="360" w:lineRule="auto"/>
        <w:ind w:firstLine="482" w:firstLineChars="200"/>
        <w:contextualSpacing/>
        <w:rPr>
          <w:rFonts w:hint="eastAsia" w:ascii="宋体" w:hAnsi="宋体" w:cs="宋体"/>
          <w:b/>
          <w:sz w:val="24"/>
          <w:highlight w:val="none"/>
        </w:rPr>
      </w:pPr>
      <w:r>
        <w:rPr>
          <w:rFonts w:hint="eastAsia" w:ascii="宋体" w:hAnsi="宋体" w:cs="宋体"/>
          <w:b/>
          <w:kern w:val="0"/>
          <w:sz w:val="24"/>
          <w:highlight w:val="none"/>
        </w:rPr>
        <w:t>(4)</w:t>
      </w:r>
      <w:r>
        <w:rPr>
          <w:rFonts w:hint="eastAsia" w:ascii="宋体" w:hAnsi="宋体" w:cs="宋体"/>
          <w:b/>
          <w:sz w:val="24"/>
          <w:highlight w:val="none"/>
        </w:rPr>
        <w:t xml:space="preserve">投标人有下列情形之一的，属于弄虚作假的行为： </w:t>
      </w:r>
    </w:p>
    <w:p>
      <w:pPr>
        <w:spacing w:line="360" w:lineRule="auto"/>
        <w:ind w:firstLine="482" w:firstLineChars="200"/>
        <w:contextualSpacing/>
        <w:rPr>
          <w:rFonts w:hint="eastAsia" w:ascii="宋体" w:hAnsi="宋体" w:cs="宋体"/>
          <w:b/>
          <w:sz w:val="24"/>
          <w:highlight w:val="none"/>
        </w:rPr>
      </w:pPr>
      <w:r>
        <w:rPr>
          <w:rFonts w:hint="eastAsia" w:ascii="宋体" w:hAnsi="宋体" w:cs="宋体"/>
          <w:b/>
          <w:sz w:val="24"/>
          <w:highlight w:val="none"/>
        </w:rPr>
        <w:t xml:space="preserve">a.使用通过受让或租借等方式获取的资格 、资质证书投标； </w:t>
      </w:r>
    </w:p>
    <w:p>
      <w:pPr>
        <w:spacing w:line="360" w:lineRule="auto"/>
        <w:ind w:firstLine="482" w:firstLineChars="200"/>
        <w:contextualSpacing/>
        <w:rPr>
          <w:rFonts w:hint="eastAsia" w:ascii="宋体" w:hAnsi="宋体" w:cs="宋体"/>
          <w:b/>
          <w:sz w:val="24"/>
          <w:highlight w:val="none"/>
        </w:rPr>
      </w:pPr>
      <w:r>
        <w:rPr>
          <w:rFonts w:hint="eastAsia" w:ascii="宋体" w:hAnsi="宋体" w:cs="宋体"/>
          <w:b/>
          <w:sz w:val="24"/>
          <w:highlight w:val="none"/>
        </w:rPr>
        <w:t>b.使用伪造、变造的许可证件；</w:t>
      </w:r>
    </w:p>
    <w:p>
      <w:pPr>
        <w:spacing w:line="360" w:lineRule="auto"/>
        <w:ind w:firstLine="482" w:firstLineChars="200"/>
        <w:contextualSpacing/>
        <w:rPr>
          <w:rFonts w:hint="eastAsia" w:ascii="宋体" w:hAnsi="宋体" w:cs="宋体"/>
          <w:b/>
          <w:sz w:val="24"/>
          <w:highlight w:val="none"/>
        </w:rPr>
      </w:pPr>
      <w:r>
        <w:rPr>
          <w:rFonts w:hint="eastAsia" w:ascii="宋体" w:hAnsi="宋体" w:cs="宋体"/>
          <w:b/>
          <w:sz w:val="24"/>
          <w:highlight w:val="none"/>
        </w:rPr>
        <w:t>c.提供虚假的业绩；</w:t>
      </w:r>
    </w:p>
    <w:p>
      <w:pPr>
        <w:spacing w:line="360" w:lineRule="auto"/>
        <w:ind w:firstLine="482" w:firstLineChars="200"/>
        <w:contextualSpacing/>
        <w:rPr>
          <w:rFonts w:hint="eastAsia" w:ascii="宋体" w:hAnsi="宋体" w:cs="宋体"/>
          <w:b/>
          <w:sz w:val="24"/>
          <w:highlight w:val="none"/>
        </w:rPr>
      </w:pPr>
      <w:r>
        <w:rPr>
          <w:rFonts w:hint="eastAsia" w:ascii="宋体" w:hAnsi="宋体" w:cs="宋体"/>
          <w:b/>
          <w:sz w:val="24"/>
          <w:highlight w:val="none"/>
        </w:rPr>
        <w:t>d.提供虚假的项目负责人或主要技术人员简历、劳动关系证明；</w:t>
      </w:r>
    </w:p>
    <w:p>
      <w:pPr>
        <w:spacing w:line="360" w:lineRule="auto"/>
        <w:ind w:firstLine="482" w:firstLineChars="200"/>
        <w:contextualSpacing/>
        <w:rPr>
          <w:rFonts w:hint="eastAsia" w:ascii="宋体" w:hAnsi="宋体" w:cs="宋体"/>
          <w:b/>
          <w:sz w:val="24"/>
          <w:highlight w:val="none"/>
        </w:rPr>
      </w:pPr>
      <w:r>
        <w:rPr>
          <w:rFonts w:hint="eastAsia" w:ascii="宋体" w:hAnsi="宋体" w:cs="宋体"/>
          <w:b/>
          <w:sz w:val="24"/>
          <w:highlight w:val="none"/>
        </w:rPr>
        <w:t>e.提供虚假的信用状况；</w:t>
      </w:r>
    </w:p>
    <w:p>
      <w:pPr>
        <w:spacing w:line="360" w:lineRule="auto"/>
        <w:ind w:firstLine="482" w:firstLineChars="200"/>
        <w:contextualSpacing/>
        <w:rPr>
          <w:rFonts w:hint="eastAsia" w:ascii="宋体" w:hAnsi="宋体" w:cs="宋体"/>
          <w:b/>
          <w:sz w:val="24"/>
          <w:highlight w:val="none"/>
        </w:rPr>
      </w:pPr>
      <w:r>
        <w:rPr>
          <w:rFonts w:hint="eastAsia" w:ascii="宋体" w:hAnsi="宋体" w:cs="宋体"/>
          <w:b/>
          <w:sz w:val="24"/>
          <w:highlight w:val="none"/>
        </w:rPr>
        <w:t>f.其他弄虚作假的行为。</w:t>
      </w:r>
    </w:p>
    <w:p>
      <w:pPr>
        <w:spacing w:line="360" w:lineRule="auto"/>
        <w:ind w:firstLine="482" w:firstLineChars="200"/>
        <w:contextualSpacing/>
        <w:rPr>
          <w:rFonts w:hint="eastAsia" w:ascii="宋体" w:hAnsi="宋体" w:cs="宋体"/>
          <w:b/>
          <w:sz w:val="24"/>
          <w:highlight w:val="none"/>
        </w:rPr>
      </w:pPr>
      <w:r>
        <w:rPr>
          <w:rFonts w:hint="eastAsia" w:ascii="宋体" w:hAnsi="宋体" w:cs="宋体"/>
          <w:b/>
          <w:sz w:val="24"/>
          <w:highlight w:val="none"/>
        </w:rPr>
        <w:t>3.4 投标文件的澄清和说明</w:t>
      </w:r>
    </w:p>
    <w:p>
      <w:pPr>
        <w:spacing w:line="360" w:lineRule="auto"/>
        <w:ind w:firstLine="480" w:firstLineChars="200"/>
        <w:contextualSpacing/>
        <w:rPr>
          <w:rFonts w:hint="eastAsia" w:ascii="宋体" w:hAnsi="宋体" w:cs="宋体"/>
          <w:sz w:val="24"/>
          <w:highlight w:val="none"/>
        </w:rPr>
      </w:pPr>
      <w:r>
        <w:rPr>
          <w:rFonts w:hint="eastAsia" w:ascii="宋体" w:hAnsi="宋体" w:cs="宋体"/>
          <w:sz w:val="24"/>
          <w:highlight w:val="none"/>
        </w:rPr>
        <w:t>3.4.1 在评标过程中，评标委员会可以书面形式要求投标人对投标文件中含义不明确的内容、明显文字或计算错误进行书面澄清或说明。评标委员会不接受投标人主动提出的澄清、说明。</w:t>
      </w:r>
      <w:r>
        <w:rPr>
          <w:rFonts w:hint="eastAsia" w:ascii="宋体" w:hAnsi="宋体" w:cs="宋体"/>
          <w:b/>
          <w:sz w:val="24"/>
          <w:highlight w:val="none"/>
        </w:rPr>
        <w:t>投标人不按评标委员会要求澄清或说明的，评标委员会应否决其投标。</w:t>
      </w:r>
    </w:p>
    <w:p>
      <w:pPr>
        <w:spacing w:line="360" w:lineRule="auto"/>
        <w:ind w:firstLine="480" w:firstLineChars="200"/>
        <w:contextualSpacing/>
        <w:rPr>
          <w:rFonts w:hint="eastAsia" w:ascii="宋体" w:hAnsi="宋体" w:cs="宋体"/>
          <w:sz w:val="24"/>
          <w:highlight w:val="none"/>
        </w:rPr>
      </w:pPr>
      <w:r>
        <w:rPr>
          <w:rFonts w:hint="eastAsia" w:ascii="宋体" w:hAnsi="宋体" w:cs="宋体"/>
          <w:sz w:val="24"/>
          <w:highlight w:val="none"/>
        </w:rPr>
        <w:t>3.4.2 澄清和说明不得超出投标文件的范围或改变投标文件的实质性内容（算术性错误的修正除外）。投标人的书面澄清、说明属于投标文件的组成部分。</w:t>
      </w:r>
    </w:p>
    <w:p>
      <w:pPr>
        <w:spacing w:line="360" w:lineRule="auto"/>
        <w:ind w:firstLine="480" w:firstLineChars="200"/>
        <w:contextualSpacing/>
        <w:rPr>
          <w:rFonts w:hint="eastAsia" w:ascii="宋体" w:hAnsi="宋体" w:cs="宋体"/>
          <w:sz w:val="24"/>
          <w:highlight w:val="none"/>
        </w:rPr>
      </w:pPr>
      <w:r>
        <w:rPr>
          <w:rFonts w:hint="eastAsia" w:ascii="宋体" w:hAnsi="宋体" w:cs="宋体"/>
          <w:sz w:val="24"/>
          <w:highlight w:val="none"/>
        </w:rPr>
        <w:t>3.4.3 评标委员会不得暗示或诱导投标人作出澄清、说明，对投标人提交的澄清、说明有疑问的，可以要求投标人进一步澄清或说明，直至满足评标委员会的要求。</w:t>
      </w:r>
    </w:p>
    <w:p>
      <w:pPr>
        <w:spacing w:line="360" w:lineRule="auto"/>
        <w:ind w:firstLine="480" w:firstLineChars="200"/>
        <w:contextualSpacing/>
        <w:rPr>
          <w:rFonts w:hint="eastAsia" w:ascii="宋体" w:hAnsi="宋体" w:cs="宋体"/>
          <w:sz w:val="24"/>
          <w:highlight w:val="none"/>
        </w:rPr>
      </w:pPr>
      <w:r>
        <w:rPr>
          <w:rFonts w:hint="eastAsia" w:ascii="宋体" w:hAnsi="宋体" w:cs="宋体"/>
          <w:sz w:val="24"/>
          <w:highlight w:val="none"/>
        </w:rPr>
        <w:t>3.4.4 凡超出招标文件规定的或给委托人带来未曾要求的利益的变化、偏差或其他因素在评标时不予考虑。</w:t>
      </w:r>
    </w:p>
    <w:p>
      <w:pPr>
        <w:spacing w:line="360" w:lineRule="auto"/>
        <w:ind w:firstLine="482" w:firstLineChars="200"/>
        <w:contextualSpacing/>
        <w:rPr>
          <w:rFonts w:hint="eastAsia" w:ascii="宋体" w:hAnsi="宋体" w:cs="宋体"/>
          <w:b/>
          <w:sz w:val="24"/>
          <w:highlight w:val="none"/>
        </w:rPr>
      </w:pPr>
      <w:r>
        <w:rPr>
          <w:rFonts w:hint="eastAsia" w:ascii="宋体" w:hAnsi="宋体" w:cs="宋体"/>
          <w:b/>
          <w:sz w:val="24"/>
          <w:highlight w:val="none"/>
        </w:rPr>
        <w:t>3.5 不得否决投标的情形</w:t>
      </w:r>
    </w:p>
    <w:p>
      <w:pPr>
        <w:spacing w:line="360" w:lineRule="auto"/>
        <w:ind w:firstLine="480" w:firstLineChars="200"/>
        <w:contextualSpacing/>
        <w:rPr>
          <w:rFonts w:hint="eastAsia" w:ascii="宋体" w:hAnsi="宋体" w:cs="宋体"/>
          <w:sz w:val="24"/>
          <w:highlight w:val="none"/>
        </w:rPr>
      </w:pPr>
      <w:r>
        <w:rPr>
          <w:rFonts w:hint="eastAsia" w:ascii="宋体" w:hAnsi="宋体" w:cs="宋体"/>
          <w:sz w:val="24"/>
          <w:highlight w:val="none"/>
        </w:rPr>
        <w:t>投标文件存在第二章“投标人须知”第1.12.3项所列情形的，均视为细微偏差，评标委员会不得否决投标人的投标，应按照第二章“投标人须知”第1.12.4项规定的原则处理。</w:t>
      </w:r>
    </w:p>
    <w:p>
      <w:pPr>
        <w:spacing w:line="360" w:lineRule="auto"/>
        <w:ind w:firstLine="482" w:firstLineChars="200"/>
        <w:contextualSpacing/>
        <w:rPr>
          <w:rFonts w:hint="eastAsia" w:ascii="宋体" w:hAnsi="宋体" w:cs="宋体"/>
          <w:b/>
          <w:sz w:val="24"/>
          <w:highlight w:val="none"/>
        </w:rPr>
      </w:pPr>
      <w:r>
        <w:rPr>
          <w:rFonts w:hint="eastAsia" w:ascii="宋体" w:hAnsi="宋体" w:cs="宋体"/>
          <w:b/>
          <w:sz w:val="24"/>
          <w:highlight w:val="none"/>
        </w:rPr>
        <w:t>3.6 评标结果</w:t>
      </w:r>
    </w:p>
    <w:p>
      <w:pPr>
        <w:spacing w:line="360" w:lineRule="auto"/>
        <w:ind w:firstLine="480" w:firstLineChars="200"/>
        <w:contextualSpacing/>
        <w:rPr>
          <w:rFonts w:hint="eastAsia" w:ascii="宋体" w:hAnsi="宋体" w:cs="宋体"/>
          <w:sz w:val="24"/>
          <w:highlight w:val="none"/>
        </w:rPr>
      </w:pPr>
      <w:r>
        <w:rPr>
          <w:rFonts w:hint="eastAsia" w:ascii="宋体" w:hAnsi="宋体" w:cs="宋体"/>
          <w:sz w:val="24"/>
          <w:highlight w:val="none"/>
        </w:rPr>
        <w:t>3.6.1 除第二章“投标人须知”前附表授权直接确定中标人外，评标委员会按照得分由高到低的顺序推荐中标候选人，并标明排序。</w:t>
      </w:r>
    </w:p>
    <w:p>
      <w:pPr>
        <w:spacing w:afterLines="50" w:line="360" w:lineRule="auto"/>
        <w:ind w:left="142"/>
        <w:jc w:val="center"/>
      </w:pPr>
      <w:r>
        <w:rPr>
          <w:rFonts w:hint="eastAsia" w:ascii="宋体" w:hAnsi="宋体" w:cs="宋体"/>
          <w:sz w:val="24"/>
          <w:highlight w:val="none"/>
        </w:rPr>
        <w:t>3.6.2 评标委员会完成评标后，应向招标人提交书面评标报告。</w:t>
      </w:r>
    </w:p>
    <w:sectPr>
      <w:footerReference r:id="rId7" w:type="default"/>
      <w:pgSz w:w="11910" w:h="16840"/>
      <w:pgMar w:top="1134" w:right="1134" w:bottom="1134" w:left="1134" w:header="889" w:footer="1065" w:gutter="170"/>
      <w:cols w:space="720" w:num="1"/>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29" o:spid="_x0000_s1029"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AvnjvJ0QEAAKIDAAAOAAAAAAAAAAEAIAAAAB8BAABk&#10;cnMvZTJvRG9jLnhtbFBLBQYAAAAABgAGAFkBAABiBQAAAAA=&#10;">
          <v:path/>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rPr>
                    <w:lang w:val="en-US" w:eastAsia="zh-CN"/>
                  </w:rPr>
                  <w:t>18</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文本框 5" o:spid="_x0000_s1028"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8+2hAaAgAAIQQAAA4AAABkcnMvZTJvRG9jLnhtbK1TzY7TMBC+I/EO&#10;lu80aVFX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5vW0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rz7aEBoCAAAhBAAADgAA&#10;AAAAAAABACAAAAAfAQAAZHJzL2Uyb0RvYy54bWxQSwUGAAAAAAYABgBZAQAAqwUAAAAA&#10;">
          <v:path/>
          <v:fill on="f" focussize="0,0"/>
          <v:stroke on="f" weight="0.5pt" joinstyle="miter"/>
          <v:imagedata o:title=""/>
          <o:lock v:ext="edit"/>
          <v:textbox inset="0mm,0mm,0mm,0mm" style="mso-fit-shape-to-text:t;">
            <w:txbxContent>
              <w:p>
                <w:pPr>
                  <w:pStyle w:val="6"/>
                </w:pPr>
                <w:r>
                  <w:fldChar w:fldCharType="begin"/>
                </w:r>
                <w:r>
                  <w:instrText xml:space="preserve"> PAGE  \* MERGEFORMAT </w:instrText>
                </w:r>
                <w:r>
                  <w:fldChar w:fldCharType="separate"/>
                </w:r>
                <w:r>
                  <w:rPr>
                    <w:lang w:val="en-US" w:eastAsia="zh-CN"/>
                  </w:rPr>
                  <w:t>1</w:t>
                </w:r>
                <w:r>
                  <w:rPr>
                    <w:lang w:val="en-US"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path/>
          <v:fill on="f" focussize="0,0"/>
          <v:stroke on="f" weight="0.5pt" joinstyle="miter"/>
          <v:imagedata o:title=""/>
          <o:lock v:ext="edit"/>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v:textbox>
        </v:shape>
      </w:pic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3526DF"/>
    <w:multiLevelType w:val="singleLevel"/>
    <w:tmpl w:val="CE3526DF"/>
    <w:lvl w:ilvl="0" w:tentative="0">
      <w:start w:val="1"/>
      <w:numFmt w:val="decimal"/>
      <w:lvlText w:val="%1."/>
      <w:lvlJc w:val="left"/>
      <w:pPr>
        <w:tabs>
          <w:tab w:val="left" w:pos="312"/>
        </w:tabs>
      </w:pPr>
      <w:rPr>
        <w:rFonts w:hint="default"/>
        <w:b w:val="0"/>
        <w:bCs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D2AB4"/>
    <w:rsid w:val="002D676F"/>
    <w:rsid w:val="0076326D"/>
    <w:rsid w:val="00CD2AB4"/>
    <w:rsid w:val="6A832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4">
    <w:name w:val="heading 3"/>
    <w:basedOn w:val="1"/>
    <w:next w:val="1"/>
    <w:link w:val="15"/>
    <w:qFormat/>
    <w:uiPriority w:val="1"/>
    <w:pPr>
      <w:keepNext/>
      <w:keepLines/>
      <w:spacing w:before="260" w:after="260" w:line="415" w:lineRule="auto"/>
      <w:outlineLvl w:val="2"/>
    </w:pPr>
    <w:rPr>
      <w:rFonts w:ascii="Arial" w:hAnsi="Arial"/>
      <w:b/>
      <w:bCs/>
      <w:sz w:val="32"/>
      <w:szCs w:val="32"/>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12"/>
    <w:unhideWhenUsed/>
    <w:qFormat/>
    <w:uiPriority w:val="99"/>
    <w:pPr>
      <w:spacing w:after="120" w:line="480" w:lineRule="auto"/>
      <w:ind w:left="420" w:leftChars="200"/>
    </w:pPr>
  </w:style>
  <w:style w:type="paragraph" w:styleId="5">
    <w:name w:val="Balloon Text"/>
    <w:basedOn w:val="1"/>
    <w:link w:val="19"/>
    <w:semiHidden/>
    <w:unhideWhenUsed/>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kern w:val="0"/>
      <w:sz w:val="18"/>
      <w:szCs w:val="18"/>
    </w:rPr>
  </w:style>
  <w:style w:type="paragraph" w:styleId="7">
    <w:name w:val="header"/>
    <w:basedOn w:val="1"/>
    <w:link w:val="17"/>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10">
    <w:name w:val="page number"/>
    <w:basedOn w:val="9"/>
    <w:qFormat/>
    <w:uiPriority w:val="0"/>
  </w:style>
  <w:style w:type="character" w:styleId="11">
    <w:name w:val="Hyperlink"/>
    <w:basedOn w:val="9"/>
    <w:qFormat/>
    <w:uiPriority w:val="99"/>
    <w:rPr>
      <w:color w:val="444444"/>
      <w:u w:val="none"/>
    </w:rPr>
  </w:style>
  <w:style w:type="character" w:customStyle="1" w:styleId="12">
    <w:name w:val="正文文本缩进 2 Char"/>
    <w:basedOn w:val="9"/>
    <w:link w:val="2"/>
    <w:qFormat/>
    <w:uiPriority w:val="99"/>
    <w:rPr>
      <w:rFonts w:ascii="Times New Roman" w:hAnsi="Times New Roman" w:eastAsia="宋体" w:cs="Times New Roman"/>
      <w:szCs w:val="24"/>
    </w:rPr>
  </w:style>
  <w:style w:type="character" w:customStyle="1" w:styleId="13">
    <w:name w:val="页脚 Char"/>
    <w:basedOn w:val="9"/>
    <w:link w:val="6"/>
    <w:qFormat/>
    <w:uiPriority w:val="99"/>
    <w:rPr>
      <w:rFonts w:ascii="Times New Roman" w:hAnsi="Times New Roman" w:eastAsia="宋体" w:cs="Times New Roman"/>
      <w:kern w:val="0"/>
      <w:sz w:val="18"/>
      <w:szCs w:val="18"/>
    </w:rPr>
  </w:style>
  <w:style w:type="paragraph" w:customStyle="1" w:styleId="14">
    <w:name w:val="正文字缩2字"/>
    <w:basedOn w:val="1"/>
    <w:qFormat/>
    <w:uiPriority w:val="99"/>
    <w:pPr>
      <w:spacing w:before="60" w:after="60" w:line="360" w:lineRule="auto"/>
      <w:ind w:left="200" w:leftChars="200" w:firstLine="200" w:firstLineChars="200"/>
    </w:pPr>
  </w:style>
  <w:style w:type="character" w:customStyle="1" w:styleId="15">
    <w:name w:val="标题 3 Char"/>
    <w:basedOn w:val="9"/>
    <w:link w:val="4"/>
    <w:qFormat/>
    <w:uiPriority w:val="1"/>
    <w:rPr>
      <w:rFonts w:ascii="Arial" w:hAnsi="Arial" w:eastAsia="宋体" w:cs="Times New Roman"/>
      <w:b/>
      <w:bCs/>
      <w:sz w:val="32"/>
      <w:szCs w:val="32"/>
    </w:rPr>
  </w:style>
  <w:style w:type="character" w:customStyle="1" w:styleId="16">
    <w:name w:val="页眉 Char"/>
    <w:link w:val="7"/>
    <w:qFormat/>
    <w:uiPriority w:val="99"/>
    <w:rPr>
      <w:sz w:val="18"/>
      <w:szCs w:val="18"/>
    </w:rPr>
  </w:style>
  <w:style w:type="character" w:customStyle="1" w:styleId="17">
    <w:name w:val="页眉 Char1"/>
    <w:basedOn w:val="9"/>
    <w:link w:val="7"/>
    <w:semiHidden/>
    <w:qFormat/>
    <w:uiPriority w:val="99"/>
    <w:rPr>
      <w:rFonts w:ascii="Times New Roman" w:hAnsi="Times New Roman" w:eastAsia="宋体" w:cs="Times New Roman"/>
      <w:sz w:val="18"/>
      <w:szCs w:val="18"/>
    </w:rPr>
  </w:style>
  <w:style w:type="character" w:customStyle="1" w:styleId="18">
    <w:name w:val="标题 1 Char"/>
    <w:basedOn w:val="9"/>
    <w:link w:val="3"/>
    <w:qFormat/>
    <w:uiPriority w:val="1"/>
    <w:rPr>
      <w:rFonts w:ascii="Times New Roman" w:hAnsi="Times New Roman" w:eastAsia="宋体" w:cs="Times New Roman"/>
      <w:b/>
      <w:bCs/>
      <w:kern w:val="44"/>
      <w:sz w:val="44"/>
      <w:szCs w:val="44"/>
    </w:rPr>
  </w:style>
  <w:style w:type="character" w:customStyle="1" w:styleId="19">
    <w:name w:val="批注框文本 Char"/>
    <w:basedOn w:val="9"/>
    <w:link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1440</Words>
  <Characters>8211</Characters>
  <Lines>68</Lines>
  <Paragraphs>19</Paragraphs>
  <TotalTime>1</TotalTime>
  <ScaleCrop>false</ScaleCrop>
  <LinksUpToDate>false</LinksUpToDate>
  <CharactersWithSpaces>9632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2021-02-26T06:45:00Z</dcterms:created>
  <dc:creator>Administrator</dc:creator>
  <cp:lastModifiedBy>龟小宅</cp:lastModifiedBy>
  <dcterms:modified xsi:type="dcterms:W3CDTF">2022-03-01T07:15:10Z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E484F1CAE01A460497FB7F82080E9A7F</vt:lpwstr>
  </property>
</Properties>
</file>