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Arial"/>
          <w:b/>
          <w:sz w:val="18"/>
          <w:szCs w:val="18"/>
        </w:rPr>
      </w:pPr>
      <w:r>
        <w:rPr>
          <w:rFonts w:hint="eastAsia" w:ascii="宋体" w:hAnsi="宋体" w:cs="Arial"/>
          <w:b/>
          <w:sz w:val="30"/>
          <w:szCs w:val="30"/>
        </w:rPr>
        <w:t>附录</w:t>
      </w:r>
      <w:r>
        <w:rPr>
          <w:rFonts w:ascii="宋体" w:hAnsi="宋体" w:cs="Arial"/>
          <w:b/>
          <w:sz w:val="30"/>
          <w:szCs w:val="30"/>
        </w:rPr>
        <w:t xml:space="preserve">1 </w:t>
      </w:r>
      <w:r>
        <w:rPr>
          <w:rFonts w:hint="eastAsia" w:ascii="宋体" w:hAnsi="宋体" w:cs="Arial"/>
          <w:b/>
          <w:sz w:val="30"/>
          <w:szCs w:val="30"/>
        </w:rPr>
        <w:t>资格审查条件（资质最低要求）</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9288" w:type="dxa"/>
            <w:vAlign w:val="center"/>
          </w:tcPr>
          <w:p>
            <w:pPr>
              <w:autoSpaceDE w:val="0"/>
              <w:autoSpaceDN w:val="0"/>
              <w:adjustRightInd w:val="0"/>
              <w:spacing w:line="300" w:lineRule="auto"/>
              <w:jc w:val="center"/>
              <w:textAlignment w:val="baseline"/>
              <w:rPr>
                <w:rFonts w:ascii="宋体"/>
                <w:kern w:val="0"/>
                <w:sz w:val="28"/>
                <w:szCs w:val="28"/>
              </w:rPr>
            </w:pPr>
            <w:r>
              <w:rPr>
                <w:rFonts w:hint="eastAsia" w:ascii="宋体" w:hAnsi="宋体"/>
                <w:kern w:val="0"/>
                <w:sz w:val="28"/>
                <w:szCs w:val="28"/>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288" w:type="dxa"/>
            <w:vAlign w:val="center"/>
          </w:tcPr>
          <w:p>
            <w:pPr>
              <w:autoSpaceDE w:val="0"/>
              <w:autoSpaceDN w:val="0"/>
              <w:adjustRightInd w:val="0"/>
              <w:spacing w:line="300" w:lineRule="auto"/>
              <w:ind w:firstLine="422" w:firstLineChars="200"/>
              <w:jc w:val="center"/>
              <w:textAlignment w:val="baseline"/>
              <w:rPr>
                <w:rFonts w:hint="eastAsia" w:ascii="宋体" w:hAnsi="宋体"/>
                <w:kern w:val="0"/>
                <w:sz w:val="24"/>
              </w:rPr>
            </w:pPr>
            <w:r>
              <w:rPr>
                <w:rFonts w:hint="eastAsia" w:ascii="宋体" w:hAnsi="宋体" w:cs="Arial"/>
                <w:b/>
                <w:szCs w:val="21"/>
              </w:rPr>
              <w:t>公路交通工程专业(公路安全设施分项)承包壹级资质</w:t>
            </w:r>
          </w:p>
        </w:tc>
      </w:tr>
    </w:tbl>
    <w:p>
      <w:pPr>
        <w:jc w:val="left"/>
      </w:pPr>
      <w:bookmarkStart w:id="0" w:name="_Toc442431577"/>
      <w:bookmarkStart w:id="1" w:name="_Toc330366399"/>
      <w:bookmarkStart w:id="2" w:name="_Toc236538952"/>
      <w:bookmarkStart w:id="3" w:name="_Toc492903356"/>
      <w:bookmarkStart w:id="4" w:name="_Toc329932161"/>
    </w:p>
    <w:p>
      <w:pPr>
        <w:spacing w:before="100" w:beforeAutospacing="1" w:after="100" w:afterAutospacing="1" w:line="360" w:lineRule="auto"/>
        <w:jc w:val="center"/>
        <w:outlineLvl w:val="1"/>
        <w:rPr>
          <w:rFonts w:ascii="宋体" w:hAnsi="宋体"/>
          <w:b/>
          <w:sz w:val="30"/>
          <w:szCs w:val="30"/>
        </w:rPr>
      </w:pPr>
      <w:r>
        <w:rPr>
          <w:rFonts w:hint="eastAsia" w:ascii="宋体" w:hAnsi="宋体"/>
          <w:b/>
          <w:sz w:val="30"/>
          <w:szCs w:val="30"/>
        </w:rPr>
        <w:t>附录</w:t>
      </w:r>
      <w:r>
        <w:rPr>
          <w:rFonts w:ascii="宋体" w:hAnsi="宋体"/>
          <w:b/>
          <w:sz w:val="30"/>
          <w:szCs w:val="30"/>
        </w:rPr>
        <w:t xml:space="preserve">2 </w:t>
      </w:r>
      <w:r>
        <w:rPr>
          <w:rFonts w:hint="eastAsia" w:ascii="宋体" w:hAnsi="宋体"/>
          <w:b/>
          <w:sz w:val="30"/>
          <w:szCs w:val="30"/>
        </w:rPr>
        <w:t>资格审查条件（财务最低要求）</w:t>
      </w:r>
    </w:p>
    <w:tbl>
      <w:tblPr>
        <w:tblStyle w:val="9"/>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163" w:type="dxa"/>
            <w:vAlign w:val="center"/>
          </w:tcPr>
          <w:p>
            <w:pPr>
              <w:spacing w:beforeLines="50" w:line="360" w:lineRule="auto"/>
              <w:jc w:val="center"/>
              <w:rPr>
                <w:rFonts w:ascii="宋体" w:hAnsi="宋体" w:cs="Arial"/>
                <w:szCs w:val="21"/>
              </w:rPr>
            </w:pPr>
            <w:r>
              <w:rPr>
                <w:rFonts w:hint="eastAsia" w:ascii="宋体" w:hAnsi="宋体"/>
                <w:sz w:val="24"/>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163" w:type="dxa"/>
            <w:vAlign w:val="center"/>
          </w:tcPr>
          <w:p>
            <w:pPr>
              <w:spacing w:line="360" w:lineRule="auto"/>
              <w:ind w:firstLine="241" w:firstLineChars="100"/>
              <w:jc w:val="center"/>
              <w:rPr>
                <w:rFonts w:ascii="宋体" w:hAnsi="宋体" w:cs="Arial"/>
                <w:szCs w:val="21"/>
              </w:rPr>
            </w:pPr>
            <w:r>
              <w:rPr>
                <w:rFonts w:hint="eastAsia" w:ascii="宋体" w:hAnsi="宋体"/>
                <w:b/>
                <w:sz w:val="24"/>
                <w:szCs w:val="28"/>
              </w:rPr>
              <w:t>2020年度及2021年度流动比率大于1。</w:t>
            </w:r>
          </w:p>
        </w:tc>
      </w:tr>
    </w:tbl>
    <w:p>
      <w:pPr>
        <w:jc w:val="both"/>
        <w:rPr>
          <w:rFonts w:ascii="宋体" w:hAnsi="宋体"/>
          <w:b/>
          <w:sz w:val="30"/>
          <w:szCs w:val="30"/>
        </w:rPr>
      </w:pPr>
    </w:p>
    <w:p>
      <w:pPr>
        <w:spacing w:before="100" w:beforeAutospacing="1" w:after="100" w:afterAutospacing="1" w:line="360" w:lineRule="auto"/>
        <w:jc w:val="center"/>
        <w:outlineLvl w:val="1"/>
        <w:rPr>
          <w:rFonts w:ascii="宋体" w:hAnsi="宋体"/>
          <w:b/>
          <w:bCs/>
          <w:kern w:val="0"/>
          <w:sz w:val="24"/>
          <w:vertAlign w:val="superscript"/>
        </w:rPr>
      </w:pPr>
      <w:r>
        <w:rPr>
          <w:rFonts w:hint="eastAsia" w:ascii="宋体" w:hAnsi="宋体"/>
          <w:b/>
          <w:sz w:val="30"/>
          <w:szCs w:val="30"/>
        </w:rPr>
        <w:t>附录</w:t>
      </w:r>
      <w:r>
        <w:rPr>
          <w:rFonts w:ascii="宋体" w:hAnsi="宋体"/>
          <w:b/>
          <w:sz w:val="30"/>
          <w:szCs w:val="30"/>
        </w:rPr>
        <w:t xml:space="preserve">3 </w:t>
      </w:r>
      <w:r>
        <w:rPr>
          <w:rFonts w:hint="eastAsia" w:ascii="宋体" w:hAnsi="宋体"/>
          <w:b/>
          <w:sz w:val="30"/>
          <w:szCs w:val="30"/>
        </w:rPr>
        <w:t>资格审查条件（业绩最低要求）</w:t>
      </w:r>
    </w:p>
    <w:tbl>
      <w:tblPr>
        <w:tblStyle w:val="9"/>
        <w:tblW w:w="86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661" w:type="dxa"/>
            <w:tcBorders>
              <w:top w:val="single" w:color="auto" w:sz="12" w:space="0"/>
            </w:tcBorders>
            <w:vAlign w:val="center"/>
          </w:tcPr>
          <w:p>
            <w:pPr>
              <w:spacing w:line="480" w:lineRule="auto"/>
              <w:jc w:val="center"/>
              <w:textAlignment w:val="baseline"/>
              <w:rPr>
                <w:rFonts w:ascii="宋体" w:hAnsi="宋体"/>
                <w:sz w:val="24"/>
              </w:rPr>
            </w:pPr>
            <w:r>
              <w:rPr>
                <w:rFonts w:hint="eastAsia" w:ascii="宋体" w:hAnsi="宋体"/>
                <w:sz w:val="24"/>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661" w:type="dxa"/>
            <w:tcBorders>
              <w:bottom w:val="single" w:color="auto" w:sz="12" w:space="0"/>
            </w:tcBorders>
            <w:vAlign w:val="center"/>
          </w:tcPr>
          <w:p>
            <w:pPr>
              <w:spacing w:line="320" w:lineRule="exact"/>
              <w:ind w:firstLine="482" w:firstLineChars="200"/>
              <w:jc w:val="center"/>
              <w:rPr>
                <w:rFonts w:ascii="宋体" w:hAnsi="宋体"/>
                <w:b/>
                <w:sz w:val="28"/>
                <w:szCs w:val="28"/>
              </w:rPr>
            </w:pPr>
            <w:r>
              <w:rPr>
                <w:rFonts w:hint="eastAsia" w:ascii="宋体" w:hAnsi="宋体"/>
                <w:b/>
                <w:sz w:val="24"/>
                <w:szCs w:val="28"/>
              </w:rPr>
              <w:t>无业绩最低要求</w:t>
            </w:r>
          </w:p>
        </w:tc>
      </w:tr>
    </w:tbl>
    <w:p>
      <w:pPr>
        <w:jc w:val="left"/>
      </w:pPr>
    </w:p>
    <w:p>
      <w:pPr>
        <w:jc w:val="left"/>
      </w:pPr>
    </w:p>
    <w:bookmarkEnd w:id="0"/>
    <w:bookmarkEnd w:id="1"/>
    <w:bookmarkEnd w:id="2"/>
    <w:bookmarkEnd w:id="3"/>
    <w:bookmarkEnd w:id="4"/>
    <w:p>
      <w:pPr>
        <w:jc w:val="left"/>
        <w:rPr>
          <w:rFonts w:ascii="宋体" w:hAnsi="宋体" w:cs="Arial"/>
          <w:b/>
          <w:sz w:val="30"/>
          <w:szCs w:val="30"/>
        </w:rPr>
      </w:pPr>
      <w:r>
        <w:rPr>
          <w:rFonts w:hint="eastAsia" w:ascii="宋体" w:hAnsi="宋体" w:cs="Arial"/>
          <w:b/>
          <w:sz w:val="30"/>
          <w:szCs w:val="30"/>
        </w:rPr>
        <w:br w:type="page"/>
      </w:r>
    </w:p>
    <w:p>
      <w:pPr>
        <w:spacing w:before="100" w:beforeAutospacing="1" w:after="100" w:afterAutospacing="1" w:line="360" w:lineRule="auto"/>
        <w:jc w:val="center"/>
        <w:outlineLvl w:val="1"/>
        <w:rPr>
          <w:rFonts w:ascii="宋体" w:hAnsi="宋体" w:cs="Arial"/>
          <w:b/>
          <w:sz w:val="30"/>
          <w:szCs w:val="30"/>
        </w:rPr>
      </w:pPr>
      <w:bookmarkStart w:id="5" w:name="_GoBack"/>
      <w:bookmarkEnd w:id="5"/>
      <w:r>
        <w:rPr>
          <w:rFonts w:hint="eastAsia" w:ascii="宋体" w:hAnsi="宋体" w:cs="Arial"/>
          <w:b/>
          <w:sz w:val="30"/>
          <w:szCs w:val="30"/>
        </w:rPr>
        <w:t>附录</w:t>
      </w:r>
      <w:r>
        <w:rPr>
          <w:rFonts w:ascii="宋体" w:hAnsi="宋体" w:cs="Arial"/>
          <w:b/>
          <w:sz w:val="30"/>
          <w:szCs w:val="30"/>
        </w:rPr>
        <w:t xml:space="preserve">4 </w:t>
      </w:r>
      <w:r>
        <w:rPr>
          <w:rFonts w:hint="eastAsia" w:ascii="宋体" w:hAnsi="宋体" w:cs="Arial"/>
          <w:b/>
          <w:sz w:val="30"/>
          <w:szCs w:val="30"/>
        </w:rPr>
        <w:t>资格审查条件（信誉最低要求）</w:t>
      </w:r>
    </w:p>
    <w:tbl>
      <w:tblPr>
        <w:tblStyle w:val="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tcPr>
          <w:p>
            <w:pPr>
              <w:spacing w:line="360" w:lineRule="auto"/>
              <w:ind w:firstLine="41"/>
              <w:jc w:val="center"/>
              <w:rPr>
                <w:rFonts w:ascii="宋体" w:hAnsi="宋体" w:cs="Arial"/>
                <w:sz w:val="18"/>
                <w:szCs w:val="18"/>
              </w:rPr>
            </w:pPr>
            <w:r>
              <w:rPr>
                <w:rFonts w:hint="eastAsia" w:ascii="宋体" w:hAnsi="宋体" w:cs="Arial"/>
                <w:sz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9174" w:type="dxa"/>
            <w:vAlign w:val="center"/>
          </w:tcPr>
          <w:p>
            <w:pPr>
              <w:spacing w:line="360" w:lineRule="auto"/>
              <w:ind w:firstLine="315" w:firstLineChars="150"/>
              <w:rPr>
                <w:rFonts w:ascii="宋体" w:hAnsi="宋体" w:cs="Arial"/>
                <w:kern w:val="0"/>
                <w:szCs w:val="21"/>
              </w:rPr>
            </w:pPr>
            <w:r>
              <w:rPr>
                <w:rFonts w:ascii="宋体" w:hAnsi="宋体" w:cs="Arial"/>
                <w:kern w:val="0"/>
                <w:szCs w:val="21"/>
              </w:rPr>
              <w:t>投标人在最新贵州省交通建设市场从业单位信用评价的综合考核定级中，未被评价为D级；未进行评价的企业按</w:t>
            </w:r>
            <w:r>
              <w:rPr>
                <w:rFonts w:ascii="宋体" w:hAnsi="宋体" w:cs="Arial"/>
                <w:szCs w:val="21"/>
              </w:rPr>
              <w:t>贵州省交通运输厅关于印发《贵州省高速公路设计施工企业信用评价实施细则（试行）》的通知黔交建设〔2016〕279号及《贵州省高速公路设计施工企业信用评价结果引用的补充通知》黔交建设〔2016〕291号</w:t>
            </w:r>
            <w:r>
              <w:rPr>
                <w:rFonts w:ascii="宋体" w:hAnsi="宋体" w:cs="Arial"/>
                <w:kern w:val="0"/>
                <w:szCs w:val="21"/>
              </w:rPr>
              <w:t>（可在贵州省交通运输厅网站www.qjt.gov.cn上查询）”文件规定确定的最新信用</w:t>
            </w:r>
            <w:r>
              <w:rPr>
                <w:rFonts w:hint="eastAsia" w:ascii="宋体" w:hAnsi="宋体" w:cs="Arial"/>
                <w:kern w:val="0"/>
                <w:szCs w:val="21"/>
              </w:rPr>
              <w:t>（本项目投标专业指</w:t>
            </w:r>
            <w:r>
              <w:rPr>
                <w:rFonts w:hint="eastAsia" w:ascii="宋体" w:hAnsi="宋体" w:cs="Arial"/>
                <w:b/>
                <w:kern w:val="0"/>
                <w:szCs w:val="21"/>
              </w:rPr>
              <w:t>养护工程</w:t>
            </w:r>
            <w:r>
              <w:rPr>
                <w:rFonts w:hint="eastAsia" w:ascii="宋体" w:hAnsi="宋体" w:cs="Arial"/>
                <w:kern w:val="0"/>
                <w:szCs w:val="21"/>
              </w:rPr>
              <w:t>专业）</w:t>
            </w:r>
            <w:r>
              <w:rPr>
                <w:rFonts w:ascii="宋体" w:hAnsi="宋体" w:cs="Arial"/>
                <w:kern w:val="0"/>
                <w:szCs w:val="21"/>
              </w:rPr>
              <w:t>等级不为D级</w:t>
            </w:r>
            <w:r>
              <w:rPr>
                <w:rFonts w:ascii="宋体" w:hAnsi="宋体" w:cs="Arial"/>
                <w:b/>
                <w:kern w:val="0"/>
                <w:szCs w:val="21"/>
              </w:rPr>
              <w:t>。</w:t>
            </w:r>
          </w:p>
        </w:tc>
      </w:tr>
    </w:tbl>
    <w:p>
      <w:pPr>
        <w:spacing w:before="100" w:beforeAutospacing="1" w:after="100" w:afterAutospacing="1"/>
        <w:jc w:val="center"/>
        <w:outlineLvl w:val="1"/>
        <w:rPr>
          <w:rFonts w:ascii="宋体" w:hAnsi="宋体" w:cs="Arial"/>
          <w:b/>
          <w:sz w:val="30"/>
          <w:szCs w:val="30"/>
        </w:rPr>
      </w:pPr>
      <w:r>
        <w:rPr>
          <w:rFonts w:hint="eastAsia" w:ascii="宋体" w:hAnsi="宋体" w:cs="Arial"/>
          <w:b/>
          <w:sz w:val="30"/>
          <w:szCs w:val="30"/>
        </w:rPr>
        <w:t>附录5资格审查条件</w:t>
      </w:r>
    </w:p>
    <w:p>
      <w:pPr>
        <w:spacing w:line="360" w:lineRule="auto"/>
        <w:jc w:val="center"/>
        <w:rPr>
          <w:rFonts w:ascii="Arial" w:hAnsi="Arial" w:eastAsia="黑体" w:cs="Arial"/>
          <w:sz w:val="30"/>
          <w:szCs w:val="30"/>
        </w:rPr>
      </w:pPr>
      <w:r>
        <w:rPr>
          <w:rFonts w:hint="eastAsia" w:ascii="Arial" w:hAnsi="Arial" w:eastAsia="黑体" w:cs="Arial"/>
          <w:sz w:val="24"/>
          <w:szCs w:val="30"/>
        </w:rPr>
        <w:t>（项目经理和项目总工最低要求）</w:t>
      </w:r>
    </w:p>
    <w:tbl>
      <w:tblPr>
        <w:tblStyle w:val="9"/>
        <w:tblW w:w="9349"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2198"/>
        <w:gridCol w:w="914"/>
        <w:gridCol w:w="3974"/>
        <w:gridCol w:w="226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198" w:type="dxa"/>
            <w:tcBorders>
              <w:top w:val="single" w:color="auto" w:sz="2" w:space="0"/>
            </w:tcBorders>
            <w:vAlign w:val="center"/>
          </w:tcPr>
          <w:p>
            <w:pPr>
              <w:jc w:val="center"/>
              <w:rPr>
                <w:rFonts w:ascii="Arial" w:hAnsi="Arial" w:cs="Arial"/>
                <w:sz w:val="22"/>
                <w:szCs w:val="22"/>
              </w:rPr>
            </w:pPr>
            <w:r>
              <w:rPr>
                <w:rFonts w:hint="eastAsia" w:ascii="Arial" w:hAnsi="Arial" w:cs="Arial"/>
                <w:sz w:val="22"/>
                <w:szCs w:val="22"/>
              </w:rPr>
              <w:t>人员</w:t>
            </w:r>
          </w:p>
        </w:tc>
        <w:tc>
          <w:tcPr>
            <w:tcW w:w="914" w:type="dxa"/>
            <w:tcBorders>
              <w:top w:val="single" w:color="auto" w:sz="2" w:space="0"/>
            </w:tcBorders>
            <w:vAlign w:val="center"/>
          </w:tcPr>
          <w:p>
            <w:pPr>
              <w:jc w:val="center"/>
              <w:rPr>
                <w:rFonts w:ascii="Arial" w:hAnsi="Arial" w:cs="Arial"/>
                <w:sz w:val="22"/>
                <w:szCs w:val="22"/>
              </w:rPr>
            </w:pPr>
            <w:r>
              <w:rPr>
                <w:rFonts w:hint="eastAsia" w:ascii="Arial" w:hAnsi="Arial" w:cs="Arial"/>
                <w:sz w:val="22"/>
                <w:szCs w:val="22"/>
              </w:rPr>
              <w:t>数量</w:t>
            </w:r>
          </w:p>
        </w:tc>
        <w:tc>
          <w:tcPr>
            <w:tcW w:w="3974" w:type="dxa"/>
            <w:tcBorders>
              <w:top w:val="single" w:color="auto" w:sz="2" w:space="0"/>
              <w:right w:val="single" w:color="auto" w:sz="4" w:space="0"/>
            </w:tcBorders>
            <w:vAlign w:val="center"/>
          </w:tcPr>
          <w:p>
            <w:pPr>
              <w:jc w:val="center"/>
              <w:rPr>
                <w:rFonts w:ascii="宋体" w:hAnsi="宋体" w:cs="Arial"/>
                <w:sz w:val="22"/>
                <w:szCs w:val="22"/>
              </w:rPr>
            </w:pPr>
            <w:r>
              <w:rPr>
                <w:rFonts w:ascii="宋体" w:hAnsi="宋体" w:cs="Arial"/>
                <w:sz w:val="22"/>
                <w:szCs w:val="22"/>
              </w:rPr>
              <w:t>资格要求</w:t>
            </w:r>
          </w:p>
        </w:tc>
        <w:tc>
          <w:tcPr>
            <w:tcW w:w="2263" w:type="dxa"/>
            <w:tcBorders>
              <w:top w:val="single" w:color="auto" w:sz="2" w:space="0"/>
              <w:left w:val="single" w:color="auto" w:sz="4" w:space="0"/>
            </w:tcBorders>
            <w:vAlign w:val="center"/>
          </w:tcPr>
          <w:p>
            <w:pPr>
              <w:jc w:val="center"/>
              <w:rPr>
                <w:rFonts w:ascii="宋体" w:hAnsi="宋体" w:cs="Arial"/>
                <w:sz w:val="22"/>
                <w:szCs w:val="22"/>
              </w:rPr>
            </w:pPr>
            <w:r>
              <w:rPr>
                <w:rFonts w:ascii="宋体" w:hAnsi="宋体" w:cs="Arial"/>
                <w:sz w:val="22"/>
                <w:szCs w:val="22"/>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42" w:hRule="atLeast"/>
          <w:jc w:val="center"/>
        </w:trPr>
        <w:tc>
          <w:tcPr>
            <w:tcW w:w="2198" w:type="dxa"/>
            <w:vAlign w:val="center"/>
          </w:tcPr>
          <w:p>
            <w:pPr>
              <w:jc w:val="center"/>
              <w:rPr>
                <w:rFonts w:ascii="宋体" w:hAnsi="宋体" w:cs="Arial"/>
                <w:szCs w:val="21"/>
              </w:rPr>
            </w:pPr>
            <w:r>
              <w:rPr>
                <w:rFonts w:ascii="宋体" w:hAnsi="宋体" w:cs="Arial"/>
                <w:szCs w:val="21"/>
              </w:rPr>
              <w:t>项目经理</w:t>
            </w:r>
          </w:p>
        </w:tc>
        <w:tc>
          <w:tcPr>
            <w:tcW w:w="914" w:type="dxa"/>
            <w:vAlign w:val="center"/>
          </w:tcPr>
          <w:p>
            <w:pPr>
              <w:jc w:val="center"/>
              <w:rPr>
                <w:rFonts w:ascii="宋体" w:hAnsi="宋体" w:cs="Arial"/>
                <w:szCs w:val="21"/>
              </w:rPr>
            </w:pPr>
            <w:r>
              <w:rPr>
                <w:rFonts w:ascii="宋体" w:hAnsi="宋体" w:cs="Arial"/>
                <w:szCs w:val="21"/>
              </w:rPr>
              <w:t>1</w:t>
            </w:r>
          </w:p>
        </w:tc>
        <w:tc>
          <w:tcPr>
            <w:tcW w:w="3974" w:type="dxa"/>
            <w:tcBorders>
              <w:right w:val="single" w:color="auto" w:sz="4" w:space="0"/>
            </w:tcBorders>
            <w:vAlign w:val="center"/>
          </w:tcPr>
          <w:p>
            <w:pPr>
              <w:jc w:val="left"/>
              <w:rPr>
                <w:rFonts w:ascii="宋体" w:hAnsi="宋体" w:cs="Arial"/>
                <w:szCs w:val="21"/>
              </w:rPr>
            </w:pPr>
            <w:r>
              <w:rPr>
                <w:rFonts w:hint="eastAsia" w:ascii="宋体" w:hAnsi="宋体" w:cs="Arial"/>
                <w:szCs w:val="21"/>
              </w:rPr>
              <w:t>工程师或以上职称，持有建设行政主管部门颁发的一级建造师注册证书（公路工程专业），持有有效的交通主管部门颁发的安全生产考核合格证书（B类证书）。</w:t>
            </w:r>
          </w:p>
        </w:tc>
        <w:tc>
          <w:tcPr>
            <w:tcW w:w="2263" w:type="dxa"/>
            <w:vMerge w:val="restart"/>
            <w:tcBorders>
              <w:left w:val="single" w:color="auto" w:sz="4" w:space="0"/>
            </w:tcBorders>
            <w:vAlign w:val="center"/>
          </w:tcPr>
          <w:p>
            <w:pPr>
              <w:jc w:val="left"/>
              <w:rPr>
                <w:rFonts w:ascii="宋体" w:hAnsi="宋体" w:cs="Arial"/>
                <w:szCs w:val="21"/>
              </w:rPr>
            </w:pPr>
            <w:r>
              <w:rPr>
                <w:rFonts w:hint="eastAsia"/>
                <w:szCs w:val="21"/>
              </w:rPr>
              <w:t>无在岗项目（指目前未在其他项目上任职，或虽在其他项目上任职但本项目中标后能够从该项目撤离，或处于其他招标项目中标公示期或中标公示期已满但尚未签署合同但本项目中标后能够从该项目撤离）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2198" w:type="dxa"/>
            <w:vAlign w:val="center"/>
          </w:tcPr>
          <w:p>
            <w:pPr>
              <w:jc w:val="center"/>
              <w:rPr>
                <w:rFonts w:ascii="宋体" w:hAnsi="宋体" w:cs="Arial"/>
                <w:szCs w:val="21"/>
              </w:rPr>
            </w:pPr>
            <w:r>
              <w:rPr>
                <w:rFonts w:ascii="宋体" w:hAnsi="宋体" w:cs="Arial"/>
                <w:szCs w:val="21"/>
              </w:rPr>
              <w:t>项目总工</w:t>
            </w:r>
          </w:p>
        </w:tc>
        <w:tc>
          <w:tcPr>
            <w:tcW w:w="914" w:type="dxa"/>
            <w:vAlign w:val="center"/>
          </w:tcPr>
          <w:p>
            <w:pPr>
              <w:jc w:val="center"/>
              <w:rPr>
                <w:rFonts w:ascii="宋体" w:hAnsi="宋体" w:cs="Arial"/>
                <w:szCs w:val="21"/>
              </w:rPr>
            </w:pPr>
            <w:r>
              <w:rPr>
                <w:rFonts w:ascii="宋体" w:hAnsi="宋体" w:cs="Arial"/>
                <w:szCs w:val="21"/>
              </w:rPr>
              <w:t>1</w:t>
            </w:r>
          </w:p>
        </w:tc>
        <w:tc>
          <w:tcPr>
            <w:tcW w:w="3974" w:type="dxa"/>
            <w:tcBorders>
              <w:right w:val="single" w:color="auto" w:sz="4" w:space="0"/>
            </w:tcBorders>
            <w:vAlign w:val="center"/>
          </w:tcPr>
          <w:p>
            <w:pPr>
              <w:jc w:val="left"/>
              <w:rPr>
                <w:rFonts w:hint="eastAsia" w:ascii="宋体" w:hAnsi="宋体" w:cs="Arial"/>
                <w:szCs w:val="21"/>
              </w:rPr>
            </w:pPr>
            <w:r>
              <w:rPr>
                <w:rFonts w:hint="eastAsia" w:ascii="宋体" w:hAnsi="宋体" w:cs="Arial"/>
                <w:szCs w:val="21"/>
              </w:rPr>
              <w:t>高级工程师或以上职称，持有有效的交通主管部门颁发的安全生产考核合格证书（B类证书）。</w:t>
            </w:r>
          </w:p>
        </w:tc>
        <w:tc>
          <w:tcPr>
            <w:tcW w:w="2263" w:type="dxa"/>
            <w:vMerge w:val="continue"/>
            <w:tcBorders>
              <w:left w:val="single" w:color="auto" w:sz="4" w:space="0"/>
            </w:tcBorders>
            <w:vAlign w:val="center"/>
          </w:tcPr>
          <w:p>
            <w:pPr>
              <w:jc w:val="left"/>
              <w:rPr>
                <w:rFonts w:ascii="Arial" w:hAnsi="Arial" w:cs="Arial"/>
                <w:szCs w:val="21"/>
              </w:rPr>
            </w:pPr>
          </w:p>
        </w:tc>
      </w:tr>
    </w:tbl>
    <w:p>
      <w:pPr>
        <w:spacing w:beforeLines="50" w:line="300" w:lineRule="exact"/>
        <w:rPr>
          <w:rFonts w:ascii="宋体" w:hAnsi="宋体" w:cs="Arial"/>
          <w:sz w:val="18"/>
          <w:szCs w:val="18"/>
        </w:rPr>
      </w:pPr>
      <w:r>
        <w:rPr>
          <w:rFonts w:ascii="宋体" w:hAnsi="宋体" w:cs="Arial"/>
          <w:sz w:val="18"/>
          <w:szCs w:val="18"/>
        </w:rPr>
        <w:t>注：1、建造师注册证书的注册单位、安全生产考核合格证书的持证单位必须与投标单位名称一致，正在办理变更的必须提供发证机关出具的证明文件</w:t>
      </w:r>
      <w:r>
        <w:rPr>
          <w:rFonts w:hint="eastAsia" w:ascii="宋体" w:hAnsi="宋体" w:cs="Arial"/>
          <w:sz w:val="18"/>
          <w:szCs w:val="18"/>
        </w:rPr>
        <w:t>（其它证明无效）</w:t>
      </w:r>
      <w:r>
        <w:rPr>
          <w:rFonts w:ascii="宋体" w:hAnsi="宋体" w:cs="Arial"/>
          <w:sz w:val="18"/>
          <w:szCs w:val="18"/>
        </w:rPr>
        <w:t>。项目经理</w:t>
      </w:r>
      <w:r>
        <w:rPr>
          <w:rFonts w:hint="eastAsia" w:ascii="宋体" w:hAnsi="宋体" w:cs="Arial"/>
          <w:sz w:val="18"/>
          <w:szCs w:val="18"/>
        </w:rPr>
        <w:t>、</w:t>
      </w:r>
      <w:r>
        <w:rPr>
          <w:rFonts w:ascii="宋体" w:hAnsi="宋体" w:cs="Arial"/>
          <w:sz w:val="18"/>
          <w:szCs w:val="18"/>
        </w:rPr>
        <w:t>项目经理备选人</w:t>
      </w:r>
      <w:r>
        <w:rPr>
          <w:rFonts w:hint="eastAsia" w:ascii="宋体" w:hAnsi="宋体" w:cs="Arial"/>
          <w:sz w:val="18"/>
          <w:szCs w:val="18"/>
        </w:rPr>
        <w:t>（如有）、项目总工、项目总工备选人（如有）的安全生产考核合格证应可从交通运输部http://www.mot.gov.cn/相关链接http://219.143.235.78:8080/khglui/（交通运输部公路水运工程企业负责人和安全生产管理人员信息公共平台）进行查询；项目经理的注册建造师证书，应可从http://www.coc.gov.cn/“注册建造师查询”栏链接中查询到；如从上述网站查询不到或与查询到的信息不符，则不予认定。</w:t>
      </w:r>
    </w:p>
    <w:p>
      <w:pPr>
        <w:spacing w:line="300" w:lineRule="exact"/>
        <w:ind w:firstLine="360"/>
        <w:rPr>
          <w:rFonts w:ascii="宋体" w:hAnsi="宋体" w:cs="Arial"/>
          <w:sz w:val="18"/>
          <w:szCs w:val="18"/>
        </w:rPr>
      </w:pPr>
      <w:r>
        <w:rPr>
          <w:rFonts w:hint="eastAsia" w:ascii="宋体" w:hAnsi="宋体" w:cs="Arial"/>
          <w:sz w:val="18"/>
          <w:szCs w:val="18"/>
        </w:rPr>
        <w:t>2、根据《交通运输部办公厅关于做好公路水运工程施工企业主要负责人和安全生产管理人员考核管理相关工作的通知》（交办安监函〔2016〕816号）的规定，</w:t>
      </w:r>
      <w:r>
        <w:rPr>
          <w:rFonts w:ascii="宋体" w:hAnsi="宋体" w:cs="Arial"/>
          <w:sz w:val="18"/>
          <w:szCs w:val="18"/>
        </w:rPr>
        <w:t>项目经理</w:t>
      </w:r>
      <w:r>
        <w:rPr>
          <w:rFonts w:hint="eastAsia" w:ascii="宋体" w:hAnsi="宋体" w:cs="Arial"/>
          <w:sz w:val="18"/>
          <w:szCs w:val="18"/>
        </w:rPr>
        <w:t>、</w:t>
      </w:r>
      <w:r>
        <w:rPr>
          <w:rFonts w:ascii="宋体" w:hAnsi="宋体" w:cs="Arial"/>
          <w:sz w:val="18"/>
          <w:szCs w:val="18"/>
        </w:rPr>
        <w:t>项目经理备选人</w:t>
      </w:r>
      <w:r>
        <w:rPr>
          <w:rFonts w:hint="eastAsia" w:ascii="宋体" w:hAnsi="宋体" w:cs="Arial"/>
          <w:sz w:val="18"/>
          <w:szCs w:val="18"/>
        </w:rPr>
        <w:t>（如有）、项目总工、项目总工备选人（如有）提供的</w:t>
      </w:r>
      <w:r>
        <w:rPr>
          <w:rFonts w:ascii="宋体" w:hAnsi="宋体" w:cs="Arial"/>
          <w:sz w:val="18"/>
          <w:szCs w:val="18"/>
        </w:rPr>
        <w:t>安全生产考核合格证书（B类证书）必须为新证</w:t>
      </w:r>
      <w:r>
        <w:rPr>
          <w:rFonts w:hint="eastAsia" w:ascii="宋体" w:hAnsi="宋体" w:cs="Arial"/>
          <w:sz w:val="18"/>
          <w:szCs w:val="18"/>
        </w:rPr>
        <w:t>。</w:t>
      </w:r>
    </w:p>
    <w:p>
      <w:pPr>
        <w:spacing w:line="300" w:lineRule="exact"/>
        <w:ind w:firstLine="360"/>
        <w:rPr>
          <w:rFonts w:hint="eastAsia" w:ascii="宋体" w:hAnsi="宋体" w:cs="Arial"/>
          <w:sz w:val="18"/>
          <w:szCs w:val="18"/>
        </w:rPr>
      </w:pPr>
      <w:r>
        <w:rPr>
          <w:rFonts w:hint="eastAsia" w:ascii="宋体" w:hAnsi="宋体" w:cs="Arial"/>
          <w:sz w:val="18"/>
          <w:szCs w:val="18"/>
        </w:rPr>
        <w:t>3、如项目经理、</w:t>
      </w:r>
      <w:r>
        <w:rPr>
          <w:rFonts w:ascii="宋体" w:hAnsi="宋体" w:cs="Arial"/>
          <w:sz w:val="18"/>
          <w:szCs w:val="18"/>
        </w:rPr>
        <w:t>项目经理备选人</w:t>
      </w:r>
      <w:r>
        <w:rPr>
          <w:rFonts w:hint="eastAsia" w:ascii="宋体" w:hAnsi="宋体" w:cs="Arial"/>
          <w:sz w:val="18"/>
          <w:szCs w:val="18"/>
        </w:rPr>
        <w:t>（如有）或项目总工、项目总工备选人（如有）目前仍在其他项目上任职，则投标人应提供该项目发包人出具的承诺上述人员能够从该项目撤离的书面证明材料原件。4、人员职称证书颁发单位应为各级人力资源和社会保障部门或在人力资源和社会保障部门进行过核准备案的单位，中央单位颁发的高级职称应是人力资源和社会保障部发布的中央单位高级职称评审委员会备案目录内的单位、专业、级别。非人力资源和社会保障部门颁布的职称证书投标人应提供颁发机构或获得的职称人员在人力资源和社会保障部门的备案证明文件，否则评标委员会将不予认可。</w:t>
      </w:r>
    </w:p>
    <w:p>
      <w:pPr>
        <w:pStyle w:val="2"/>
        <w:rPr>
          <w:rFonts w:ascii="宋体" w:hAnsi="宋体" w:cs="Arial"/>
          <w:b/>
          <w:bCs/>
        </w:rPr>
      </w:pPr>
      <w:r>
        <w:rPr>
          <w:rFonts w:hint="eastAsia" w:ascii="宋体" w:hAnsi="宋体" w:cs="Arial"/>
          <w:b/>
          <w:bCs/>
        </w:rPr>
        <w:t>4.人员职称证书颁发单位应为各级人力资源和社会保障部门或在人力资源和社会保障部门进行过核准备案的单位，中央单位颁发的高级职称应是人力资源和社会保障部发布的中央单位高级职称评审委员会备案目录内的单位、专业、级别。非人力资源和社会保障部门颁布的职称证书投标人应提供颁发机构或获得的职称人员在人力资源和社会保障部门的备案证明文件，否则评标委员会将不予认可。</w:t>
      </w:r>
    </w:p>
    <w:p>
      <w:pPr>
        <w:widowControl/>
        <w:jc w:val="left"/>
        <w:rPr>
          <w:rFonts w:ascii="宋体" w:hAnsi="宋体" w:cs="Arial" w:eastAsiaTheme="minorEastAsia"/>
          <w:b/>
          <w:bCs/>
          <w:sz w:val="18"/>
          <w:szCs w:val="18"/>
        </w:rPr>
      </w:pPr>
      <w:r>
        <w:rPr>
          <w:rFonts w:ascii="宋体" w:hAnsi="宋体" w:cs="Arial"/>
          <w:b/>
          <w:bCs/>
        </w:rPr>
        <w:br w:type="page"/>
      </w:r>
    </w:p>
    <w:p>
      <w:pPr>
        <w:pStyle w:val="3"/>
        <w:jc w:val="center"/>
        <w:rPr>
          <w:sz w:val="30"/>
          <w:szCs w:val="30"/>
        </w:rPr>
      </w:pPr>
      <w:r>
        <w:rPr>
          <w:rFonts w:hint="eastAsia"/>
          <w:sz w:val="30"/>
          <w:szCs w:val="30"/>
        </w:rPr>
        <w:t>评标办法</w:t>
      </w:r>
    </w:p>
    <w:p>
      <w:pPr>
        <w:pStyle w:val="4"/>
        <w:jc w:val="center"/>
        <w:rPr>
          <w:rFonts w:ascii="Arial" w:hAnsi="Arial" w:cs="Arial"/>
          <w:sz w:val="28"/>
          <w:szCs w:val="28"/>
        </w:rPr>
      </w:pPr>
      <w:r>
        <w:rPr>
          <w:rFonts w:hint="eastAsia" w:ascii="Arial" w:hAnsi="Arial" w:eastAsia="黑体" w:cs="Arial"/>
          <w:sz w:val="28"/>
          <w:szCs w:val="28"/>
        </w:rPr>
        <w:t>（双信封合理低价法）</w:t>
      </w:r>
    </w:p>
    <w:p>
      <w:pPr>
        <w:pStyle w:val="6"/>
        <w:spacing w:before="0" w:after="0" w:line="420" w:lineRule="atLeast"/>
        <w:rPr>
          <w:rFonts w:ascii="Arial" w:hAnsi="Arial" w:eastAsia="黑体" w:cs="Arial"/>
          <w:b w:val="0"/>
          <w:sz w:val="21"/>
          <w:szCs w:val="21"/>
        </w:rPr>
      </w:pPr>
      <w:r>
        <w:rPr>
          <w:rFonts w:hint="eastAsia" w:ascii="宋体" w:hAnsi="宋体"/>
          <w:sz w:val="21"/>
          <w:szCs w:val="21"/>
        </w:rPr>
        <w:t>说明：“评标办法前附表”是对“ 评标办法正文”的补充、细化，“评标办法前附表”与“ 评标办法正文”不一致的以“ 评标办法前附表”为准。</w:t>
      </w:r>
    </w:p>
    <w:p>
      <w:pPr>
        <w:pStyle w:val="6"/>
        <w:spacing w:before="0" w:after="0" w:line="420" w:lineRule="atLeast"/>
        <w:rPr>
          <w:rFonts w:ascii="Arial" w:hAnsi="Arial" w:eastAsia="黑体" w:cs="Arial"/>
          <w:b w:val="0"/>
        </w:rPr>
      </w:pPr>
      <w:r>
        <w:rPr>
          <w:rFonts w:hint="eastAsia" w:ascii="Arial" w:hAnsi="Arial" w:eastAsia="黑体" w:cs="Arial"/>
          <w:b w:val="0"/>
        </w:rPr>
        <w:t>评标办法前附表</w:t>
      </w:r>
    </w:p>
    <w:tbl>
      <w:tblPr>
        <w:tblStyle w:val="9"/>
        <w:tblW w:w="92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1331"/>
        <w:gridCol w:w="6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2360" w:type="dxa"/>
            <w:gridSpan w:val="2"/>
            <w:tcBorders>
              <w:top w:val="single" w:color="auto" w:sz="4" w:space="0"/>
              <w:bottom w:val="single" w:color="auto" w:sz="4" w:space="0"/>
              <w:right w:val="single" w:color="auto" w:sz="4" w:space="0"/>
            </w:tcBorders>
            <w:vAlign w:val="center"/>
          </w:tcPr>
          <w:p>
            <w:pPr>
              <w:snapToGrid w:val="0"/>
              <w:jc w:val="center"/>
              <w:rPr>
                <w:rFonts w:ascii="Arial" w:hAnsi="Arial" w:cs="Arial"/>
                <w:b/>
                <w:szCs w:val="21"/>
              </w:rPr>
            </w:pPr>
            <w:r>
              <w:rPr>
                <w:rFonts w:hint="eastAsia" w:ascii="Arial" w:hAnsi="宋体" w:cs="Arial"/>
                <w:b/>
                <w:szCs w:val="21"/>
              </w:rPr>
              <w:t>条款号</w:t>
            </w:r>
          </w:p>
        </w:tc>
        <w:tc>
          <w:tcPr>
            <w:tcW w:w="6886" w:type="dxa"/>
            <w:tcBorders>
              <w:top w:val="single" w:color="auto" w:sz="4" w:space="0"/>
              <w:left w:val="single" w:color="auto" w:sz="4" w:space="0"/>
              <w:bottom w:val="single" w:color="auto" w:sz="4" w:space="0"/>
            </w:tcBorders>
            <w:vAlign w:val="center"/>
          </w:tcPr>
          <w:p>
            <w:pPr>
              <w:snapToGrid w:val="0"/>
              <w:jc w:val="center"/>
              <w:rPr>
                <w:rFonts w:ascii="Arial" w:hAnsi="Arial" w:cs="Arial"/>
                <w:b/>
                <w:szCs w:val="21"/>
              </w:rPr>
            </w:pPr>
            <w:r>
              <w:rPr>
                <w:rFonts w:hint="eastAsia" w:ascii="Arial" w:hAnsi="宋体" w:cs="Arial"/>
                <w:b/>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11" w:hRule="atLeast"/>
        </w:trPr>
        <w:tc>
          <w:tcPr>
            <w:tcW w:w="1029" w:type="dxa"/>
            <w:tcBorders>
              <w:top w:val="single" w:color="auto" w:sz="4" w:space="0"/>
              <w:bottom w:val="single" w:color="auto" w:sz="4" w:space="0"/>
              <w:right w:val="single" w:color="auto" w:sz="4" w:space="0"/>
            </w:tcBorders>
            <w:vAlign w:val="center"/>
          </w:tcPr>
          <w:p>
            <w:pPr>
              <w:snapToGrid w:val="0"/>
              <w:spacing w:line="300" w:lineRule="auto"/>
              <w:jc w:val="center"/>
              <w:rPr>
                <w:rFonts w:ascii="宋体" w:hAnsi="宋体" w:cs="Arial"/>
                <w:b/>
                <w:szCs w:val="21"/>
              </w:rPr>
            </w:pPr>
            <w:r>
              <w:rPr>
                <w:rFonts w:ascii="宋体" w:hAnsi="宋体" w:cs="Arial"/>
                <w:b/>
                <w:szCs w:val="21"/>
              </w:rPr>
              <w:t>1</w:t>
            </w:r>
          </w:p>
        </w:tc>
        <w:tc>
          <w:tcPr>
            <w:tcW w:w="1331" w:type="dxa"/>
            <w:tcBorders>
              <w:top w:val="single" w:color="auto" w:sz="4" w:space="0"/>
              <w:left w:val="nil"/>
              <w:bottom w:val="single" w:color="auto" w:sz="4" w:space="0"/>
              <w:right w:val="single" w:color="auto" w:sz="4" w:space="0"/>
            </w:tcBorders>
            <w:vAlign w:val="center"/>
          </w:tcPr>
          <w:p>
            <w:pPr>
              <w:snapToGrid w:val="0"/>
              <w:spacing w:line="300" w:lineRule="auto"/>
              <w:jc w:val="center"/>
              <w:rPr>
                <w:rFonts w:ascii="宋体" w:hAnsi="宋体" w:cs="Arial"/>
                <w:b/>
                <w:szCs w:val="21"/>
              </w:rPr>
            </w:pPr>
            <w:r>
              <w:rPr>
                <w:rFonts w:ascii="宋体" w:hAnsi="宋体" w:cs="Arial"/>
                <w:b/>
                <w:szCs w:val="21"/>
              </w:rPr>
              <w:t>评标办法</w:t>
            </w:r>
          </w:p>
        </w:tc>
        <w:tc>
          <w:tcPr>
            <w:tcW w:w="6886" w:type="dxa"/>
            <w:tcBorders>
              <w:top w:val="single" w:color="auto" w:sz="4" w:space="0"/>
              <w:left w:val="single" w:color="auto" w:sz="4" w:space="0"/>
              <w:bottom w:val="single" w:color="auto" w:sz="4" w:space="0"/>
            </w:tcBorders>
            <w:vAlign w:val="center"/>
          </w:tcPr>
          <w:p>
            <w:pPr>
              <w:snapToGrid w:val="0"/>
              <w:spacing w:line="300" w:lineRule="auto"/>
              <w:jc w:val="left"/>
              <w:rPr>
                <w:rFonts w:ascii="宋体" w:hAnsi="宋体" w:cs="Arial"/>
                <w:b/>
                <w:szCs w:val="21"/>
              </w:rPr>
            </w:pPr>
            <w:r>
              <w:rPr>
                <w:rFonts w:ascii="宋体" w:hAnsi="宋体" w:cs="Arial"/>
                <w:b/>
                <w:szCs w:val="21"/>
              </w:rPr>
              <w:t>综合评分相等时，评标委员会依次按照以下优先顺序推荐中标候选人或确定中标人：</w:t>
            </w:r>
          </w:p>
          <w:p>
            <w:pPr>
              <w:snapToGrid w:val="0"/>
              <w:spacing w:line="300" w:lineRule="auto"/>
              <w:jc w:val="left"/>
              <w:rPr>
                <w:rFonts w:ascii="宋体" w:hAnsi="宋体" w:cs="Arial"/>
                <w:b/>
                <w:szCs w:val="21"/>
              </w:rPr>
            </w:pPr>
            <w:r>
              <w:rPr>
                <w:rFonts w:ascii="宋体" w:hAnsi="宋体" w:cs="Arial"/>
                <w:b/>
                <w:szCs w:val="21"/>
              </w:rPr>
              <w:t>（1）评标价低的</w:t>
            </w:r>
            <w:r>
              <w:rPr>
                <w:rFonts w:hint="eastAsia" w:ascii="宋体" w:hAnsi="宋体" w:cs="Arial"/>
                <w:b/>
                <w:szCs w:val="21"/>
              </w:rPr>
              <w:t>投标人</w:t>
            </w:r>
            <w:r>
              <w:rPr>
                <w:rFonts w:ascii="宋体" w:hAnsi="宋体" w:cs="Arial"/>
                <w:b/>
                <w:szCs w:val="21"/>
              </w:rPr>
              <w:t>优先</w:t>
            </w:r>
            <w:r>
              <w:rPr>
                <w:rFonts w:hint="eastAsia" w:ascii="宋体" w:hAnsi="宋体" w:cs="Arial"/>
                <w:b/>
                <w:szCs w:val="21"/>
              </w:rPr>
              <w:t>；</w:t>
            </w:r>
          </w:p>
          <w:p>
            <w:pPr>
              <w:snapToGrid w:val="0"/>
              <w:spacing w:line="300" w:lineRule="auto"/>
              <w:jc w:val="left"/>
              <w:rPr>
                <w:rFonts w:ascii="宋体" w:hAnsi="宋体" w:cs="Arial"/>
                <w:b/>
                <w:szCs w:val="21"/>
              </w:rPr>
            </w:pPr>
            <w:r>
              <w:rPr>
                <w:rFonts w:ascii="宋体" w:hAnsi="宋体" w:cs="Arial"/>
                <w:b/>
                <w:szCs w:val="21"/>
              </w:rPr>
              <w:t>（2）以评标时采用的信用等级较高的的投标人优先；</w:t>
            </w:r>
          </w:p>
          <w:p>
            <w:pPr>
              <w:spacing w:line="276" w:lineRule="auto"/>
              <w:ind w:right="113"/>
              <w:rPr>
                <w:rFonts w:ascii="宋体" w:hAnsi="宋体" w:cs="Arial"/>
                <w:b/>
                <w:szCs w:val="21"/>
              </w:rPr>
            </w:pPr>
            <w:r>
              <w:rPr>
                <w:rFonts w:ascii="宋体" w:hAnsi="宋体" w:cs="Arial"/>
                <w:b/>
                <w:szCs w:val="21"/>
              </w:rPr>
              <w:t>（3）</w:t>
            </w:r>
            <w:r>
              <w:rPr>
                <w:rFonts w:hint="eastAsia" w:ascii="宋体" w:hAnsi="宋体" w:cs="Arial"/>
                <w:b/>
                <w:szCs w:val="21"/>
              </w:rPr>
              <w:t>标书款交纳时间较早的优先；</w:t>
            </w:r>
            <w:r>
              <w:rPr>
                <w:rFonts w:ascii="宋体" w:hAnsi="宋体" w:cs="Arial"/>
                <w:b/>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1029" w:type="dxa"/>
            <w:tcBorders>
              <w:top w:val="single" w:color="auto" w:sz="4" w:space="0"/>
              <w:bottom w:val="single" w:color="auto" w:sz="4" w:space="0"/>
              <w:right w:val="single" w:color="auto" w:sz="4" w:space="0"/>
            </w:tcBorders>
            <w:vAlign w:val="center"/>
          </w:tcPr>
          <w:p>
            <w:pPr>
              <w:jc w:val="center"/>
              <w:rPr>
                <w:rFonts w:ascii="Arial" w:hAnsi="Arial" w:cs="Arial"/>
                <w:b/>
                <w:szCs w:val="21"/>
              </w:rPr>
            </w:pPr>
            <w:r>
              <w:rPr>
                <w:rFonts w:ascii="Arial" w:hAnsi="Arial" w:cs="Arial"/>
                <w:b/>
                <w:szCs w:val="21"/>
              </w:rPr>
              <w:t>2.1.1</w:t>
            </w:r>
          </w:p>
          <w:p>
            <w:pPr>
              <w:jc w:val="center"/>
              <w:rPr>
                <w:rFonts w:ascii="Arial" w:hAnsi="Arial" w:cs="Arial"/>
                <w:b/>
                <w:szCs w:val="21"/>
              </w:rPr>
            </w:pPr>
            <w:r>
              <w:rPr>
                <w:rFonts w:ascii="Arial" w:hAnsi="Arial" w:cs="Arial"/>
                <w:b/>
                <w:szCs w:val="21"/>
              </w:rPr>
              <w:t>2.1.3</w:t>
            </w:r>
          </w:p>
        </w:tc>
        <w:tc>
          <w:tcPr>
            <w:tcW w:w="1331" w:type="dxa"/>
            <w:tcBorders>
              <w:top w:val="single" w:color="auto" w:sz="4" w:space="0"/>
              <w:left w:val="nil"/>
              <w:bottom w:val="single" w:color="auto" w:sz="4" w:space="0"/>
              <w:right w:val="single" w:color="auto" w:sz="4" w:space="0"/>
            </w:tcBorders>
            <w:vAlign w:val="center"/>
          </w:tcPr>
          <w:p>
            <w:pPr>
              <w:spacing w:line="400" w:lineRule="atLeast"/>
              <w:jc w:val="center"/>
              <w:rPr>
                <w:rFonts w:ascii="Arial" w:hAnsi="Arial" w:cs="Arial"/>
                <w:b/>
                <w:szCs w:val="21"/>
              </w:rPr>
            </w:pPr>
            <w:r>
              <w:rPr>
                <w:rFonts w:hint="eastAsia" w:ascii="Arial" w:hAnsi="宋体" w:cs="Arial"/>
                <w:b/>
                <w:szCs w:val="21"/>
              </w:rPr>
              <w:t>形式评审与响应性评审标准（第一个信封）</w:t>
            </w:r>
          </w:p>
        </w:tc>
        <w:tc>
          <w:tcPr>
            <w:tcW w:w="6886" w:type="dxa"/>
            <w:tcBorders>
              <w:top w:val="single" w:color="auto" w:sz="4" w:space="0"/>
              <w:left w:val="single" w:color="auto" w:sz="4" w:space="0"/>
              <w:bottom w:val="single" w:color="auto" w:sz="4" w:space="0"/>
            </w:tcBorders>
            <w:vAlign w:val="center"/>
          </w:tcPr>
          <w:p>
            <w:pPr>
              <w:tabs>
                <w:tab w:val="left" w:pos="315"/>
                <w:tab w:val="left" w:pos="690"/>
              </w:tabs>
              <w:spacing w:line="300" w:lineRule="auto"/>
              <w:rPr>
                <w:rFonts w:ascii="宋体" w:hAnsi="宋体" w:cs="Arial"/>
                <w:b/>
              </w:rPr>
            </w:pPr>
            <w:r>
              <w:rPr>
                <w:rFonts w:ascii="宋体" w:hAnsi="宋体" w:cs="Arial"/>
                <w:b/>
              </w:rPr>
              <w:t>第一个信封（商务及技术文件）评审标准：</w:t>
            </w:r>
          </w:p>
          <w:p>
            <w:pPr>
              <w:tabs>
                <w:tab w:val="left" w:pos="315"/>
                <w:tab w:val="left" w:pos="690"/>
              </w:tabs>
              <w:spacing w:line="300" w:lineRule="auto"/>
              <w:rPr>
                <w:rFonts w:ascii="宋体" w:hAnsi="宋体" w:cs="Arial"/>
                <w:b/>
              </w:rPr>
            </w:pPr>
            <w:r>
              <w:rPr>
                <w:rFonts w:hint="eastAsia" w:ascii="宋体" w:hAnsi="宋体" w:cs="Arial"/>
                <w:b/>
              </w:rPr>
              <w:t>（1）投标文件按照招标文件规定的格式、内容填写，字迹清晰可辨：</w:t>
            </w:r>
          </w:p>
          <w:p>
            <w:pPr>
              <w:tabs>
                <w:tab w:val="left" w:pos="315"/>
                <w:tab w:val="left" w:pos="690"/>
              </w:tabs>
              <w:spacing w:line="300" w:lineRule="auto"/>
              <w:ind w:firstLine="190" w:firstLineChars="90"/>
              <w:rPr>
                <w:rFonts w:ascii="宋体" w:hAnsi="宋体" w:cs="Arial"/>
                <w:b/>
              </w:rPr>
            </w:pPr>
            <w:r>
              <w:rPr>
                <w:rFonts w:ascii="宋体" w:hAnsi="宋体" w:cs="Arial"/>
                <w:b/>
              </w:rPr>
              <w:t>a．投标函按招标文件规定填报了项目名称、标段号、补遗书编号（如有）、工期、工程质量要求及安全目标；</w:t>
            </w:r>
          </w:p>
          <w:p>
            <w:pPr>
              <w:tabs>
                <w:tab w:val="left" w:pos="315"/>
                <w:tab w:val="left" w:pos="690"/>
              </w:tabs>
              <w:spacing w:line="300" w:lineRule="auto"/>
              <w:ind w:firstLine="190" w:firstLineChars="90"/>
              <w:rPr>
                <w:rFonts w:ascii="宋体" w:hAnsi="宋体" w:cs="Arial"/>
                <w:b/>
              </w:rPr>
            </w:pPr>
            <w:r>
              <w:rPr>
                <w:rFonts w:ascii="宋体" w:hAnsi="宋体" w:cs="Arial"/>
                <w:b/>
              </w:rPr>
              <w:t xml:space="preserve">b．投标函附录的所有数据均符合招标文件规定； </w:t>
            </w:r>
          </w:p>
          <w:p>
            <w:pPr>
              <w:tabs>
                <w:tab w:val="left" w:pos="315"/>
                <w:tab w:val="left" w:pos="690"/>
              </w:tabs>
              <w:spacing w:line="300" w:lineRule="auto"/>
              <w:ind w:firstLine="190" w:firstLineChars="90"/>
              <w:rPr>
                <w:rFonts w:ascii="宋体" w:hAnsi="宋体" w:cs="Arial"/>
                <w:b/>
              </w:rPr>
            </w:pPr>
            <w:r>
              <w:rPr>
                <w:rFonts w:ascii="宋体" w:hAnsi="宋体" w:cs="Arial"/>
                <w:b/>
              </w:rPr>
              <w:t>c．投标文件组成齐全完整，内容均按规定填写。</w:t>
            </w:r>
          </w:p>
          <w:p>
            <w:pPr>
              <w:tabs>
                <w:tab w:val="left" w:pos="315"/>
              </w:tabs>
              <w:spacing w:line="300" w:lineRule="auto"/>
              <w:rPr>
                <w:rFonts w:ascii="宋体" w:hAnsi="宋体" w:cs="Arial"/>
                <w:b/>
              </w:rPr>
            </w:pPr>
            <w:r>
              <w:rPr>
                <w:rFonts w:ascii="宋体" w:hAnsi="宋体" w:cs="Arial"/>
                <w:b/>
              </w:rPr>
              <w:t>（2）投标文件上法定代表人或其委托代理人的签字、投标人的单位章盖章齐全，符合招标文件规定。</w:t>
            </w:r>
          </w:p>
          <w:p>
            <w:pPr>
              <w:tabs>
                <w:tab w:val="left" w:pos="315"/>
              </w:tabs>
              <w:spacing w:line="300" w:lineRule="auto"/>
              <w:rPr>
                <w:rFonts w:ascii="宋体" w:hAnsi="宋体" w:cs="Arial"/>
                <w:b/>
              </w:rPr>
            </w:pPr>
            <w:r>
              <w:rPr>
                <w:rFonts w:hint="eastAsia" w:ascii="宋体" w:hAnsi="宋体" w:cs="Arial"/>
                <w:b/>
              </w:rPr>
              <w:t>（3）与申请资格预审时比较，投标人发生合并、分立、破产等重大变化的，仍具备资格预审文件规定的相应资格条件且其投标未影响招标公正性（不适用）：</w:t>
            </w:r>
          </w:p>
          <w:p>
            <w:pPr>
              <w:tabs>
                <w:tab w:val="left" w:pos="315"/>
              </w:tabs>
              <w:spacing w:line="300" w:lineRule="auto"/>
              <w:rPr>
                <w:rFonts w:ascii="宋体" w:hAnsi="宋体" w:cs="Arial"/>
                <w:b/>
              </w:rPr>
            </w:pPr>
            <w:r>
              <w:rPr>
                <w:rFonts w:hint="eastAsia" w:ascii="宋体" w:hAnsi="宋体" w:cs="Arial"/>
                <w:b/>
              </w:rPr>
              <w:t>a.投标人应提供相关部门的合法批件及企业法人营业执照和资质证书等证件的副本变更记录复印件；</w:t>
            </w:r>
          </w:p>
          <w:p>
            <w:pPr>
              <w:tabs>
                <w:tab w:val="left" w:pos="315"/>
              </w:tabs>
              <w:spacing w:line="300" w:lineRule="auto"/>
              <w:rPr>
                <w:rFonts w:ascii="宋体" w:hAnsi="宋体" w:cs="Arial"/>
                <w:b/>
              </w:rPr>
            </w:pPr>
            <w:r>
              <w:rPr>
                <w:rFonts w:hint="eastAsia" w:ascii="宋体" w:hAnsi="宋体" w:cs="Arial"/>
                <w:b/>
              </w:rPr>
              <w:t>b.投标人仍然满足资格预审文件中规定的资格预审条件最低要求（资质、业绩、人员、信誉、财务等）；</w:t>
            </w:r>
          </w:p>
          <w:p>
            <w:pPr>
              <w:tabs>
                <w:tab w:val="left" w:pos="315"/>
              </w:tabs>
              <w:spacing w:line="300" w:lineRule="auto"/>
              <w:rPr>
                <w:rFonts w:ascii="宋体" w:hAnsi="宋体" w:cs="Arial"/>
                <w:b/>
              </w:rPr>
            </w:pPr>
            <w:r>
              <w:rPr>
                <w:rFonts w:hint="eastAsia" w:ascii="宋体" w:hAnsi="宋体" w:cs="Arial"/>
                <w:b/>
              </w:rPr>
              <w:t>c.与所投标段的其他投标人不存在控股、管理关系或单位负责人为同一人的情况；与招标人也不存在利害关系并可能影响招标公正性。</w:t>
            </w:r>
          </w:p>
          <w:p>
            <w:pPr>
              <w:tabs>
                <w:tab w:val="left" w:pos="315"/>
              </w:tabs>
              <w:spacing w:line="300" w:lineRule="auto"/>
              <w:rPr>
                <w:rFonts w:ascii="宋体" w:hAnsi="宋体" w:cs="Arial"/>
                <w:b/>
              </w:rPr>
            </w:pPr>
            <w:r>
              <w:rPr>
                <w:rFonts w:ascii="宋体" w:hAnsi="宋体" w:cs="Arial"/>
                <w:b/>
              </w:rPr>
              <w:t>（</w:t>
            </w:r>
            <w:r>
              <w:rPr>
                <w:rFonts w:hint="eastAsia" w:ascii="宋体" w:hAnsi="宋体" w:cs="Arial"/>
                <w:b/>
              </w:rPr>
              <w:t>4</w:t>
            </w:r>
            <w:r>
              <w:rPr>
                <w:rFonts w:ascii="宋体" w:hAnsi="宋体" w:cs="Arial"/>
                <w:b/>
              </w:rPr>
              <w:t>）投标人按照招标文件的规定提供了投标保证金：</w:t>
            </w:r>
          </w:p>
          <w:p>
            <w:pPr>
              <w:tabs>
                <w:tab w:val="left" w:pos="315"/>
                <w:tab w:val="left" w:pos="690"/>
              </w:tabs>
              <w:spacing w:line="300" w:lineRule="auto"/>
              <w:ind w:firstLine="190" w:firstLineChars="90"/>
              <w:rPr>
                <w:rFonts w:ascii="宋体" w:hAnsi="宋体" w:cs="Arial"/>
                <w:b/>
              </w:rPr>
            </w:pPr>
            <w:r>
              <w:rPr>
                <w:rFonts w:ascii="宋体" w:hAnsi="宋体" w:cs="Arial"/>
                <w:b/>
              </w:rPr>
              <w:t>a．投标保证金金额符合招标文件规定的金额，且投标保证金有效期不少于投标有效期；</w:t>
            </w:r>
          </w:p>
          <w:p>
            <w:pPr>
              <w:tabs>
                <w:tab w:val="left" w:pos="690"/>
                <w:tab w:val="left" w:pos="1980"/>
              </w:tabs>
              <w:spacing w:line="300" w:lineRule="auto"/>
              <w:ind w:firstLine="211" w:firstLineChars="100"/>
              <w:rPr>
                <w:rFonts w:ascii="宋体" w:hAnsi="宋体" w:cs="Arial"/>
                <w:b/>
              </w:rPr>
            </w:pPr>
            <w:r>
              <w:rPr>
                <w:rFonts w:ascii="宋体" w:hAnsi="宋体" w:cs="Arial"/>
                <w:b/>
              </w:rPr>
              <w:t xml:space="preserve">b．若投标保证金采用现金或支票形式提交，投标人应在递交投标文件截止时间之前，将投标保证金由投标人的基本账户转入招标人指定账户； </w:t>
            </w:r>
          </w:p>
          <w:p>
            <w:pPr>
              <w:tabs>
                <w:tab w:val="left" w:pos="315"/>
                <w:tab w:val="left" w:pos="690"/>
              </w:tabs>
              <w:spacing w:line="300" w:lineRule="auto"/>
              <w:ind w:firstLine="190" w:firstLineChars="90"/>
              <w:rPr>
                <w:rFonts w:ascii="宋体" w:hAnsi="宋体" w:cs="Arial"/>
                <w:b/>
              </w:rPr>
            </w:pPr>
            <w:r>
              <w:rPr>
                <w:rFonts w:ascii="宋体" w:hAnsi="宋体" w:cs="Arial"/>
                <w:b/>
              </w:rPr>
              <w:t>c．若投标保证金采用</w:t>
            </w:r>
            <w:r>
              <w:rPr>
                <w:rFonts w:hint="eastAsia" w:ascii="宋体" w:hAnsi="宋体" w:cs="Arial"/>
                <w:b/>
              </w:rPr>
              <w:t>电子保函（含含银行保函、保证保险、担保保函等）</w:t>
            </w:r>
            <w:r>
              <w:rPr>
                <w:rFonts w:ascii="宋体" w:hAnsi="宋体" w:cs="Arial"/>
                <w:b/>
              </w:rPr>
              <w:t>形式提交，</w:t>
            </w:r>
            <w:r>
              <w:rPr>
                <w:rFonts w:hint="eastAsia" w:ascii="宋体" w:hAnsi="宋体" w:cs="Arial"/>
                <w:b/>
              </w:rPr>
              <w:t>电子</w:t>
            </w:r>
            <w:r>
              <w:rPr>
                <w:rFonts w:ascii="宋体" w:hAnsi="宋体" w:cs="Arial"/>
                <w:b/>
              </w:rPr>
              <w:t>保函开具</w:t>
            </w:r>
            <w:r>
              <w:rPr>
                <w:rFonts w:hint="eastAsia" w:ascii="宋体" w:hAnsi="宋体" w:cs="Arial"/>
                <w:b/>
              </w:rPr>
              <w:t>的方式、保函有效期、提供的证明文件等</w:t>
            </w:r>
            <w:r>
              <w:rPr>
                <w:rFonts w:ascii="宋体" w:hAnsi="宋体" w:cs="Arial"/>
                <w:b/>
              </w:rPr>
              <w:t>均满足招标文件要求。</w:t>
            </w:r>
          </w:p>
          <w:p>
            <w:pPr>
              <w:tabs>
                <w:tab w:val="left" w:pos="315"/>
              </w:tabs>
              <w:spacing w:line="300" w:lineRule="auto"/>
              <w:rPr>
                <w:rFonts w:ascii="宋体" w:hAnsi="宋体" w:cs="Arial"/>
                <w:b/>
              </w:rPr>
            </w:pPr>
            <w:r>
              <w:rPr>
                <w:rFonts w:ascii="宋体" w:hAnsi="宋体" w:cs="Arial"/>
                <w:b/>
              </w:rPr>
              <w:t>（</w:t>
            </w:r>
            <w:r>
              <w:rPr>
                <w:rFonts w:hint="eastAsia" w:ascii="宋体" w:hAnsi="宋体" w:cs="Arial"/>
                <w:b/>
              </w:rPr>
              <w:t>5</w:t>
            </w:r>
            <w:r>
              <w:rPr>
                <w:rFonts w:ascii="宋体" w:hAnsi="宋体" w:cs="Arial"/>
                <w:b/>
              </w:rPr>
              <w:t>）投标人法定代表人授权委托代理人签署投标文件的，需提交授权委托书，且授权人和被授权人均在授权委托书上签名，未使用印章、签名章或其他电子制版签名代替。</w:t>
            </w:r>
          </w:p>
          <w:p>
            <w:pPr>
              <w:tabs>
                <w:tab w:val="left" w:pos="315"/>
              </w:tabs>
              <w:spacing w:line="300" w:lineRule="auto"/>
              <w:rPr>
                <w:rFonts w:ascii="宋体" w:hAnsi="宋体" w:cs="Arial"/>
                <w:b/>
              </w:rPr>
            </w:pPr>
            <w:r>
              <w:rPr>
                <w:rFonts w:ascii="宋体" w:hAnsi="宋体" w:cs="Arial"/>
                <w:b/>
              </w:rPr>
              <w:t>（</w:t>
            </w:r>
            <w:r>
              <w:rPr>
                <w:rFonts w:hint="eastAsia" w:ascii="宋体" w:hAnsi="宋体" w:cs="Arial"/>
                <w:b/>
              </w:rPr>
              <w:t>6</w:t>
            </w:r>
            <w:r>
              <w:rPr>
                <w:rFonts w:ascii="宋体" w:hAnsi="宋体" w:cs="Arial"/>
                <w:b/>
              </w:rPr>
              <w:t>）投标人法定代表人亲自签署投标文件的，提供了法定代表人身份证明，且法定代表人在法定代表人身份证明上签名，未使用印章、签名章或其他电子制版签名代替。</w:t>
            </w:r>
          </w:p>
          <w:p>
            <w:pPr>
              <w:tabs>
                <w:tab w:val="left" w:pos="315"/>
              </w:tabs>
              <w:spacing w:line="300" w:lineRule="auto"/>
              <w:rPr>
                <w:rFonts w:ascii="宋体" w:hAnsi="宋体" w:cs="Arial"/>
                <w:b/>
              </w:rPr>
            </w:pPr>
            <w:r>
              <w:rPr>
                <w:rFonts w:hint="eastAsia" w:ascii="宋体" w:hAnsi="宋体" w:cs="Arial"/>
                <w:b/>
              </w:rPr>
              <w:t xml:space="preserve">（7）投标人以联合体形式投标时，联合体满足招标文件的要求：       </w:t>
            </w:r>
          </w:p>
          <w:p>
            <w:pPr>
              <w:tabs>
                <w:tab w:val="left" w:pos="315"/>
              </w:tabs>
              <w:spacing w:line="300" w:lineRule="auto"/>
              <w:rPr>
                <w:rFonts w:ascii="宋体" w:hAnsi="宋体" w:cs="Arial"/>
                <w:b/>
              </w:rPr>
            </w:pPr>
            <w:r>
              <w:rPr>
                <w:rFonts w:hint="eastAsia" w:ascii="宋体" w:hAnsi="宋体" w:cs="Arial"/>
                <w:b/>
              </w:rPr>
              <w:t>投标人按照招标文件提供的格式签订了联合体协议书，明确各方承担连带责任，并明确了联合体牵头人；（不适用）</w:t>
            </w:r>
          </w:p>
          <w:p>
            <w:pPr>
              <w:tabs>
                <w:tab w:val="left" w:pos="315"/>
              </w:tabs>
              <w:spacing w:line="300" w:lineRule="auto"/>
              <w:rPr>
                <w:rFonts w:ascii="宋体" w:hAnsi="宋体" w:cs="Arial"/>
                <w:b/>
              </w:rPr>
            </w:pPr>
            <w:r>
              <w:rPr>
                <w:rFonts w:ascii="宋体" w:hAnsi="宋体" w:cs="Arial"/>
                <w:b/>
              </w:rPr>
              <w:t>（</w:t>
            </w:r>
            <w:r>
              <w:rPr>
                <w:rFonts w:hint="eastAsia" w:ascii="宋体" w:hAnsi="宋体" w:cs="Arial"/>
                <w:b/>
              </w:rPr>
              <w:t>8</w:t>
            </w:r>
            <w:r>
              <w:rPr>
                <w:rFonts w:ascii="宋体" w:hAnsi="宋体" w:cs="Arial"/>
                <w:b/>
              </w:rPr>
              <w:t>）投标人如有分包计划，符合招标文件第二章</w:t>
            </w:r>
            <w:r>
              <w:rPr>
                <w:rFonts w:hint="eastAsia" w:ascii="宋体" w:hAnsi="宋体" w:cs="Arial"/>
                <w:b/>
              </w:rPr>
              <w:t>“</w:t>
            </w:r>
            <w:r>
              <w:rPr>
                <w:rFonts w:ascii="宋体" w:hAnsi="宋体" w:cs="Arial"/>
                <w:b/>
              </w:rPr>
              <w:t>投标人须知</w:t>
            </w:r>
            <w:r>
              <w:rPr>
                <w:rFonts w:hint="eastAsia" w:ascii="宋体" w:hAnsi="宋体" w:cs="Arial"/>
                <w:b/>
              </w:rPr>
              <w:t>”</w:t>
            </w:r>
            <w:r>
              <w:rPr>
                <w:rFonts w:ascii="宋体" w:hAnsi="宋体" w:cs="Arial"/>
                <w:b/>
              </w:rPr>
              <w:t>第1.1</w:t>
            </w:r>
            <w:r>
              <w:rPr>
                <w:rFonts w:hint="eastAsia" w:ascii="宋体" w:hAnsi="宋体" w:cs="Arial"/>
                <w:b/>
              </w:rPr>
              <w:t>1</w:t>
            </w:r>
            <w:r>
              <w:rPr>
                <w:rFonts w:ascii="宋体" w:hAnsi="宋体" w:cs="Arial"/>
                <w:b/>
              </w:rPr>
              <w:t>款规定，且按招标文件第</w:t>
            </w:r>
            <w:r>
              <w:rPr>
                <w:rFonts w:hint="eastAsia" w:ascii="宋体" w:hAnsi="宋体" w:cs="Arial"/>
                <w:b/>
              </w:rPr>
              <w:t>九</w:t>
            </w:r>
            <w:r>
              <w:rPr>
                <w:rFonts w:ascii="宋体" w:hAnsi="宋体" w:cs="Arial"/>
                <w:b/>
              </w:rPr>
              <w:t>章</w:t>
            </w:r>
            <w:r>
              <w:rPr>
                <w:rFonts w:hint="eastAsia" w:ascii="宋体" w:hAnsi="宋体" w:cs="Arial"/>
                <w:b/>
              </w:rPr>
              <w:t>“</w:t>
            </w:r>
            <w:r>
              <w:rPr>
                <w:rFonts w:ascii="宋体" w:hAnsi="宋体" w:cs="Arial"/>
                <w:b/>
              </w:rPr>
              <w:t>投标文件格式</w:t>
            </w:r>
            <w:r>
              <w:rPr>
                <w:rFonts w:hint="eastAsia" w:ascii="宋体" w:hAnsi="宋体" w:cs="Arial"/>
                <w:b/>
              </w:rPr>
              <w:t>”</w:t>
            </w:r>
            <w:r>
              <w:rPr>
                <w:rFonts w:ascii="宋体" w:hAnsi="宋体" w:cs="Arial"/>
                <w:b/>
              </w:rPr>
              <w:t xml:space="preserve">的要求填写了 </w:t>
            </w:r>
            <w:r>
              <w:rPr>
                <w:rFonts w:hint="eastAsia" w:ascii="宋体" w:hAnsi="宋体" w:cs="Arial"/>
                <w:b/>
              </w:rPr>
              <w:t>“</w:t>
            </w:r>
            <w:r>
              <w:rPr>
                <w:rFonts w:ascii="宋体" w:hAnsi="宋体" w:cs="Arial"/>
                <w:b/>
              </w:rPr>
              <w:t>拟分包项目情况表</w:t>
            </w:r>
            <w:r>
              <w:rPr>
                <w:rFonts w:hint="eastAsia" w:ascii="宋体" w:hAnsi="宋体" w:cs="Arial"/>
                <w:b/>
              </w:rPr>
              <w:t>”</w:t>
            </w:r>
            <w:r>
              <w:rPr>
                <w:rFonts w:ascii="宋体" w:hAnsi="宋体" w:cs="Arial"/>
                <w:b/>
              </w:rPr>
              <w:t>。</w:t>
            </w:r>
            <w:r>
              <w:rPr>
                <w:rFonts w:hint="eastAsia" w:ascii="宋体" w:hAnsi="宋体" w:cs="Arial"/>
                <w:b/>
              </w:rPr>
              <w:t>（不适用）</w:t>
            </w:r>
          </w:p>
          <w:p>
            <w:pPr>
              <w:tabs>
                <w:tab w:val="left" w:pos="315"/>
              </w:tabs>
              <w:spacing w:line="300" w:lineRule="auto"/>
              <w:rPr>
                <w:rFonts w:ascii="宋体" w:hAnsi="宋体" w:cs="Arial"/>
                <w:b/>
              </w:rPr>
            </w:pPr>
            <w:r>
              <w:rPr>
                <w:rFonts w:ascii="宋体" w:hAnsi="宋体" w:cs="Arial"/>
                <w:b/>
              </w:rPr>
              <w:t>（</w:t>
            </w:r>
            <w:r>
              <w:rPr>
                <w:rFonts w:hint="eastAsia" w:ascii="宋体" w:hAnsi="宋体" w:cs="Arial"/>
                <w:b/>
              </w:rPr>
              <w:t>9</w:t>
            </w:r>
            <w:r>
              <w:rPr>
                <w:rFonts w:ascii="宋体" w:hAnsi="宋体" w:cs="Arial"/>
                <w:b/>
              </w:rPr>
              <w:t>）同一投标人未提交两个以上不同的投标文件，但招标文件要求提交备选投标的除外。</w:t>
            </w:r>
          </w:p>
          <w:p>
            <w:pPr>
              <w:tabs>
                <w:tab w:val="left" w:pos="315"/>
              </w:tabs>
              <w:spacing w:line="300" w:lineRule="auto"/>
              <w:rPr>
                <w:rFonts w:ascii="宋体" w:hAnsi="宋体" w:cs="Arial"/>
                <w:b/>
              </w:rPr>
            </w:pPr>
            <w:r>
              <w:rPr>
                <w:rFonts w:ascii="宋体" w:hAnsi="宋体" w:cs="Arial"/>
                <w:b/>
              </w:rPr>
              <w:t>（</w:t>
            </w:r>
            <w:r>
              <w:rPr>
                <w:rFonts w:hint="eastAsia" w:ascii="宋体" w:hAnsi="宋体" w:cs="Arial"/>
                <w:b/>
              </w:rPr>
              <w:t>10</w:t>
            </w:r>
            <w:r>
              <w:rPr>
                <w:rFonts w:ascii="宋体" w:hAnsi="宋体" w:cs="Arial"/>
                <w:b/>
              </w:rPr>
              <w:t>）投标文件中未出现有关投标报价的内容。</w:t>
            </w:r>
          </w:p>
          <w:p>
            <w:pPr>
              <w:tabs>
                <w:tab w:val="left" w:pos="315"/>
                <w:tab w:val="left" w:pos="690"/>
              </w:tabs>
              <w:spacing w:line="300" w:lineRule="auto"/>
              <w:rPr>
                <w:rFonts w:ascii="宋体" w:hAnsi="宋体" w:cs="Arial"/>
                <w:b/>
              </w:rPr>
            </w:pPr>
            <w:r>
              <w:rPr>
                <w:rFonts w:ascii="宋体" w:hAnsi="宋体" w:cs="Arial"/>
                <w:b/>
              </w:rPr>
              <w:t>（1</w:t>
            </w:r>
            <w:r>
              <w:rPr>
                <w:rFonts w:hint="eastAsia" w:ascii="宋体" w:hAnsi="宋体" w:cs="Arial"/>
                <w:b/>
              </w:rPr>
              <w:t>1</w:t>
            </w:r>
            <w:r>
              <w:rPr>
                <w:rFonts w:ascii="宋体" w:hAnsi="宋体" w:cs="Arial"/>
                <w:b/>
              </w:rPr>
              <w:t>）投标文件载明的招标项目完成期限未超过招标文件规定的时限。</w:t>
            </w:r>
          </w:p>
          <w:p>
            <w:pPr>
              <w:tabs>
                <w:tab w:val="left" w:pos="315"/>
                <w:tab w:val="left" w:pos="690"/>
              </w:tabs>
              <w:spacing w:line="300" w:lineRule="auto"/>
              <w:rPr>
                <w:rFonts w:ascii="宋体" w:hAnsi="宋体" w:cs="Arial"/>
                <w:b/>
              </w:rPr>
            </w:pPr>
            <w:r>
              <w:rPr>
                <w:rFonts w:ascii="宋体" w:hAnsi="宋体" w:cs="Arial"/>
                <w:b/>
              </w:rPr>
              <w:t>（1</w:t>
            </w:r>
            <w:r>
              <w:rPr>
                <w:rFonts w:hint="eastAsia" w:ascii="宋体" w:hAnsi="宋体" w:cs="Arial"/>
                <w:b/>
              </w:rPr>
              <w:t>2</w:t>
            </w:r>
            <w:r>
              <w:rPr>
                <w:rFonts w:ascii="宋体" w:hAnsi="宋体" w:cs="Arial"/>
                <w:b/>
              </w:rPr>
              <w:t>）</w:t>
            </w:r>
            <w:r>
              <w:rPr>
                <w:rFonts w:ascii="宋体" w:hAnsi="宋体" w:cs="Arial"/>
                <w:b/>
              </w:rPr>
              <w:tab/>
            </w:r>
            <w:r>
              <w:rPr>
                <w:rFonts w:ascii="宋体" w:hAnsi="宋体" w:cs="Arial"/>
                <w:b/>
              </w:rPr>
              <w:t>投标文件对招标文件的实质性要求和条件作出响应。</w:t>
            </w:r>
          </w:p>
          <w:p>
            <w:pPr>
              <w:tabs>
                <w:tab w:val="left" w:pos="315"/>
                <w:tab w:val="left" w:pos="690"/>
              </w:tabs>
              <w:spacing w:line="300" w:lineRule="auto"/>
              <w:rPr>
                <w:rFonts w:ascii="宋体" w:hAnsi="宋体" w:cs="Arial"/>
                <w:b/>
              </w:rPr>
            </w:pPr>
            <w:r>
              <w:rPr>
                <w:rFonts w:ascii="宋体" w:hAnsi="宋体" w:cs="Arial"/>
                <w:b/>
              </w:rPr>
              <w:t>（1</w:t>
            </w:r>
            <w:r>
              <w:rPr>
                <w:rFonts w:hint="eastAsia" w:ascii="宋体" w:hAnsi="宋体" w:cs="Arial"/>
                <w:b/>
              </w:rPr>
              <w:t>3</w:t>
            </w:r>
            <w:r>
              <w:rPr>
                <w:rFonts w:ascii="宋体" w:hAnsi="宋体" w:cs="Arial"/>
                <w:b/>
              </w:rPr>
              <w:t>）</w:t>
            </w:r>
            <w:r>
              <w:rPr>
                <w:rFonts w:ascii="宋体" w:hAnsi="宋体" w:cs="Arial"/>
                <w:b/>
              </w:rPr>
              <w:tab/>
            </w:r>
            <w:r>
              <w:rPr>
                <w:rFonts w:ascii="宋体" w:hAnsi="宋体" w:cs="Arial"/>
                <w:b/>
              </w:rPr>
              <w:t>权利义务符合招标文件规定：</w:t>
            </w:r>
          </w:p>
          <w:p>
            <w:pPr>
              <w:tabs>
                <w:tab w:val="left" w:pos="315"/>
                <w:tab w:val="left" w:pos="690"/>
              </w:tabs>
              <w:spacing w:line="300" w:lineRule="auto"/>
              <w:ind w:firstLine="190" w:firstLineChars="90"/>
              <w:rPr>
                <w:rFonts w:ascii="宋体" w:hAnsi="宋体" w:cs="Arial"/>
                <w:b/>
              </w:rPr>
            </w:pPr>
            <w:r>
              <w:rPr>
                <w:rFonts w:ascii="宋体" w:hAnsi="宋体" w:cs="Arial"/>
                <w:b/>
              </w:rPr>
              <w:t>a．投标人应接受招标文件规定的风险划分原则，未提出新的风险划分办法；</w:t>
            </w:r>
          </w:p>
          <w:p>
            <w:pPr>
              <w:tabs>
                <w:tab w:val="left" w:pos="315"/>
                <w:tab w:val="left" w:pos="690"/>
              </w:tabs>
              <w:spacing w:line="300" w:lineRule="auto"/>
              <w:ind w:firstLine="190" w:firstLineChars="90"/>
              <w:rPr>
                <w:rFonts w:ascii="宋体" w:hAnsi="宋体" w:cs="Arial"/>
                <w:b/>
              </w:rPr>
            </w:pPr>
            <w:r>
              <w:rPr>
                <w:rFonts w:ascii="宋体" w:hAnsi="宋体" w:cs="Arial"/>
                <w:b/>
              </w:rPr>
              <w:t xml:space="preserve">b．投标人未增加发包人的责任范围，或减少投标人义务； </w:t>
            </w:r>
          </w:p>
          <w:p>
            <w:pPr>
              <w:tabs>
                <w:tab w:val="left" w:pos="315"/>
                <w:tab w:val="left" w:pos="690"/>
              </w:tabs>
              <w:spacing w:line="300" w:lineRule="auto"/>
              <w:ind w:firstLine="190" w:firstLineChars="90"/>
              <w:rPr>
                <w:rFonts w:ascii="宋体" w:hAnsi="宋体" w:cs="Arial"/>
                <w:b/>
              </w:rPr>
            </w:pPr>
            <w:r>
              <w:rPr>
                <w:rFonts w:ascii="宋体" w:hAnsi="宋体" w:cs="Arial"/>
                <w:b/>
              </w:rPr>
              <w:t xml:space="preserve">c．投标人未提出不同的工程验收、计量、支付办法； </w:t>
            </w:r>
          </w:p>
          <w:p>
            <w:pPr>
              <w:tabs>
                <w:tab w:val="left" w:pos="315"/>
                <w:tab w:val="left" w:pos="690"/>
              </w:tabs>
              <w:spacing w:line="300" w:lineRule="auto"/>
              <w:ind w:firstLine="190" w:firstLineChars="90"/>
              <w:rPr>
                <w:rFonts w:ascii="宋体" w:hAnsi="宋体" w:cs="Arial"/>
                <w:b/>
              </w:rPr>
            </w:pPr>
            <w:r>
              <w:rPr>
                <w:rFonts w:ascii="宋体" w:hAnsi="宋体" w:cs="Arial"/>
                <w:b/>
              </w:rPr>
              <w:t xml:space="preserve">d．投标人对合同纠纷、事故处理办法未提出异议； </w:t>
            </w:r>
          </w:p>
          <w:p>
            <w:pPr>
              <w:tabs>
                <w:tab w:val="left" w:pos="315"/>
                <w:tab w:val="left" w:pos="690"/>
              </w:tabs>
              <w:spacing w:line="300" w:lineRule="auto"/>
              <w:ind w:firstLine="190" w:firstLineChars="90"/>
              <w:rPr>
                <w:rFonts w:ascii="宋体" w:hAnsi="宋体" w:cs="Arial"/>
                <w:b/>
              </w:rPr>
            </w:pPr>
            <w:r>
              <w:rPr>
                <w:rFonts w:ascii="宋体" w:hAnsi="宋体" w:cs="Arial"/>
                <w:b/>
              </w:rPr>
              <w:t>e．投标人在投标活动中无欺诈行为；</w:t>
            </w:r>
          </w:p>
          <w:p>
            <w:pPr>
              <w:tabs>
                <w:tab w:val="left" w:pos="315"/>
                <w:tab w:val="left" w:pos="690"/>
              </w:tabs>
              <w:spacing w:line="300" w:lineRule="auto"/>
              <w:ind w:firstLine="190" w:firstLineChars="90"/>
              <w:rPr>
                <w:rFonts w:ascii="宋体" w:hAnsi="宋体" w:cs="Arial"/>
                <w:b/>
              </w:rPr>
            </w:pPr>
            <w:r>
              <w:rPr>
                <w:rFonts w:ascii="宋体" w:hAnsi="宋体" w:cs="Arial"/>
                <w:b/>
              </w:rPr>
              <w:t>f．投标人未对合同条款有重要保留。</w:t>
            </w:r>
          </w:p>
          <w:p>
            <w:pPr>
              <w:tabs>
                <w:tab w:val="left" w:pos="315"/>
                <w:tab w:val="left" w:pos="690"/>
              </w:tabs>
              <w:spacing w:line="300" w:lineRule="auto"/>
              <w:rPr>
                <w:rFonts w:ascii="宋体" w:hAnsi="宋体" w:cs="Arial"/>
                <w:b/>
              </w:rPr>
            </w:pPr>
            <w:r>
              <w:rPr>
                <w:rFonts w:ascii="宋体" w:hAnsi="宋体" w:cs="Arial"/>
                <w:b/>
              </w:rPr>
              <w:t>第二个信封（</w:t>
            </w:r>
            <w:r>
              <w:rPr>
                <w:rFonts w:hint="eastAsia" w:ascii="宋体" w:hAnsi="宋体" w:cs="Arial"/>
                <w:b/>
              </w:rPr>
              <w:t>报价</w:t>
            </w:r>
            <w:r>
              <w:rPr>
                <w:rFonts w:ascii="宋体" w:hAnsi="宋体" w:cs="Arial"/>
                <w:b/>
              </w:rPr>
              <w:t>文件）评审标准：</w:t>
            </w:r>
          </w:p>
          <w:p>
            <w:pPr>
              <w:tabs>
                <w:tab w:val="left" w:pos="315"/>
                <w:tab w:val="left" w:pos="690"/>
              </w:tabs>
              <w:spacing w:line="300" w:lineRule="auto"/>
              <w:rPr>
                <w:rFonts w:ascii="宋体" w:hAnsi="宋体" w:cs="Arial"/>
                <w:b/>
              </w:rPr>
            </w:pPr>
            <w:r>
              <w:rPr>
                <w:rFonts w:ascii="宋体" w:hAnsi="宋体" w:cs="Arial"/>
                <w:b/>
              </w:rPr>
              <w:t>（1）投标文件按照招标文件规定的格式、内容填写，字迹清晰可</w:t>
            </w:r>
            <w:r>
              <w:rPr>
                <w:rFonts w:hint="eastAsia" w:ascii="宋体" w:hAnsi="宋体" w:cs="Arial"/>
                <w:b/>
              </w:rPr>
              <w:t>辨</w:t>
            </w:r>
            <w:r>
              <w:rPr>
                <w:rFonts w:ascii="宋体" w:hAnsi="宋体" w:cs="Arial"/>
                <w:b/>
              </w:rPr>
              <w:t>：</w:t>
            </w:r>
          </w:p>
          <w:p>
            <w:pPr>
              <w:tabs>
                <w:tab w:val="left" w:pos="315"/>
                <w:tab w:val="left" w:pos="690"/>
              </w:tabs>
              <w:spacing w:line="300" w:lineRule="auto"/>
              <w:ind w:firstLine="190" w:firstLineChars="90"/>
              <w:rPr>
                <w:rFonts w:ascii="宋体" w:hAnsi="宋体" w:cs="Arial"/>
                <w:b/>
              </w:rPr>
            </w:pPr>
            <w:r>
              <w:rPr>
                <w:rFonts w:ascii="宋体" w:hAnsi="宋体" w:cs="Arial"/>
                <w:b/>
              </w:rPr>
              <w:t>a．投标函按招标文件规定填报了项目名称、标段号、补遗书编号（如有）、投标价（包括大写金额和小写金额）；</w:t>
            </w:r>
          </w:p>
          <w:p>
            <w:pPr>
              <w:tabs>
                <w:tab w:val="left" w:pos="315"/>
                <w:tab w:val="left" w:pos="690"/>
              </w:tabs>
              <w:spacing w:line="300" w:lineRule="auto"/>
              <w:ind w:firstLine="190" w:firstLineChars="90"/>
              <w:rPr>
                <w:rFonts w:ascii="宋体" w:hAnsi="宋体" w:cs="Arial"/>
                <w:b/>
              </w:rPr>
            </w:pPr>
            <w:r>
              <w:rPr>
                <w:rFonts w:ascii="宋体" w:hAnsi="宋体" w:cs="Arial"/>
                <w:b/>
              </w:rPr>
              <w:t>b．</w:t>
            </w:r>
            <w:r>
              <w:rPr>
                <w:rFonts w:hint="eastAsia" w:ascii="宋体" w:hAnsi="宋体" w:cs="Arial"/>
                <w:b/>
              </w:rPr>
              <w:t>已</w:t>
            </w:r>
            <w:r>
              <w:rPr>
                <w:rFonts w:ascii="宋体" w:hAnsi="宋体" w:cs="Arial"/>
                <w:b/>
              </w:rPr>
              <w:t>标价工程量清单说明文字与招标文件规定一致，未进行实质性修改和删减；</w:t>
            </w:r>
          </w:p>
          <w:p>
            <w:pPr>
              <w:tabs>
                <w:tab w:val="left" w:pos="315"/>
                <w:tab w:val="left" w:pos="690"/>
              </w:tabs>
              <w:spacing w:line="300" w:lineRule="auto"/>
              <w:ind w:firstLine="190" w:firstLineChars="90"/>
              <w:rPr>
                <w:rFonts w:ascii="宋体" w:hAnsi="宋体" w:cs="Arial"/>
                <w:b/>
              </w:rPr>
            </w:pPr>
            <w:r>
              <w:rPr>
                <w:rFonts w:ascii="宋体" w:hAnsi="宋体" w:cs="Arial"/>
                <w:b/>
              </w:rPr>
              <w:t>c．投标文件组成齐全完整，内容均按规定填写。</w:t>
            </w:r>
          </w:p>
          <w:p>
            <w:pPr>
              <w:tabs>
                <w:tab w:val="left" w:pos="315"/>
              </w:tabs>
              <w:spacing w:line="300" w:lineRule="auto"/>
              <w:rPr>
                <w:rFonts w:ascii="宋体" w:hAnsi="宋体" w:cs="Arial"/>
                <w:b/>
              </w:rPr>
            </w:pPr>
            <w:r>
              <w:rPr>
                <w:rFonts w:ascii="宋体" w:hAnsi="宋体" w:cs="Arial"/>
                <w:b/>
              </w:rPr>
              <w:t>（2）投标文件上法定代表人或其委托代理人的签字、投标人的单位章盖章齐全，符合招标文件规定。</w:t>
            </w:r>
          </w:p>
          <w:p>
            <w:pPr>
              <w:tabs>
                <w:tab w:val="left" w:pos="315"/>
              </w:tabs>
              <w:spacing w:line="300" w:lineRule="auto"/>
              <w:rPr>
                <w:rFonts w:ascii="宋体" w:hAnsi="宋体" w:cs="Arial"/>
                <w:b/>
              </w:rPr>
            </w:pPr>
            <w:r>
              <w:rPr>
                <w:rFonts w:ascii="宋体" w:hAnsi="宋体" w:cs="Arial"/>
                <w:b/>
              </w:rPr>
              <w:t>（3）投标报价或调价函中的报价未超过招标文件设定的最高投标限价</w:t>
            </w:r>
            <w:r>
              <w:rPr>
                <w:rFonts w:hint="eastAsia" w:cs="Arial"/>
                <w:b/>
              </w:rPr>
              <w:t>且主要工程量清单子目单价未超过招标文件设定的最高子目限价</w:t>
            </w:r>
            <w:r>
              <w:rPr>
                <w:rFonts w:ascii="宋体" w:hAnsi="宋体" w:cs="Arial"/>
                <w:b/>
              </w:rPr>
              <w:t>（如有）。</w:t>
            </w:r>
          </w:p>
          <w:p>
            <w:pPr>
              <w:tabs>
                <w:tab w:val="left" w:pos="315"/>
              </w:tabs>
              <w:spacing w:line="300" w:lineRule="auto"/>
              <w:rPr>
                <w:rFonts w:ascii="宋体" w:hAnsi="宋体" w:cs="Arial"/>
                <w:b/>
              </w:rPr>
            </w:pPr>
            <w:r>
              <w:rPr>
                <w:rFonts w:ascii="宋体" w:hAnsi="宋体" w:cs="Arial"/>
                <w:b/>
              </w:rPr>
              <w:t>（4）投标报价或调价函中报价的大写金额能够确定具体数值。</w:t>
            </w:r>
          </w:p>
          <w:p>
            <w:pPr>
              <w:tabs>
                <w:tab w:val="left" w:pos="315"/>
              </w:tabs>
              <w:spacing w:line="300" w:lineRule="auto"/>
              <w:rPr>
                <w:rFonts w:ascii="宋体" w:hAnsi="宋体" w:cs="Arial"/>
                <w:b/>
              </w:rPr>
            </w:pPr>
            <w:r>
              <w:rPr>
                <w:rFonts w:ascii="宋体" w:hAnsi="宋体" w:cs="Arial"/>
                <w:b/>
              </w:rPr>
              <w:t>（5）同一投标人未提交两个以上不同的投标报价，但招标文件要求提交备选投标的除外。</w:t>
            </w:r>
          </w:p>
          <w:p>
            <w:pPr>
              <w:tabs>
                <w:tab w:val="left" w:pos="315"/>
              </w:tabs>
              <w:spacing w:line="300" w:lineRule="auto"/>
              <w:rPr>
                <w:rFonts w:ascii="宋体" w:hAnsi="宋体" w:cs="Arial"/>
                <w:b/>
              </w:rPr>
            </w:pPr>
            <w:r>
              <w:rPr>
                <w:rFonts w:ascii="宋体" w:hAnsi="宋体" w:cs="Arial"/>
                <w:b/>
              </w:rPr>
              <w:t>（6）投标人若提交调价函，调价函符合招标文件第二章</w:t>
            </w:r>
            <w:r>
              <w:rPr>
                <w:rFonts w:hint="eastAsia" w:ascii="宋体" w:hAnsi="宋体" w:cs="Arial"/>
                <w:b/>
              </w:rPr>
              <w:t>“</w:t>
            </w:r>
            <w:r>
              <w:rPr>
                <w:rFonts w:ascii="宋体" w:hAnsi="宋体" w:cs="Arial"/>
                <w:b/>
              </w:rPr>
              <w:t>投标人须知</w:t>
            </w:r>
            <w:r>
              <w:rPr>
                <w:rFonts w:hint="eastAsia" w:ascii="宋体" w:hAnsi="宋体" w:cs="Arial"/>
                <w:b/>
              </w:rPr>
              <w:t>”</w:t>
            </w:r>
            <w:r>
              <w:rPr>
                <w:rFonts w:ascii="宋体" w:hAnsi="宋体" w:cs="Arial"/>
                <w:b/>
              </w:rPr>
              <w:t>第3.2.6项要求。</w:t>
            </w:r>
          </w:p>
          <w:p>
            <w:pPr>
              <w:tabs>
                <w:tab w:val="left" w:pos="315"/>
              </w:tabs>
              <w:spacing w:line="300" w:lineRule="auto"/>
              <w:rPr>
                <w:rFonts w:ascii="宋体" w:hAnsi="宋体" w:cs="Arial"/>
                <w:b/>
              </w:rPr>
            </w:pPr>
            <w:r>
              <w:rPr>
                <w:rFonts w:ascii="宋体" w:hAnsi="宋体" w:cs="Arial"/>
                <w:b/>
              </w:rPr>
              <w:t>（7）投标人若填写工程量固化清单，填写完毕的工程量固化清单未对工程量固化清单电子文件中的数据、格式和运算定义进行修改；工程量固化清单中的投标报价和投标函大写金额报价一致。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029" w:type="dxa"/>
            <w:tcBorders>
              <w:top w:val="single" w:color="auto" w:sz="4" w:space="0"/>
              <w:bottom w:val="single" w:color="auto" w:sz="4" w:space="0"/>
              <w:right w:val="single" w:color="auto" w:sz="4" w:space="0"/>
            </w:tcBorders>
            <w:vAlign w:val="center"/>
          </w:tcPr>
          <w:p>
            <w:pPr>
              <w:snapToGrid w:val="0"/>
              <w:jc w:val="center"/>
              <w:rPr>
                <w:rFonts w:ascii="Arial" w:hAnsi="Arial" w:cs="Arial"/>
                <w:b/>
                <w:szCs w:val="21"/>
              </w:rPr>
            </w:pPr>
            <w:r>
              <w:rPr>
                <w:rFonts w:ascii="Arial" w:hAnsi="Arial" w:cs="Arial"/>
                <w:b/>
                <w:szCs w:val="21"/>
              </w:rPr>
              <w:t>2.1.2</w:t>
            </w:r>
          </w:p>
        </w:tc>
        <w:tc>
          <w:tcPr>
            <w:tcW w:w="1331" w:type="dxa"/>
            <w:tcBorders>
              <w:top w:val="single" w:color="auto" w:sz="4" w:space="0"/>
              <w:left w:val="nil"/>
              <w:bottom w:val="single" w:color="auto" w:sz="4" w:space="0"/>
              <w:right w:val="single" w:color="auto" w:sz="4" w:space="0"/>
            </w:tcBorders>
            <w:vAlign w:val="center"/>
          </w:tcPr>
          <w:p>
            <w:pPr>
              <w:snapToGrid w:val="0"/>
              <w:spacing w:line="300" w:lineRule="auto"/>
              <w:rPr>
                <w:rFonts w:ascii="Arial" w:hAnsi="Arial" w:cs="Arial"/>
                <w:b/>
                <w:szCs w:val="21"/>
              </w:rPr>
            </w:pPr>
            <w:r>
              <w:rPr>
                <w:rFonts w:hint="eastAsia" w:ascii="Arial" w:hAnsi="宋体" w:cs="Arial"/>
                <w:b/>
                <w:szCs w:val="21"/>
              </w:rPr>
              <w:t>资格评审标准（第一个信封）</w:t>
            </w:r>
          </w:p>
        </w:tc>
        <w:tc>
          <w:tcPr>
            <w:tcW w:w="6886" w:type="dxa"/>
            <w:tcBorders>
              <w:top w:val="single" w:color="auto" w:sz="4" w:space="0"/>
              <w:left w:val="single" w:color="auto" w:sz="4" w:space="0"/>
              <w:bottom w:val="single" w:color="auto" w:sz="4" w:space="0"/>
            </w:tcBorders>
            <w:vAlign w:val="center"/>
          </w:tcPr>
          <w:p>
            <w:pPr>
              <w:snapToGrid w:val="0"/>
              <w:spacing w:line="300" w:lineRule="auto"/>
              <w:rPr>
                <w:rFonts w:ascii="宋体" w:hAnsi="宋体" w:cs="Arial"/>
                <w:b/>
                <w:szCs w:val="21"/>
              </w:rPr>
            </w:pPr>
            <w:r>
              <w:rPr>
                <w:rFonts w:ascii="宋体" w:hAnsi="宋体" w:cs="Arial"/>
                <w:b/>
                <w:szCs w:val="21"/>
              </w:rPr>
              <w:t>（1）投标人具备有效的营业执照、</w:t>
            </w:r>
            <w:r>
              <w:rPr>
                <w:rFonts w:hint="eastAsia" w:ascii="宋体" w:hAnsi="宋体" w:cs="Arial"/>
                <w:b/>
                <w:szCs w:val="21"/>
              </w:rPr>
              <w:t>组织机构代码证（或营业执照、组织机构代码证和税务登记证三证合一）、</w:t>
            </w:r>
            <w:r>
              <w:rPr>
                <w:rFonts w:ascii="宋体" w:hAnsi="宋体" w:cs="Arial"/>
                <w:b/>
                <w:szCs w:val="21"/>
              </w:rPr>
              <w:t>资质证书</w:t>
            </w:r>
            <w:r>
              <w:rPr>
                <w:rFonts w:hint="eastAsia" w:ascii="宋体" w:hAnsi="宋体" w:cs="Arial"/>
                <w:b/>
                <w:szCs w:val="21"/>
              </w:rPr>
              <w:t>和</w:t>
            </w:r>
            <w:r>
              <w:rPr>
                <w:rFonts w:ascii="宋体" w:hAnsi="宋体" w:cs="Arial"/>
                <w:b/>
                <w:szCs w:val="21"/>
              </w:rPr>
              <w:t>安全生产许可证</w:t>
            </w:r>
            <w:r>
              <w:rPr>
                <w:rFonts w:hint="eastAsia" w:ascii="宋体" w:hAnsi="宋体" w:cs="Arial"/>
                <w:b/>
                <w:szCs w:val="21"/>
              </w:rPr>
              <w:t>和基本帐户开户许可证（符合《关于试点取消企业银行账户开户许可证核发的通知》（银发〔</w:t>
            </w:r>
            <w:r>
              <w:rPr>
                <w:rFonts w:ascii="宋体" w:hAnsi="宋体" w:cs="Arial"/>
                <w:b/>
                <w:szCs w:val="21"/>
              </w:rPr>
              <w:t xml:space="preserve">2018〕125 </w:t>
            </w:r>
            <w:r>
              <w:rPr>
                <w:rFonts w:hint="eastAsia" w:ascii="宋体" w:hAnsi="宋体" w:cs="Arial"/>
                <w:b/>
                <w:szCs w:val="21"/>
              </w:rPr>
              <w:t>号）文件规定的试点地区的投标人，无须附基本账户《开户许可证》，但应附载有投标人名称、基本账户开户银行和银行账号信息的相关证明材料）。</w:t>
            </w:r>
          </w:p>
          <w:p>
            <w:pPr>
              <w:tabs>
                <w:tab w:val="left" w:pos="5950"/>
              </w:tabs>
              <w:snapToGrid w:val="0"/>
              <w:spacing w:line="300" w:lineRule="auto"/>
              <w:rPr>
                <w:rFonts w:ascii="宋体" w:hAnsi="宋体" w:cs="Arial"/>
                <w:b/>
                <w:szCs w:val="21"/>
              </w:rPr>
            </w:pPr>
            <w:r>
              <w:rPr>
                <w:rFonts w:ascii="宋体" w:hAnsi="宋体" w:cs="Arial"/>
                <w:b/>
                <w:szCs w:val="21"/>
              </w:rPr>
              <w:t>（2）投标人</w:t>
            </w:r>
            <w:r>
              <w:rPr>
                <w:rFonts w:hint="eastAsia" w:ascii="宋体" w:hAnsi="宋体" w:cs="Arial"/>
                <w:b/>
                <w:szCs w:val="21"/>
              </w:rPr>
              <w:t>的</w:t>
            </w:r>
            <w:r>
              <w:rPr>
                <w:rFonts w:ascii="宋体" w:hAnsi="宋体" w:cs="Arial"/>
                <w:b/>
                <w:szCs w:val="21"/>
              </w:rPr>
              <w:t>资质等级符合招标文件规定</w:t>
            </w:r>
            <w:r>
              <w:rPr>
                <w:rFonts w:hint="eastAsia" w:ascii="宋体" w:hAnsi="宋体" w:cs="Arial"/>
                <w:b/>
                <w:szCs w:val="21"/>
              </w:rPr>
              <w:t>。</w:t>
            </w:r>
          </w:p>
          <w:p>
            <w:pPr>
              <w:tabs>
                <w:tab w:val="left" w:pos="5950"/>
              </w:tabs>
              <w:snapToGrid w:val="0"/>
              <w:spacing w:line="300" w:lineRule="auto"/>
              <w:rPr>
                <w:rFonts w:ascii="宋体" w:hAnsi="宋体" w:cs="Arial"/>
                <w:b/>
                <w:szCs w:val="21"/>
              </w:rPr>
            </w:pPr>
            <w:r>
              <w:rPr>
                <w:rFonts w:ascii="宋体" w:hAnsi="宋体" w:cs="Arial"/>
                <w:b/>
                <w:szCs w:val="21"/>
              </w:rPr>
              <w:t>（3）投标人的财务状况符合招标文件规定</w:t>
            </w:r>
            <w:r>
              <w:rPr>
                <w:rFonts w:hint="eastAsia" w:ascii="宋体" w:hAnsi="宋体" w:cs="Arial"/>
                <w:b/>
                <w:szCs w:val="21"/>
              </w:rPr>
              <w:t>。</w:t>
            </w:r>
          </w:p>
          <w:p>
            <w:pPr>
              <w:tabs>
                <w:tab w:val="left" w:pos="5950"/>
              </w:tabs>
              <w:snapToGrid w:val="0"/>
              <w:spacing w:line="300" w:lineRule="auto"/>
              <w:rPr>
                <w:rFonts w:ascii="宋体" w:hAnsi="宋体" w:cs="Arial"/>
                <w:b/>
                <w:szCs w:val="21"/>
              </w:rPr>
            </w:pPr>
            <w:r>
              <w:rPr>
                <w:rFonts w:ascii="宋体" w:hAnsi="宋体" w:cs="Arial"/>
                <w:b/>
                <w:szCs w:val="21"/>
              </w:rPr>
              <w:t>（4）投标人的</w:t>
            </w:r>
            <w:r>
              <w:rPr>
                <w:rFonts w:hint="eastAsia" w:ascii="宋体" w:hAnsi="宋体" w:cs="Arial"/>
                <w:b/>
                <w:szCs w:val="21"/>
              </w:rPr>
              <w:t>类似项目业绩</w:t>
            </w:r>
            <w:r>
              <w:rPr>
                <w:rFonts w:ascii="宋体" w:hAnsi="宋体" w:cs="Arial"/>
                <w:b/>
                <w:szCs w:val="21"/>
              </w:rPr>
              <w:t>符合招标文件规定</w:t>
            </w:r>
            <w:r>
              <w:rPr>
                <w:rFonts w:hint="eastAsia" w:ascii="宋体" w:hAnsi="宋体" w:cs="Arial"/>
                <w:b/>
                <w:szCs w:val="21"/>
              </w:rPr>
              <w:t>（本项目不适用）。</w:t>
            </w:r>
          </w:p>
          <w:p>
            <w:pPr>
              <w:snapToGrid w:val="0"/>
              <w:spacing w:line="300" w:lineRule="auto"/>
              <w:rPr>
                <w:rFonts w:ascii="宋体" w:hAnsi="宋体" w:cs="Arial"/>
                <w:b/>
                <w:szCs w:val="21"/>
              </w:rPr>
            </w:pPr>
            <w:r>
              <w:rPr>
                <w:rFonts w:ascii="宋体" w:hAnsi="宋体" w:cs="Arial"/>
                <w:b/>
                <w:szCs w:val="21"/>
              </w:rPr>
              <w:t>（</w:t>
            </w:r>
            <w:r>
              <w:rPr>
                <w:rFonts w:hint="eastAsia" w:ascii="宋体" w:hAnsi="宋体" w:cs="Arial"/>
                <w:b/>
                <w:szCs w:val="21"/>
              </w:rPr>
              <w:t>5</w:t>
            </w:r>
            <w:r>
              <w:rPr>
                <w:rFonts w:ascii="宋体" w:hAnsi="宋体" w:cs="Arial"/>
                <w:b/>
                <w:szCs w:val="21"/>
              </w:rPr>
              <w:t>）投标人的信誉符合招标文件规定</w:t>
            </w:r>
            <w:r>
              <w:rPr>
                <w:rFonts w:hint="eastAsia" w:ascii="宋体" w:hAnsi="宋体" w:cs="Arial"/>
                <w:b/>
                <w:szCs w:val="21"/>
              </w:rPr>
              <w:t>。</w:t>
            </w:r>
          </w:p>
          <w:p>
            <w:pPr>
              <w:snapToGrid w:val="0"/>
              <w:spacing w:line="300" w:lineRule="auto"/>
              <w:rPr>
                <w:rFonts w:ascii="宋体" w:hAnsi="宋体" w:cs="Arial"/>
                <w:b/>
                <w:szCs w:val="21"/>
              </w:rPr>
            </w:pPr>
            <w:r>
              <w:rPr>
                <w:rFonts w:ascii="宋体" w:hAnsi="宋体" w:cs="Arial"/>
                <w:b/>
                <w:szCs w:val="21"/>
              </w:rPr>
              <w:t>（</w:t>
            </w:r>
            <w:r>
              <w:rPr>
                <w:rFonts w:hint="eastAsia" w:ascii="宋体" w:hAnsi="宋体" w:cs="Arial"/>
                <w:b/>
                <w:szCs w:val="21"/>
              </w:rPr>
              <w:t>6</w:t>
            </w:r>
            <w:r>
              <w:rPr>
                <w:rFonts w:ascii="宋体" w:hAnsi="宋体" w:cs="Arial"/>
                <w:b/>
                <w:szCs w:val="21"/>
              </w:rPr>
              <w:t>）投标人的项目经理和项目总工资格、在岗情况符合招标文件规定</w:t>
            </w:r>
            <w:r>
              <w:rPr>
                <w:rFonts w:hint="eastAsia" w:ascii="宋体" w:hAnsi="宋体" w:cs="Arial"/>
                <w:b/>
                <w:szCs w:val="21"/>
              </w:rPr>
              <w:t>。</w:t>
            </w:r>
          </w:p>
          <w:p>
            <w:pPr>
              <w:snapToGrid w:val="0"/>
              <w:spacing w:line="300" w:lineRule="auto"/>
              <w:rPr>
                <w:rFonts w:ascii="宋体" w:hAnsi="宋体" w:cs="Arial"/>
                <w:b/>
                <w:szCs w:val="21"/>
              </w:rPr>
            </w:pPr>
            <w:r>
              <w:rPr>
                <w:rFonts w:hint="eastAsia" w:ascii="宋体" w:hAnsi="宋体" w:cs="Arial"/>
                <w:b/>
                <w:szCs w:val="21"/>
              </w:rPr>
              <w:t>（7）投标人的其他要求符合招标文件规定（指主要机械设备和试验检测设备进行资格评审）</w:t>
            </w:r>
          </w:p>
          <w:p>
            <w:pPr>
              <w:snapToGrid w:val="0"/>
              <w:spacing w:line="300" w:lineRule="auto"/>
              <w:rPr>
                <w:rFonts w:ascii="宋体" w:hAnsi="宋体" w:cs="Arial"/>
                <w:b/>
                <w:szCs w:val="21"/>
              </w:rPr>
            </w:pPr>
            <w:r>
              <w:rPr>
                <w:rFonts w:ascii="宋体" w:hAnsi="宋体" w:cs="Arial"/>
                <w:b/>
                <w:szCs w:val="21"/>
              </w:rPr>
              <w:t>（</w:t>
            </w:r>
            <w:r>
              <w:rPr>
                <w:rFonts w:hint="eastAsia" w:ascii="宋体" w:hAnsi="宋体" w:cs="Arial"/>
                <w:b/>
                <w:szCs w:val="21"/>
              </w:rPr>
              <w:t>8</w:t>
            </w:r>
            <w:r>
              <w:rPr>
                <w:rFonts w:ascii="宋体" w:hAnsi="宋体" w:cs="Arial"/>
                <w:b/>
                <w:szCs w:val="21"/>
              </w:rPr>
              <w:t>）投标人不存在第二章</w:t>
            </w:r>
            <w:r>
              <w:rPr>
                <w:rFonts w:hint="eastAsia" w:ascii="宋体" w:hAnsi="宋体" w:cs="Arial"/>
                <w:b/>
                <w:szCs w:val="21"/>
              </w:rPr>
              <w:t>“</w:t>
            </w:r>
            <w:r>
              <w:rPr>
                <w:rFonts w:ascii="宋体" w:hAnsi="宋体" w:cs="Arial"/>
                <w:b/>
                <w:szCs w:val="21"/>
              </w:rPr>
              <w:t>投标人须知</w:t>
            </w:r>
            <w:r>
              <w:rPr>
                <w:rFonts w:hint="eastAsia" w:ascii="宋体" w:hAnsi="宋体" w:cs="Arial"/>
                <w:b/>
                <w:szCs w:val="21"/>
              </w:rPr>
              <w:t>”</w:t>
            </w:r>
            <w:r>
              <w:rPr>
                <w:rFonts w:ascii="宋体" w:hAnsi="宋体" w:cs="Arial"/>
                <w:b/>
                <w:szCs w:val="21"/>
              </w:rPr>
              <w:t>第1.4.3项或第1.4.4项规定的任何一种情形</w:t>
            </w:r>
            <w:r>
              <w:rPr>
                <w:rFonts w:hint="eastAsia" w:ascii="宋体" w:hAnsi="宋体" w:cs="Arial"/>
                <w:b/>
                <w:szCs w:val="21"/>
              </w:rPr>
              <w:t>。</w:t>
            </w:r>
          </w:p>
          <w:p>
            <w:pPr>
              <w:snapToGrid w:val="0"/>
              <w:spacing w:line="300" w:lineRule="auto"/>
              <w:rPr>
                <w:rFonts w:ascii="Arial" w:hAnsi="Arial" w:cs="Arial"/>
                <w:b/>
                <w:bCs/>
                <w:szCs w:val="21"/>
              </w:rPr>
            </w:pPr>
            <w:r>
              <w:rPr>
                <w:rFonts w:ascii="宋体" w:hAnsi="宋体" w:cs="Arial"/>
                <w:b/>
                <w:szCs w:val="21"/>
              </w:rPr>
              <w:t>（</w:t>
            </w:r>
            <w:r>
              <w:rPr>
                <w:rFonts w:hint="eastAsia" w:ascii="宋体" w:hAnsi="宋体" w:cs="Arial"/>
                <w:b/>
                <w:szCs w:val="21"/>
              </w:rPr>
              <w:t>9</w:t>
            </w:r>
            <w:r>
              <w:rPr>
                <w:rFonts w:ascii="宋体" w:hAnsi="宋体" w:cs="Arial"/>
                <w:b/>
                <w:szCs w:val="21"/>
              </w:rPr>
              <w:t>）</w:t>
            </w:r>
            <w:r>
              <w:rPr>
                <w:rFonts w:hint="eastAsia" w:ascii="宋体" w:hAnsi="宋体"/>
                <w:b/>
                <w:szCs w:val="21"/>
              </w:rPr>
              <w:t>投标人符合第二章“投标人须知”第</w:t>
            </w:r>
            <w:r>
              <w:rPr>
                <w:rFonts w:ascii="宋体" w:hAnsi="宋体" w:cs="Arial"/>
                <w:b/>
                <w:szCs w:val="21"/>
              </w:rPr>
              <w:t>1.4.5</w:t>
            </w:r>
            <w:r>
              <w:rPr>
                <w:rFonts w:hint="eastAsia" w:ascii="宋体" w:hAnsi="宋体"/>
                <w:b/>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1029"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r>
              <w:rPr>
                <w:rFonts w:ascii="宋体" w:hAnsi="宋体" w:cs="Arial"/>
              </w:rPr>
              <w:t>2.2.1</w:t>
            </w:r>
          </w:p>
        </w:tc>
        <w:tc>
          <w:tcPr>
            <w:tcW w:w="1331"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Arial"/>
              </w:rPr>
            </w:pPr>
            <w:r>
              <w:rPr>
                <w:rFonts w:ascii="宋体" w:hAnsi="宋体" w:cs="Arial"/>
              </w:rPr>
              <w:t>分值构成</w:t>
            </w:r>
          </w:p>
          <w:p>
            <w:pPr>
              <w:spacing w:line="400" w:lineRule="exact"/>
              <w:jc w:val="center"/>
              <w:rPr>
                <w:rFonts w:ascii="宋体" w:hAnsi="宋体" w:cs="Arial"/>
              </w:rPr>
            </w:pPr>
            <w:r>
              <w:rPr>
                <w:rFonts w:ascii="宋体" w:hAnsi="宋体" w:cs="Arial"/>
              </w:rPr>
              <w:t>（总分100分）</w:t>
            </w:r>
          </w:p>
        </w:tc>
        <w:tc>
          <w:tcPr>
            <w:tcW w:w="6886" w:type="dxa"/>
            <w:tcBorders>
              <w:top w:val="single" w:color="auto" w:sz="4" w:space="0"/>
              <w:left w:val="single" w:color="auto" w:sz="4" w:space="0"/>
              <w:bottom w:val="single" w:color="auto" w:sz="4" w:space="0"/>
            </w:tcBorders>
            <w:vAlign w:val="center"/>
          </w:tcPr>
          <w:p>
            <w:pPr>
              <w:spacing w:line="400" w:lineRule="exact"/>
              <w:rPr>
                <w:rFonts w:ascii="宋体" w:hAnsi="宋体" w:cs="Arial"/>
                <w:szCs w:val="21"/>
              </w:rPr>
            </w:pPr>
            <w:r>
              <w:rPr>
                <w:rFonts w:hint="eastAsia" w:ascii="宋体" w:hAnsi="宋体" w:cs="Arial"/>
                <w:szCs w:val="21"/>
              </w:rPr>
              <w:t>评标价：98分</w:t>
            </w:r>
          </w:p>
          <w:p>
            <w:pPr>
              <w:spacing w:line="400" w:lineRule="exact"/>
              <w:rPr>
                <w:rFonts w:ascii="宋体" w:hAnsi="宋体" w:cs="Arial"/>
                <w:szCs w:val="21"/>
              </w:rPr>
            </w:pPr>
            <w:r>
              <w:rPr>
                <w:rFonts w:hint="eastAsia" w:ascii="宋体" w:hAnsi="宋体" w:cs="Arial"/>
                <w:szCs w:val="21"/>
              </w:rPr>
              <w:t>信用得分：2分</w:t>
            </w:r>
          </w:p>
        </w:tc>
      </w:tr>
    </w:tbl>
    <w:p>
      <w:pPr>
        <w:rPr>
          <w:rFonts w:ascii="Arial" w:hAnsi="Arial" w:cs="Arial"/>
        </w:rPr>
      </w:pPr>
      <w:r>
        <w:rPr>
          <w:rFonts w:ascii="Arial" w:hAnsi="Arial" w:cs="Arial"/>
        </w:rPr>
        <w:br w:type="page"/>
      </w:r>
    </w:p>
    <w:tbl>
      <w:tblPr>
        <w:tblStyle w:val="9"/>
        <w:tblW w:w="9072"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47"/>
        <w:gridCol w:w="1579"/>
        <w:gridCol w:w="6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trPr>
        <w:tc>
          <w:tcPr>
            <w:tcW w:w="1047" w:type="dxa"/>
            <w:vAlign w:val="center"/>
          </w:tcPr>
          <w:p>
            <w:pPr>
              <w:jc w:val="center"/>
              <w:rPr>
                <w:rFonts w:ascii="Arial" w:hAnsi="Arial" w:cs="Arial"/>
              </w:rPr>
            </w:pPr>
            <w:r>
              <w:rPr>
                <w:rFonts w:hint="eastAsia" w:ascii="Arial" w:hAnsi="宋体" w:cs="Arial"/>
                <w:b/>
              </w:rPr>
              <w:t>条款号</w:t>
            </w:r>
          </w:p>
        </w:tc>
        <w:tc>
          <w:tcPr>
            <w:tcW w:w="1579" w:type="dxa"/>
            <w:vAlign w:val="center"/>
          </w:tcPr>
          <w:p>
            <w:pPr>
              <w:ind w:left="420" w:hanging="420"/>
              <w:jc w:val="center"/>
              <w:rPr>
                <w:rFonts w:ascii="Arial" w:hAnsi="Arial" w:cs="Arial"/>
                <w:b/>
              </w:rPr>
            </w:pPr>
            <w:r>
              <w:rPr>
                <w:rFonts w:hint="eastAsia" w:ascii="Arial" w:hAnsi="宋体" w:cs="Arial"/>
                <w:b/>
              </w:rPr>
              <w:t>条款内容</w:t>
            </w:r>
          </w:p>
        </w:tc>
        <w:tc>
          <w:tcPr>
            <w:tcW w:w="6446" w:type="dxa"/>
            <w:vAlign w:val="center"/>
          </w:tcPr>
          <w:p>
            <w:pPr>
              <w:jc w:val="center"/>
              <w:rPr>
                <w:rFonts w:ascii="Arial" w:hAnsi="Arial" w:cs="Arial"/>
                <w:b/>
              </w:rPr>
            </w:pPr>
            <w:r>
              <w:rPr>
                <w:rFonts w:hint="eastAsia" w:ascii="Arial" w:hAnsi="宋体" w:cs="Arial"/>
                <w:b/>
              </w:rPr>
              <w:t>编列内容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 w:hRule="atLeast"/>
        </w:trPr>
        <w:tc>
          <w:tcPr>
            <w:tcW w:w="1047" w:type="dxa"/>
            <w:vAlign w:val="center"/>
          </w:tcPr>
          <w:p>
            <w:pPr>
              <w:jc w:val="center"/>
              <w:rPr>
                <w:rFonts w:ascii="Arial" w:hAnsi="Arial" w:cs="Arial"/>
              </w:rPr>
            </w:pPr>
            <w:r>
              <w:rPr>
                <w:rFonts w:ascii="Arial" w:hAnsi="Arial" w:cs="Arial"/>
              </w:rPr>
              <w:t>2.2.1</w:t>
            </w:r>
          </w:p>
        </w:tc>
        <w:tc>
          <w:tcPr>
            <w:tcW w:w="1579" w:type="dxa"/>
            <w:vAlign w:val="center"/>
          </w:tcPr>
          <w:p>
            <w:pPr>
              <w:spacing w:line="288" w:lineRule="auto"/>
              <w:jc w:val="center"/>
              <w:rPr>
                <w:rFonts w:ascii="Arial" w:hAnsi="Arial" w:cs="Arial"/>
              </w:rPr>
            </w:pPr>
            <w:r>
              <w:rPr>
                <w:rFonts w:hint="eastAsia" w:ascii="Arial" w:hAnsi="宋体" w:cs="Arial"/>
              </w:rPr>
              <w:t>分值构成</w:t>
            </w:r>
          </w:p>
          <w:p>
            <w:pPr>
              <w:spacing w:line="288" w:lineRule="auto"/>
              <w:jc w:val="center"/>
              <w:rPr>
                <w:rFonts w:ascii="Arial" w:hAnsi="Arial" w:cs="Arial"/>
              </w:rPr>
            </w:pPr>
            <w:r>
              <w:rPr>
                <w:rFonts w:hint="eastAsia" w:ascii="Arial" w:hAnsi="宋体" w:cs="Arial"/>
              </w:rPr>
              <w:t>（总分</w:t>
            </w:r>
            <w:r>
              <w:rPr>
                <w:rFonts w:ascii="Arial" w:hAnsi="Arial" w:cs="Arial"/>
              </w:rPr>
              <w:t>100</w:t>
            </w:r>
            <w:r>
              <w:rPr>
                <w:rFonts w:hint="eastAsia" w:ascii="Arial" w:hAnsi="宋体" w:cs="Arial"/>
              </w:rPr>
              <w:t>分）</w:t>
            </w:r>
          </w:p>
        </w:tc>
        <w:tc>
          <w:tcPr>
            <w:tcW w:w="6446" w:type="dxa"/>
            <w:vAlign w:val="center"/>
          </w:tcPr>
          <w:p>
            <w:pPr>
              <w:spacing w:line="288" w:lineRule="auto"/>
              <w:rPr>
                <w:rFonts w:ascii="Arial" w:hAnsi="Arial" w:cs="Arial"/>
                <w:szCs w:val="21"/>
              </w:rPr>
            </w:pPr>
            <w:r>
              <w:rPr>
                <w:rFonts w:hint="eastAsia" w:ascii="Arial" w:hAnsi="宋体" w:cs="Arial"/>
                <w:szCs w:val="21"/>
              </w:rPr>
              <w:t>评标价：</w:t>
            </w:r>
            <w:r>
              <w:rPr>
                <w:rFonts w:ascii="Arial" w:hAnsi="Arial" w:cs="Arial"/>
                <w:szCs w:val="21"/>
              </w:rPr>
              <w:t>98</w:t>
            </w:r>
            <w:r>
              <w:rPr>
                <w:rFonts w:hint="eastAsia" w:ascii="Arial" w:hAnsi="宋体" w:cs="Arial"/>
                <w:szCs w:val="21"/>
              </w:rPr>
              <w:t>分</w:t>
            </w:r>
          </w:p>
          <w:p>
            <w:pPr>
              <w:spacing w:line="288" w:lineRule="auto"/>
              <w:rPr>
                <w:rFonts w:ascii="Arial" w:hAnsi="Arial" w:cs="Arial"/>
              </w:rPr>
            </w:pPr>
            <w:r>
              <w:rPr>
                <w:rFonts w:hint="eastAsia" w:ascii="Arial" w:hAnsi="宋体" w:cs="Arial"/>
                <w:szCs w:val="21"/>
              </w:rPr>
              <w:t>信用得分：</w:t>
            </w:r>
            <w:r>
              <w:rPr>
                <w:rFonts w:ascii="Arial" w:hAnsi="Arial" w:cs="Arial"/>
                <w:szCs w:val="21"/>
              </w:rPr>
              <w:t>2</w:t>
            </w:r>
            <w:r>
              <w:rPr>
                <w:rFonts w:hint="eastAsia" w:ascii="Arial" w:hAnsi="宋体" w:cs="Arial"/>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3" w:hRule="atLeast"/>
        </w:trPr>
        <w:tc>
          <w:tcPr>
            <w:tcW w:w="1047" w:type="dxa"/>
            <w:vAlign w:val="center"/>
          </w:tcPr>
          <w:p>
            <w:pPr>
              <w:jc w:val="center"/>
              <w:rPr>
                <w:rFonts w:ascii="Arial" w:hAnsi="Arial" w:cs="Arial"/>
              </w:rPr>
            </w:pPr>
            <w:r>
              <w:rPr>
                <w:rFonts w:ascii="Arial" w:hAnsi="Arial" w:cs="Arial"/>
              </w:rPr>
              <w:t>2.2.2</w:t>
            </w:r>
          </w:p>
        </w:tc>
        <w:tc>
          <w:tcPr>
            <w:tcW w:w="1579" w:type="dxa"/>
            <w:vAlign w:val="center"/>
          </w:tcPr>
          <w:p>
            <w:pPr>
              <w:spacing w:line="400" w:lineRule="exact"/>
              <w:rPr>
                <w:rFonts w:ascii="Arial" w:hAnsi="Arial" w:cs="Arial"/>
              </w:rPr>
            </w:pPr>
            <w:r>
              <w:rPr>
                <w:rFonts w:hint="eastAsia" w:ascii="Arial" w:hAnsi="宋体" w:cs="Arial"/>
              </w:rPr>
              <w:t>评标基准价计算方法</w:t>
            </w:r>
          </w:p>
        </w:tc>
        <w:tc>
          <w:tcPr>
            <w:tcW w:w="6446" w:type="dxa"/>
            <w:vAlign w:val="center"/>
          </w:tcPr>
          <w:p>
            <w:pPr>
              <w:tabs>
                <w:tab w:val="left" w:pos="510"/>
              </w:tabs>
              <w:spacing w:line="300" w:lineRule="auto"/>
              <w:rPr>
                <w:rFonts w:ascii="Arial" w:hAnsi="Arial" w:cs="Arial"/>
                <w:szCs w:val="21"/>
              </w:rPr>
            </w:pPr>
            <w:r>
              <w:rPr>
                <w:rFonts w:hint="eastAsia" w:ascii="Arial" w:hAnsi="宋体" w:cs="Arial"/>
                <w:szCs w:val="21"/>
              </w:rPr>
              <w:t>评标基准价的计算：</w:t>
            </w:r>
          </w:p>
          <w:p>
            <w:pPr>
              <w:tabs>
                <w:tab w:val="left" w:pos="510"/>
              </w:tabs>
              <w:spacing w:line="300" w:lineRule="auto"/>
              <w:ind w:firstLine="420" w:firstLineChars="200"/>
              <w:rPr>
                <w:rFonts w:ascii="Arial" w:hAnsi="Arial" w:cs="Arial"/>
                <w:szCs w:val="21"/>
              </w:rPr>
            </w:pPr>
            <w:r>
              <w:rPr>
                <w:rFonts w:hint="eastAsia" w:ascii="Arial" w:hAnsi="宋体" w:cs="Arial"/>
                <w:szCs w:val="21"/>
              </w:rPr>
              <w:t>第二个信封在开标现场，招标人将当场计算并宣布评标基准价。</w:t>
            </w:r>
          </w:p>
          <w:p>
            <w:pPr>
              <w:tabs>
                <w:tab w:val="left" w:pos="510"/>
              </w:tabs>
              <w:spacing w:line="300" w:lineRule="auto"/>
              <w:rPr>
                <w:rFonts w:ascii="Arial" w:hAnsi="Arial" w:cs="Arial"/>
                <w:szCs w:val="21"/>
              </w:rPr>
            </w:pPr>
            <w:r>
              <w:rPr>
                <w:rFonts w:hint="eastAsia" w:ascii="Arial" w:hAnsi="宋体" w:cs="Arial"/>
                <w:szCs w:val="21"/>
              </w:rPr>
              <w:t>（</w:t>
            </w:r>
            <w:r>
              <w:rPr>
                <w:rFonts w:ascii="Arial" w:hAnsi="Arial" w:cs="Arial"/>
                <w:szCs w:val="21"/>
              </w:rPr>
              <w:t>1</w:t>
            </w:r>
            <w:r>
              <w:rPr>
                <w:rFonts w:hint="eastAsia" w:ascii="Arial" w:hAnsi="宋体" w:cs="Arial"/>
                <w:szCs w:val="21"/>
              </w:rPr>
              <w:t>）评标价的确定：</w:t>
            </w:r>
          </w:p>
          <w:p>
            <w:pPr>
              <w:tabs>
                <w:tab w:val="left" w:pos="510"/>
              </w:tabs>
              <w:spacing w:line="300" w:lineRule="auto"/>
              <w:ind w:firstLine="420" w:firstLineChars="200"/>
              <w:rPr>
                <w:rFonts w:ascii="Arial" w:hAnsi="Arial" w:cs="Arial"/>
                <w:szCs w:val="21"/>
              </w:rPr>
            </w:pPr>
            <w:r>
              <w:rPr>
                <w:rFonts w:hint="eastAsia" w:ascii="Arial" w:hAnsi="宋体" w:cs="Arial"/>
                <w:szCs w:val="21"/>
              </w:rPr>
              <w:t>评标价</w:t>
            </w:r>
            <w:r>
              <w:rPr>
                <w:rFonts w:ascii="Arial" w:hAnsi="Arial" w:cs="Arial"/>
                <w:szCs w:val="21"/>
              </w:rPr>
              <w:t>=</w:t>
            </w:r>
            <w:r>
              <w:rPr>
                <w:rFonts w:hint="eastAsia" w:ascii="Arial" w:hAnsi="宋体" w:cs="Arial"/>
                <w:szCs w:val="21"/>
              </w:rPr>
              <w:t>投标函文字报价</w:t>
            </w:r>
          </w:p>
          <w:p>
            <w:pPr>
              <w:tabs>
                <w:tab w:val="left" w:pos="510"/>
              </w:tabs>
              <w:spacing w:line="300" w:lineRule="auto"/>
              <w:rPr>
                <w:rFonts w:ascii="Arial" w:hAnsi="Arial" w:cs="Arial"/>
                <w:szCs w:val="21"/>
              </w:rPr>
            </w:pPr>
            <w:r>
              <w:rPr>
                <w:rFonts w:hint="eastAsia" w:ascii="Arial" w:hAnsi="宋体" w:cs="Arial"/>
                <w:szCs w:val="21"/>
              </w:rPr>
              <w:t>（</w:t>
            </w:r>
            <w:r>
              <w:rPr>
                <w:rFonts w:ascii="Arial" w:hAnsi="Arial" w:cs="Arial"/>
                <w:szCs w:val="21"/>
              </w:rPr>
              <w:t>2</w:t>
            </w:r>
            <w:r>
              <w:rPr>
                <w:rFonts w:hint="eastAsia" w:ascii="Arial" w:hAnsi="宋体" w:cs="Arial"/>
                <w:szCs w:val="21"/>
              </w:rPr>
              <w:t>）评标基准价的计算：</w:t>
            </w:r>
          </w:p>
          <w:p>
            <w:pPr>
              <w:tabs>
                <w:tab w:val="left" w:pos="510"/>
              </w:tabs>
              <w:spacing w:line="300" w:lineRule="auto"/>
              <w:ind w:firstLine="420" w:firstLineChars="200"/>
            </w:pPr>
            <w:r>
              <w:rPr>
                <w:rFonts w:hint="eastAsia"/>
              </w:rPr>
              <w:t>招标人设置评标基准价下浮系数</w:t>
            </w:r>
            <w:r>
              <w:t>K</w:t>
            </w:r>
            <w:r>
              <w:rPr>
                <w:rFonts w:hint="eastAsia"/>
              </w:rPr>
              <w:t>，范围为</w:t>
            </w:r>
            <w:r>
              <w:t>0.5%</w:t>
            </w:r>
            <w:r>
              <w:rPr>
                <w:rFonts w:hint="eastAsia"/>
              </w:rPr>
              <w:t>～</w:t>
            </w:r>
            <w:r>
              <w:t>3%</w:t>
            </w:r>
            <w:r>
              <w:rPr>
                <w:rFonts w:hint="eastAsia"/>
              </w:rPr>
              <w:t>（步长</w:t>
            </w:r>
            <w:r>
              <w:t>0.5%</w:t>
            </w:r>
            <w:r>
              <w:rPr>
                <w:rFonts w:hint="eastAsia"/>
              </w:rPr>
              <w:t>），由投标人代表在第一信封开标现场随机抽取。</w:t>
            </w:r>
          </w:p>
          <w:p>
            <w:pPr>
              <w:tabs>
                <w:tab w:val="left" w:pos="510"/>
              </w:tabs>
              <w:spacing w:line="300" w:lineRule="auto"/>
              <w:ind w:firstLine="422" w:firstLineChars="200"/>
              <w:rPr>
                <w:rFonts w:ascii="Arial" w:hAnsi="Arial" w:cs="Arial"/>
                <w:b/>
                <w:szCs w:val="21"/>
              </w:rPr>
            </w:pPr>
            <w:r>
              <w:rPr>
                <w:rFonts w:hint="eastAsia" w:ascii="Arial" w:hAnsi="宋体" w:cs="Arial"/>
                <w:b/>
                <w:szCs w:val="21"/>
              </w:rPr>
              <w:t>评标基准价</w:t>
            </w:r>
            <w:r>
              <w:rPr>
                <w:rFonts w:ascii="Arial" w:hAnsi="Arial" w:cs="Arial"/>
                <w:b/>
                <w:szCs w:val="21"/>
              </w:rPr>
              <w:t>=B×</w:t>
            </w:r>
            <w:r>
              <w:rPr>
                <w:rFonts w:hint="eastAsia" w:ascii="Arial" w:hAnsi="宋体" w:cs="Arial"/>
                <w:b/>
                <w:szCs w:val="21"/>
              </w:rPr>
              <w:t>（</w:t>
            </w:r>
            <w:r>
              <w:rPr>
                <w:rFonts w:ascii="Arial" w:hAnsi="Arial" w:cs="Arial"/>
                <w:b/>
                <w:szCs w:val="21"/>
              </w:rPr>
              <w:t>1-K</w:t>
            </w:r>
            <w:r>
              <w:rPr>
                <w:rFonts w:hint="eastAsia" w:ascii="Arial" w:hAnsi="宋体" w:cs="Arial"/>
                <w:b/>
                <w:szCs w:val="21"/>
              </w:rPr>
              <w:t>）。</w:t>
            </w:r>
          </w:p>
          <w:p>
            <w:pPr>
              <w:tabs>
                <w:tab w:val="left" w:pos="510"/>
              </w:tabs>
              <w:spacing w:line="300" w:lineRule="auto"/>
              <w:ind w:firstLine="420" w:firstLineChars="200"/>
              <w:rPr>
                <w:rFonts w:ascii="Arial" w:hAnsi="Arial" w:cs="Arial"/>
                <w:b/>
                <w:szCs w:val="21"/>
              </w:rPr>
            </w:pPr>
            <w:r>
              <w:rPr>
                <w:rFonts w:ascii="Arial" w:hAnsi="Arial" w:cs="Arial"/>
                <w:szCs w:val="21"/>
              </w:rPr>
              <w:t>B</w:t>
            </w:r>
            <w:r>
              <w:rPr>
                <w:rFonts w:hint="eastAsia" w:ascii="Arial" w:hAnsi="宋体" w:cs="Arial"/>
                <w:szCs w:val="21"/>
              </w:rPr>
              <w:t>为按以下方式计算得出的值：</w:t>
            </w:r>
          </w:p>
          <w:p>
            <w:pPr>
              <w:tabs>
                <w:tab w:val="left" w:pos="510"/>
              </w:tabs>
              <w:spacing w:line="300" w:lineRule="auto"/>
              <w:ind w:firstLine="422" w:firstLineChars="200"/>
              <w:rPr>
                <w:rFonts w:ascii="宋体" w:hAnsi="宋体" w:cs="Arial"/>
                <w:szCs w:val="21"/>
              </w:rPr>
            </w:pPr>
            <w:r>
              <w:rPr>
                <w:rFonts w:hint="eastAsia" w:ascii="宋体" w:hAnsi="宋体" w:cs="Arial"/>
                <w:b/>
                <w:szCs w:val="21"/>
              </w:rPr>
              <w:t>有效投标</w:t>
            </w:r>
            <w:r>
              <w:rPr>
                <w:rFonts w:ascii="宋体" w:hAnsi="宋体" w:cs="Arial"/>
                <w:b/>
                <w:szCs w:val="21"/>
              </w:rPr>
              <w:t>价</w:t>
            </w:r>
            <w:r>
              <w:rPr>
                <w:rFonts w:hint="eastAsia" w:ascii="宋体" w:hAnsi="宋体" w:cs="Arial"/>
                <w:b/>
                <w:szCs w:val="21"/>
              </w:rPr>
              <w:t>：</w:t>
            </w:r>
            <w:r>
              <w:rPr>
                <w:rFonts w:ascii="宋体" w:hAnsi="宋体" w:cs="Arial"/>
                <w:szCs w:val="21"/>
              </w:rPr>
              <w:t>除</w:t>
            </w:r>
            <w:r>
              <w:rPr>
                <w:rFonts w:hint="eastAsia" w:ascii="宋体" w:hAnsi="宋体" w:cs="Arial"/>
                <w:szCs w:val="21"/>
              </w:rPr>
              <w:t>“</w:t>
            </w:r>
            <w:r>
              <w:rPr>
                <w:rFonts w:ascii="宋体" w:hAnsi="宋体" w:cs="Arial"/>
                <w:szCs w:val="21"/>
              </w:rPr>
              <w:t>投标人须知</w:t>
            </w:r>
            <w:r>
              <w:rPr>
                <w:rFonts w:hint="eastAsia" w:ascii="宋体" w:hAnsi="宋体" w:cs="Arial"/>
                <w:szCs w:val="21"/>
              </w:rPr>
              <w:t>”</w:t>
            </w:r>
            <w:r>
              <w:rPr>
                <w:rFonts w:ascii="宋体" w:hAnsi="宋体" w:cs="Arial"/>
                <w:szCs w:val="21"/>
              </w:rPr>
              <w:t>第5.2.</w:t>
            </w:r>
            <w:r>
              <w:rPr>
                <w:rFonts w:hint="eastAsia" w:ascii="宋体" w:hAnsi="宋体" w:cs="Arial"/>
                <w:szCs w:val="21"/>
              </w:rPr>
              <w:t>4</w:t>
            </w:r>
            <w:r>
              <w:rPr>
                <w:rFonts w:ascii="宋体" w:hAnsi="宋体" w:cs="Arial"/>
                <w:szCs w:val="21"/>
              </w:rPr>
              <w:t>条规定的开标现场不参与评标基准价计算的投标报价之外的投标报价（投标函文字报价）</w:t>
            </w:r>
            <w:r>
              <w:rPr>
                <w:rFonts w:hint="eastAsia" w:ascii="宋体" w:hAnsi="宋体" w:cs="Arial"/>
                <w:szCs w:val="21"/>
              </w:rPr>
              <w:t>。</w:t>
            </w:r>
          </w:p>
          <w:p>
            <w:pPr>
              <w:tabs>
                <w:tab w:val="left" w:pos="510"/>
              </w:tabs>
              <w:spacing w:line="300" w:lineRule="auto"/>
              <w:ind w:firstLine="420"/>
              <w:rPr>
                <w:rFonts w:ascii="Arial" w:hAnsi="Arial" w:cs="Arial"/>
                <w:szCs w:val="21"/>
              </w:rPr>
            </w:pPr>
            <w:r>
              <w:rPr>
                <w:rFonts w:hint="eastAsia" w:ascii="Arial" w:hAnsi="宋体" w:cs="Arial"/>
                <w:b/>
                <w:szCs w:val="21"/>
              </w:rPr>
              <w:t>将上述有效投标报价从高到低划分为（有效投标报价个数的</w:t>
            </w:r>
            <w:r>
              <w:rPr>
                <w:rFonts w:ascii="Arial" w:hAnsi="Arial" w:cs="Arial"/>
                <w:b/>
              </w:rPr>
              <w:t>1/3</w:t>
            </w:r>
            <w:r>
              <w:rPr>
                <w:rFonts w:hint="eastAsia" w:ascii="Arial" w:hAnsi="宋体" w:cs="Arial"/>
                <w:b/>
              </w:rPr>
              <w:t>，向上取整，如</w:t>
            </w:r>
            <w:r>
              <w:rPr>
                <w:rFonts w:ascii="Arial" w:hAnsi="Arial" w:cs="Arial"/>
                <w:b/>
              </w:rPr>
              <w:t>2.3333</w:t>
            </w:r>
            <w:r>
              <w:rPr>
                <w:rFonts w:hint="eastAsia" w:ascii="Arial" w:hAnsi="宋体" w:cs="Arial"/>
                <w:b/>
              </w:rPr>
              <w:t>取整为</w:t>
            </w:r>
            <w:r>
              <w:rPr>
                <w:rFonts w:ascii="Arial" w:hAnsi="Arial" w:cs="Arial"/>
                <w:b/>
              </w:rPr>
              <w:t>3</w:t>
            </w:r>
            <w:r>
              <w:rPr>
                <w:rFonts w:hint="eastAsia" w:ascii="Arial" w:hAnsi="宋体" w:cs="Arial"/>
                <w:b/>
                <w:szCs w:val="21"/>
              </w:rPr>
              <w:t>）个等差报价区间，</w:t>
            </w:r>
            <w:r>
              <w:rPr>
                <w:rFonts w:hint="eastAsia" w:ascii="Arial" w:hAnsi="宋体" w:cs="Arial"/>
                <w:szCs w:val="21"/>
              </w:rPr>
              <w:t>对各个区间内的投标报价进行第一次算术平均（保留小数点后两位，小数点后第三位</w:t>
            </w:r>
            <w:r>
              <w:rPr>
                <w:rFonts w:ascii="Arial" w:hAnsi="Arial" w:cs="Arial"/>
                <w:szCs w:val="21"/>
              </w:rPr>
              <w:t>“</w:t>
            </w:r>
            <w:r>
              <w:rPr>
                <w:rFonts w:hint="eastAsia" w:ascii="Arial" w:hAnsi="宋体" w:cs="Arial"/>
                <w:szCs w:val="21"/>
              </w:rPr>
              <w:t>四舍五入</w:t>
            </w:r>
            <w:r>
              <w:rPr>
                <w:rFonts w:ascii="Arial" w:hAnsi="Arial" w:cs="Arial"/>
                <w:szCs w:val="21"/>
              </w:rPr>
              <w:t>”</w:t>
            </w:r>
            <w:r>
              <w:rPr>
                <w:rFonts w:hint="eastAsia" w:ascii="Arial" w:hAnsi="宋体" w:cs="Arial"/>
                <w:szCs w:val="21"/>
              </w:rPr>
              <w:t>，当投标人的投标报价等于区间临界值时，列入较低一个区间计算平均值，最低投标报价列入较高一个区间计算平均值），然后再对各区间的第一次算术平均值进行第二次平均，所得出的平均值即为</w:t>
            </w:r>
            <w:r>
              <w:rPr>
                <w:rFonts w:ascii="Arial" w:hAnsi="Arial" w:cs="Arial"/>
                <w:szCs w:val="21"/>
              </w:rPr>
              <w:t>B</w:t>
            </w:r>
            <w:r>
              <w:rPr>
                <w:rFonts w:hint="eastAsia" w:ascii="Arial" w:hAnsi="宋体" w:cs="Arial"/>
                <w:szCs w:val="21"/>
              </w:rPr>
              <w:t>值（若某区间没有对应投标人的报价，则进行第二次算术平均时扣除相应区间的个数）。</w:t>
            </w:r>
          </w:p>
          <w:p>
            <w:pPr>
              <w:tabs>
                <w:tab w:val="left" w:pos="510"/>
              </w:tabs>
              <w:spacing w:line="300" w:lineRule="auto"/>
              <w:ind w:firstLine="422" w:firstLineChars="200"/>
              <w:rPr>
                <w:rFonts w:ascii="Arial" w:hAnsi="Arial" w:cs="Arial"/>
                <w:szCs w:val="21"/>
              </w:rPr>
            </w:pPr>
            <w:r>
              <w:rPr>
                <w:rFonts w:hint="eastAsia" w:ascii="Arial" w:hAnsi="宋体" w:cs="Arial"/>
                <w:b/>
                <w:szCs w:val="21"/>
              </w:rPr>
              <w:t>评标委员会可在计算评标基准价时可由招标代理机构或招标人辅助评标委员会计算评标基准价。</w:t>
            </w:r>
            <w:r>
              <w:rPr>
                <w:rFonts w:hint="eastAsia" w:ascii="Arial" w:hAnsi="宋体" w:cs="Arial"/>
                <w:szCs w:val="21"/>
              </w:rPr>
              <w:t>如果投标人认为评标基准价计算有误，有权在开标现场提出，经监标人当场核实确认之后，可重新宣布评标基准价。确认后的评标基准价在整个评标期间保持不变，不随通过初步评审和详细评审的投标人的数量发生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3" w:hRule="atLeast"/>
        </w:trPr>
        <w:tc>
          <w:tcPr>
            <w:tcW w:w="1047" w:type="dxa"/>
            <w:vAlign w:val="center"/>
          </w:tcPr>
          <w:p>
            <w:pPr>
              <w:jc w:val="center"/>
              <w:rPr>
                <w:rFonts w:ascii="Arial" w:hAnsi="Arial" w:cs="Arial"/>
              </w:rPr>
            </w:pPr>
            <w:r>
              <w:rPr>
                <w:rFonts w:ascii="Arial" w:hAnsi="Arial" w:cs="Arial"/>
              </w:rPr>
              <w:t>2.2.3</w:t>
            </w:r>
          </w:p>
        </w:tc>
        <w:tc>
          <w:tcPr>
            <w:tcW w:w="1579" w:type="dxa"/>
            <w:vAlign w:val="center"/>
          </w:tcPr>
          <w:p>
            <w:pPr>
              <w:rPr>
                <w:rFonts w:ascii="Arial" w:hAnsi="Arial" w:cs="Arial"/>
              </w:rPr>
            </w:pPr>
            <w:r>
              <w:rPr>
                <w:rFonts w:hint="eastAsia" w:ascii="Arial" w:hAnsi="宋体" w:cs="Arial"/>
              </w:rPr>
              <w:t>评标价的偏差率计算公式</w:t>
            </w:r>
          </w:p>
        </w:tc>
        <w:tc>
          <w:tcPr>
            <w:tcW w:w="6446" w:type="dxa"/>
            <w:vAlign w:val="center"/>
          </w:tcPr>
          <w:p>
            <w:pPr>
              <w:jc w:val="center"/>
              <w:rPr>
                <w:rFonts w:ascii="Arial" w:hAnsi="宋体" w:cs="Arial"/>
              </w:rPr>
            </w:pPr>
            <w:r>
              <w:rPr>
                <w:rFonts w:hint="eastAsia" w:ascii="Arial" w:hAnsi="宋体" w:cs="Arial"/>
              </w:rPr>
              <w:t>偏差率</w:t>
            </w:r>
            <w:r>
              <w:rPr>
                <w:rFonts w:ascii="Arial" w:hAnsi="Arial" w:cs="Arial"/>
              </w:rPr>
              <w:t>=100%×</w:t>
            </w:r>
            <w:r>
              <w:rPr>
                <w:rFonts w:hint="eastAsia" w:ascii="Arial" w:hAnsi="宋体" w:cs="Arial"/>
              </w:rPr>
              <w:t>（投标人评标价</w:t>
            </w:r>
            <w:r>
              <w:rPr>
                <w:rFonts w:ascii="Arial" w:hAnsi="Arial" w:cs="Arial"/>
              </w:rPr>
              <w:t>-</w:t>
            </w:r>
            <w:r>
              <w:rPr>
                <w:rFonts w:hint="eastAsia" w:ascii="Arial" w:hAnsi="宋体" w:cs="Arial"/>
              </w:rPr>
              <w:t>评标基准价）</w:t>
            </w:r>
            <w:r>
              <w:rPr>
                <w:rFonts w:ascii="Arial" w:hAnsi="Arial" w:cs="Arial"/>
              </w:rPr>
              <w:t>/</w:t>
            </w:r>
            <w:r>
              <w:rPr>
                <w:rFonts w:hint="eastAsia" w:ascii="Arial" w:hAnsi="宋体" w:cs="Arial"/>
              </w:rPr>
              <w:t>评标基准价</w:t>
            </w:r>
          </w:p>
          <w:p>
            <w:pPr>
              <w:jc w:val="center"/>
              <w:rPr>
                <w:rFonts w:ascii="Arial" w:hAnsi="Arial" w:cs="Arial"/>
              </w:rPr>
            </w:pPr>
            <w:r>
              <w:rPr>
                <w:rFonts w:hint="eastAsia" w:ascii="宋体" w:hAnsi="宋体" w:cs="Arial"/>
              </w:rPr>
              <w:t>注：</w:t>
            </w:r>
            <w:r>
              <w:rPr>
                <w:rFonts w:ascii="宋体" w:hAnsi="宋体" w:cs="Arial"/>
              </w:rPr>
              <w:t>偏差率保留</w:t>
            </w:r>
            <w:r>
              <w:rPr>
                <w:rFonts w:ascii="宋体" w:hAnsi="宋体" w:cs="Arial"/>
                <w:u w:val="single"/>
              </w:rPr>
              <w:t xml:space="preserve"> 2 </w:t>
            </w:r>
            <w:r>
              <w:rPr>
                <w:rFonts w:ascii="宋体" w:hAnsi="宋体" w:cs="Arial"/>
              </w:rPr>
              <w:t>位小数</w:t>
            </w:r>
            <w:r>
              <w:rPr>
                <w:rFonts w:hint="eastAsia" w:ascii="宋体" w:hAnsi="宋体" w:cs="Arial"/>
              </w:rPr>
              <w:t>，小数点后第三位四舍五入。</w:t>
            </w:r>
          </w:p>
        </w:tc>
      </w:tr>
    </w:tbl>
    <w:p>
      <w:pPr>
        <w:rPr>
          <w:rFonts w:ascii="宋体" w:hAnsi="宋体" w:cs="Arial"/>
        </w:rPr>
      </w:pPr>
    </w:p>
    <w:tbl>
      <w:tblPr>
        <w:tblStyle w:val="9"/>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9" w:type="dxa"/>
          <w:left w:w="74" w:type="dxa"/>
          <w:bottom w:w="29" w:type="dxa"/>
          <w:right w:w="74" w:type="dxa"/>
        </w:tblCellMar>
      </w:tblPr>
      <w:tblGrid>
        <w:gridCol w:w="891"/>
        <w:gridCol w:w="1559"/>
        <w:gridCol w:w="6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516" w:hRule="atLeast"/>
          <w:jc w:val="center"/>
        </w:trPr>
        <w:tc>
          <w:tcPr>
            <w:tcW w:w="891" w:type="dxa"/>
            <w:vAlign w:val="center"/>
          </w:tcPr>
          <w:p>
            <w:pPr>
              <w:snapToGrid w:val="0"/>
              <w:jc w:val="center"/>
              <w:rPr>
                <w:rFonts w:ascii="宋体" w:hAnsi="宋体"/>
                <w:szCs w:val="21"/>
              </w:rPr>
            </w:pPr>
            <w:r>
              <w:rPr>
                <w:rFonts w:ascii="宋体" w:hAnsi="宋体"/>
                <w:szCs w:val="21"/>
              </w:rPr>
              <w:t>条款号</w:t>
            </w:r>
          </w:p>
        </w:tc>
        <w:tc>
          <w:tcPr>
            <w:tcW w:w="1559" w:type="dxa"/>
            <w:vAlign w:val="center"/>
          </w:tcPr>
          <w:p>
            <w:pPr>
              <w:snapToGrid w:val="0"/>
              <w:jc w:val="center"/>
              <w:rPr>
                <w:rFonts w:ascii="宋体" w:hAnsi="宋体"/>
                <w:szCs w:val="21"/>
              </w:rPr>
            </w:pPr>
            <w:r>
              <w:rPr>
                <w:rFonts w:ascii="宋体" w:hAnsi="宋体"/>
                <w:szCs w:val="21"/>
              </w:rPr>
              <w:t>评分因素</w:t>
            </w:r>
          </w:p>
        </w:tc>
        <w:tc>
          <w:tcPr>
            <w:tcW w:w="6979" w:type="dxa"/>
            <w:vAlign w:val="center"/>
          </w:tcPr>
          <w:p>
            <w:pPr>
              <w:snapToGrid w:val="0"/>
              <w:jc w:val="center"/>
              <w:rPr>
                <w:rFonts w:ascii="宋体" w:hAnsi="宋体"/>
                <w:szCs w:val="21"/>
              </w:rPr>
            </w:pPr>
            <w:r>
              <w:rPr>
                <w:rFonts w:ascii="宋体"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jc w:val="center"/>
        </w:trPr>
        <w:tc>
          <w:tcPr>
            <w:tcW w:w="891" w:type="dxa"/>
            <w:vAlign w:val="center"/>
          </w:tcPr>
          <w:p>
            <w:pPr>
              <w:snapToGrid w:val="0"/>
              <w:jc w:val="center"/>
              <w:rPr>
                <w:rFonts w:ascii="宋体" w:hAnsi="宋体" w:cs="Arial"/>
                <w:szCs w:val="21"/>
              </w:rPr>
            </w:pPr>
            <w:r>
              <w:rPr>
                <w:rFonts w:ascii="宋体" w:hAnsi="宋体" w:cs="Arial"/>
                <w:szCs w:val="21"/>
              </w:rPr>
              <w:t>2.2.4（1）</w:t>
            </w:r>
          </w:p>
        </w:tc>
        <w:tc>
          <w:tcPr>
            <w:tcW w:w="1559" w:type="dxa"/>
            <w:vAlign w:val="center"/>
          </w:tcPr>
          <w:p>
            <w:pPr>
              <w:snapToGrid w:val="0"/>
              <w:jc w:val="center"/>
              <w:rPr>
                <w:rFonts w:ascii="宋体" w:hAnsi="宋体" w:cs="Arial"/>
                <w:szCs w:val="21"/>
              </w:rPr>
            </w:pPr>
            <w:r>
              <w:rPr>
                <w:rFonts w:ascii="宋体" w:hAnsi="宋体" w:cs="Arial"/>
                <w:szCs w:val="21"/>
              </w:rPr>
              <w:t>评标价</w:t>
            </w:r>
            <w:r>
              <w:rPr>
                <w:rFonts w:hint="eastAsia" w:ascii="宋体" w:hAnsi="宋体" w:cs="Arial"/>
                <w:szCs w:val="21"/>
              </w:rPr>
              <w:t>（P0）</w:t>
            </w:r>
          </w:p>
        </w:tc>
        <w:tc>
          <w:tcPr>
            <w:tcW w:w="6979" w:type="dxa"/>
            <w:vAlign w:val="center"/>
          </w:tcPr>
          <w:p>
            <w:pPr>
              <w:snapToGrid w:val="0"/>
              <w:rPr>
                <w:rFonts w:ascii="宋体" w:hAnsi="宋体" w:cs="Arial"/>
                <w:szCs w:val="21"/>
              </w:rPr>
            </w:pPr>
            <w:r>
              <w:rPr>
                <w:rFonts w:ascii="宋体" w:hAnsi="宋体" w:cs="Arial"/>
                <w:szCs w:val="21"/>
              </w:rPr>
              <w:t>98分</w:t>
            </w:r>
          </w:p>
          <w:p>
            <w:pPr>
              <w:snapToGrid w:val="0"/>
              <w:jc w:val="left"/>
              <w:rPr>
                <w:rFonts w:ascii="宋体" w:hAnsi="宋体" w:cs="Arial"/>
                <w:szCs w:val="21"/>
              </w:rPr>
            </w:pPr>
            <w:r>
              <w:rPr>
                <w:rFonts w:ascii="宋体" w:hAnsi="宋体" w:cs="Arial"/>
                <w:szCs w:val="21"/>
              </w:rPr>
              <w:t>（1）如果投标人的评标价＞评标基准价，则评标价得分=98-偏差率×100×E1；</w:t>
            </w:r>
          </w:p>
          <w:p>
            <w:pPr>
              <w:snapToGrid w:val="0"/>
              <w:ind w:right="113"/>
              <w:rPr>
                <w:rFonts w:ascii="宋体" w:hAnsi="宋体" w:cs="Arial"/>
                <w:szCs w:val="21"/>
              </w:rPr>
            </w:pPr>
            <w:r>
              <w:rPr>
                <w:rFonts w:ascii="宋体" w:hAnsi="宋体" w:cs="Arial"/>
                <w:szCs w:val="21"/>
              </w:rPr>
              <w:t>（2）如果投标人的评标价≤评标基准价，则评标价得分=98+偏差率×100×E2；</w:t>
            </w:r>
          </w:p>
          <w:p>
            <w:pPr>
              <w:snapToGrid w:val="0"/>
              <w:jc w:val="left"/>
              <w:rPr>
                <w:rFonts w:ascii="宋体" w:hAnsi="宋体" w:cs="Arial"/>
                <w:szCs w:val="21"/>
              </w:rPr>
            </w:pPr>
            <w:r>
              <w:rPr>
                <w:rFonts w:ascii="宋体" w:hAnsi="宋体" w:cs="Arial"/>
                <w:szCs w:val="21"/>
              </w:rPr>
              <w:t>其中：E1是评标价每高于评标基准价一个百分点的扣分值，E1=1；E2是评标价每低于评标基准价一个百分点的扣分值，E2=0.5。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2658" w:hRule="atLeast"/>
          <w:jc w:val="center"/>
        </w:trPr>
        <w:tc>
          <w:tcPr>
            <w:tcW w:w="891" w:type="dxa"/>
            <w:vAlign w:val="center"/>
          </w:tcPr>
          <w:p>
            <w:pPr>
              <w:snapToGrid w:val="0"/>
              <w:jc w:val="center"/>
              <w:rPr>
                <w:rFonts w:ascii="宋体" w:hAnsi="宋体" w:cs="Arial"/>
                <w:szCs w:val="21"/>
              </w:rPr>
            </w:pPr>
            <w:r>
              <w:rPr>
                <w:rFonts w:ascii="宋体" w:hAnsi="宋体" w:cs="Arial"/>
                <w:szCs w:val="21"/>
              </w:rPr>
              <w:t>2.2.4（2）</w:t>
            </w:r>
          </w:p>
        </w:tc>
        <w:tc>
          <w:tcPr>
            <w:tcW w:w="1559" w:type="dxa"/>
            <w:vAlign w:val="center"/>
          </w:tcPr>
          <w:p>
            <w:pPr>
              <w:snapToGrid w:val="0"/>
              <w:jc w:val="center"/>
              <w:rPr>
                <w:rFonts w:ascii="宋体" w:hAnsi="宋体" w:cs="Arial"/>
                <w:szCs w:val="21"/>
              </w:rPr>
            </w:pPr>
            <w:r>
              <w:rPr>
                <w:rFonts w:hint="eastAsia" w:ascii="宋体" w:hAnsi="宋体" w:cs="Arial"/>
                <w:szCs w:val="21"/>
              </w:rPr>
              <w:t>信用等级（G）</w:t>
            </w:r>
          </w:p>
        </w:tc>
        <w:tc>
          <w:tcPr>
            <w:tcW w:w="6979" w:type="dxa"/>
            <w:vAlign w:val="center"/>
          </w:tcPr>
          <w:p>
            <w:pPr>
              <w:snapToGrid w:val="0"/>
              <w:rPr>
                <w:rFonts w:ascii="宋体" w:hAnsi="宋体" w:cs="Arial"/>
                <w:szCs w:val="21"/>
              </w:rPr>
            </w:pPr>
            <w:r>
              <w:rPr>
                <w:rFonts w:hint="eastAsia" w:ascii="宋体" w:hAnsi="宋体" w:cs="Arial"/>
                <w:szCs w:val="21"/>
              </w:rPr>
              <w:t>2分</w:t>
            </w:r>
          </w:p>
          <w:p>
            <w:pPr>
              <w:snapToGrid w:val="0"/>
              <w:spacing w:line="280" w:lineRule="exact"/>
              <w:rPr>
                <w:rFonts w:ascii="宋体" w:hAnsi="宋体"/>
                <w:szCs w:val="21"/>
              </w:rPr>
            </w:pPr>
            <w:r>
              <w:rPr>
                <w:rFonts w:hint="eastAsia" w:ascii="宋体" w:hAnsi="宋体"/>
                <w:szCs w:val="21"/>
              </w:rPr>
              <w:t>（1）对投标人的信用等级的认定详见本项目招标公告。</w:t>
            </w:r>
          </w:p>
          <w:p>
            <w:pPr>
              <w:snapToGrid w:val="0"/>
              <w:spacing w:line="300" w:lineRule="auto"/>
              <w:rPr>
                <w:rFonts w:ascii="宋体" w:hAnsi="宋体" w:cs="Arial"/>
                <w:szCs w:val="21"/>
              </w:rPr>
            </w:pPr>
            <w:r>
              <w:rPr>
                <w:rFonts w:hint="eastAsia" w:ascii="宋体" w:hAnsi="宋体" w:cs="Arial"/>
                <w:szCs w:val="21"/>
              </w:rPr>
              <w:t>（2）</w:t>
            </w:r>
            <w:r>
              <w:rPr>
                <w:rFonts w:hint="eastAsia" w:ascii="宋体" w:hAnsi="宋体"/>
                <w:szCs w:val="21"/>
              </w:rPr>
              <w:t>评标加分或减分标准：</w:t>
            </w:r>
            <w:r>
              <w:rPr>
                <w:rFonts w:ascii="宋体" w:hAnsi="宋体" w:cs="Arial"/>
                <w:szCs w:val="21"/>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729"/>
              <w:gridCol w:w="746"/>
              <w:gridCol w:w="753"/>
              <w:gridCol w:w="758"/>
              <w:gridCol w:w="760"/>
              <w:gridCol w:w="76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4" w:type="dxa"/>
                  <w:vMerge w:val="restart"/>
                  <w:vAlign w:val="center"/>
                </w:tcPr>
                <w:p>
                  <w:pPr>
                    <w:spacing w:before="100" w:beforeAutospacing="1" w:after="100" w:afterAutospacing="1"/>
                    <w:jc w:val="center"/>
                    <w:rPr>
                      <w:rFonts w:ascii="宋体" w:hAnsi="宋体" w:cs="Arial"/>
                      <w:szCs w:val="21"/>
                    </w:rPr>
                  </w:pPr>
                  <w:r>
                    <w:rPr>
                      <w:rFonts w:ascii="宋体" w:hAnsi="宋体" w:cs="Arial"/>
                      <w:szCs w:val="21"/>
                    </w:rPr>
                    <w:t>最新信用等级</w:t>
                  </w:r>
                </w:p>
              </w:tc>
              <w:tc>
                <w:tcPr>
                  <w:tcW w:w="1475" w:type="dxa"/>
                  <w:gridSpan w:val="2"/>
                  <w:vAlign w:val="center"/>
                </w:tcPr>
                <w:p>
                  <w:pPr>
                    <w:spacing w:before="100" w:beforeAutospacing="1" w:after="100" w:afterAutospacing="1"/>
                    <w:jc w:val="center"/>
                    <w:rPr>
                      <w:rFonts w:ascii="宋体" w:hAnsi="宋体" w:cs="Arial"/>
                      <w:szCs w:val="21"/>
                    </w:rPr>
                  </w:pPr>
                  <w:r>
                    <w:rPr>
                      <w:rFonts w:ascii="宋体" w:hAnsi="宋体" w:cs="Arial"/>
                      <w:szCs w:val="21"/>
                    </w:rPr>
                    <w:t>AA</w:t>
                  </w:r>
                </w:p>
              </w:tc>
              <w:tc>
                <w:tcPr>
                  <w:tcW w:w="1511" w:type="dxa"/>
                  <w:gridSpan w:val="2"/>
                  <w:vAlign w:val="center"/>
                </w:tcPr>
                <w:p>
                  <w:pPr>
                    <w:spacing w:before="100" w:beforeAutospacing="1" w:after="100" w:afterAutospacing="1"/>
                    <w:jc w:val="center"/>
                    <w:rPr>
                      <w:rFonts w:ascii="宋体" w:hAnsi="宋体" w:cs="Arial"/>
                      <w:szCs w:val="21"/>
                    </w:rPr>
                  </w:pPr>
                  <w:r>
                    <w:rPr>
                      <w:rFonts w:ascii="宋体" w:hAnsi="宋体" w:cs="Arial"/>
                      <w:szCs w:val="21"/>
                    </w:rPr>
                    <w:t>A</w:t>
                  </w:r>
                </w:p>
              </w:tc>
              <w:tc>
                <w:tcPr>
                  <w:tcW w:w="760" w:type="dxa"/>
                  <w:vAlign w:val="center"/>
                </w:tcPr>
                <w:p>
                  <w:pPr>
                    <w:spacing w:before="100" w:beforeAutospacing="1" w:after="100" w:afterAutospacing="1"/>
                    <w:jc w:val="center"/>
                    <w:rPr>
                      <w:rFonts w:ascii="宋体" w:hAnsi="宋体" w:cs="Arial"/>
                      <w:szCs w:val="21"/>
                    </w:rPr>
                  </w:pPr>
                  <w:r>
                    <w:rPr>
                      <w:rFonts w:ascii="宋体" w:hAnsi="宋体" w:cs="Arial"/>
                      <w:szCs w:val="21"/>
                    </w:rPr>
                    <w:t>B</w:t>
                  </w:r>
                </w:p>
              </w:tc>
              <w:tc>
                <w:tcPr>
                  <w:tcW w:w="1522" w:type="dxa"/>
                  <w:gridSpan w:val="2"/>
                  <w:vAlign w:val="center"/>
                </w:tcPr>
                <w:p>
                  <w:pPr>
                    <w:spacing w:before="100" w:beforeAutospacing="1" w:after="100" w:afterAutospacing="1"/>
                    <w:jc w:val="center"/>
                    <w:rPr>
                      <w:rFonts w:ascii="宋体" w:hAnsi="宋体" w:cs="Arial"/>
                      <w:szCs w:val="21"/>
                    </w:rPr>
                  </w:pPr>
                  <w:r>
                    <w:rPr>
                      <w:rFonts w:ascii="宋体" w:hAnsi="宋体" w:cs="Arial"/>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54" w:type="dxa"/>
                  <w:vMerge w:val="continue"/>
                  <w:vAlign w:val="center"/>
                </w:tcPr>
                <w:p>
                  <w:pPr>
                    <w:spacing w:before="100" w:beforeAutospacing="1" w:after="100" w:afterAutospacing="1"/>
                    <w:jc w:val="center"/>
                    <w:rPr>
                      <w:rFonts w:ascii="宋体" w:hAnsi="宋体" w:cs="Arial"/>
                      <w:szCs w:val="21"/>
                    </w:rPr>
                  </w:pPr>
                </w:p>
              </w:tc>
              <w:tc>
                <w:tcPr>
                  <w:tcW w:w="729" w:type="dxa"/>
                  <w:vAlign w:val="center"/>
                </w:tcPr>
                <w:p>
                  <w:pPr>
                    <w:spacing w:before="100" w:beforeAutospacing="1" w:after="100" w:afterAutospacing="1"/>
                    <w:jc w:val="center"/>
                    <w:rPr>
                      <w:rFonts w:ascii="宋体" w:hAnsi="宋体" w:cs="Arial"/>
                      <w:szCs w:val="21"/>
                    </w:rPr>
                  </w:pPr>
                  <w:r>
                    <w:rPr>
                      <w:rFonts w:ascii="宋体" w:hAnsi="宋体" w:cs="Arial"/>
                      <w:szCs w:val="21"/>
                    </w:rPr>
                    <w:t>专业评价</w:t>
                  </w:r>
                </w:p>
              </w:tc>
              <w:tc>
                <w:tcPr>
                  <w:tcW w:w="746" w:type="dxa"/>
                  <w:vAlign w:val="center"/>
                </w:tcPr>
                <w:p>
                  <w:pPr>
                    <w:spacing w:before="100" w:beforeAutospacing="1" w:after="100" w:afterAutospacing="1"/>
                    <w:jc w:val="center"/>
                    <w:rPr>
                      <w:rFonts w:ascii="宋体" w:hAnsi="宋体" w:cs="Arial"/>
                      <w:szCs w:val="21"/>
                    </w:rPr>
                  </w:pPr>
                  <w:r>
                    <w:rPr>
                      <w:rFonts w:ascii="宋体" w:hAnsi="宋体" w:cs="Arial"/>
                      <w:szCs w:val="21"/>
                    </w:rPr>
                    <w:t>综合评价</w:t>
                  </w:r>
                </w:p>
              </w:tc>
              <w:tc>
                <w:tcPr>
                  <w:tcW w:w="753" w:type="dxa"/>
                  <w:vAlign w:val="center"/>
                </w:tcPr>
                <w:p>
                  <w:pPr>
                    <w:spacing w:before="100" w:beforeAutospacing="1" w:after="100" w:afterAutospacing="1"/>
                    <w:jc w:val="center"/>
                    <w:rPr>
                      <w:rFonts w:ascii="宋体" w:hAnsi="宋体" w:cs="Arial"/>
                      <w:szCs w:val="21"/>
                    </w:rPr>
                  </w:pPr>
                  <w:r>
                    <w:rPr>
                      <w:rFonts w:ascii="宋体" w:hAnsi="宋体" w:cs="Arial"/>
                      <w:szCs w:val="21"/>
                    </w:rPr>
                    <w:t>专业评价</w:t>
                  </w:r>
                </w:p>
              </w:tc>
              <w:tc>
                <w:tcPr>
                  <w:tcW w:w="758" w:type="dxa"/>
                  <w:vAlign w:val="center"/>
                </w:tcPr>
                <w:p>
                  <w:pPr>
                    <w:spacing w:before="100" w:beforeAutospacing="1" w:after="100" w:afterAutospacing="1"/>
                    <w:jc w:val="center"/>
                    <w:rPr>
                      <w:rFonts w:ascii="宋体" w:hAnsi="宋体" w:cs="Arial"/>
                      <w:szCs w:val="21"/>
                    </w:rPr>
                  </w:pPr>
                  <w:r>
                    <w:rPr>
                      <w:rFonts w:ascii="宋体" w:hAnsi="宋体" w:cs="Arial"/>
                      <w:szCs w:val="21"/>
                    </w:rPr>
                    <w:t>综合评价</w:t>
                  </w:r>
                </w:p>
              </w:tc>
              <w:tc>
                <w:tcPr>
                  <w:tcW w:w="760" w:type="dxa"/>
                  <w:vAlign w:val="center"/>
                </w:tcPr>
                <w:p>
                  <w:pPr>
                    <w:spacing w:before="100" w:beforeAutospacing="1" w:after="100" w:afterAutospacing="1"/>
                    <w:jc w:val="center"/>
                    <w:rPr>
                      <w:rFonts w:ascii="宋体" w:hAnsi="宋体" w:cs="Arial"/>
                      <w:szCs w:val="21"/>
                    </w:rPr>
                  </w:pPr>
                  <w:r>
                    <w:rPr>
                      <w:rFonts w:ascii="宋体" w:hAnsi="宋体" w:cs="Arial"/>
                      <w:szCs w:val="21"/>
                    </w:rPr>
                    <w:t>－</w:t>
                  </w:r>
                </w:p>
              </w:tc>
              <w:tc>
                <w:tcPr>
                  <w:tcW w:w="761" w:type="dxa"/>
                  <w:vAlign w:val="center"/>
                </w:tcPr>
                <w:p>
                  <w:pPr>
                    <w:spacing w:before="100" w:beforeAutospacing="1" w:after="100" w:afterAutospacing="1"/>
                    <w:jc w:val="center"/>
                    <w:rPr>
                      <w:rFonts w:ascii="宋体" w:hAnsi="宋体" w:cs="Arial"/>
                      <w:szCs w:val="21"/>
                    </w:rPr>
                  </w:pPr>
                  <w:r>
                    <w:rPr>
                      <w:rFonts w:ascii="宋体" w:hAnsi="宋体" w:cs="Arial"/>
                      <w:szCs w:val="21"/>
                    </w:rPr>
                    <w:t>专业评价</w:t>
                  </w:r>
                </w:p>
              </w:tc>
              <w:tc>
                <w:tcPr>
                  <w:tcW w:w="761" w:type="dxa"/>
                  <w:vAlign w:val="center"/>
                </w:tcPr>
                <w:p>
                  <w:pPr>
                    <w:spacing w:before="100" w:beforeAutospacing="1" w:after="100" w:afterAutospacing="1"/>
                    <w:jc w:val="center"/>
                    <w:rPr>
                      <w:rFonts w:ascii="宋体" w:hAnsi="宋体" w:cs="Arial"/>
                      <w:szCs w:val="21"/>
                    </w:rPr>
                  </w:pPr>
                  <w:r>
                    <w:rPr>
                      <w:rFonts w:ascii="宋体" w:hAnsi="宋体" w:cs="Arial"/>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spacing w:before="100" w:beforeAutospacing="1" w:after="100" w:afterAutospacing="1"/>
                    <w:jc w:val="center"/>
                    <w:rPr>
                      <w:rFonts w:ascii="宋体" w:hAnsi="宋体" w:cs="Arial"/>
                      <w:szCs w:val="21"/>
                    </w:rPr>
                  </w:pPr>
                  <w:r>
                    <w:rPr>
                      <w:rFonts w:ascii="宋体" w:hAnsi="宋体" w:cs="Arial"/>
                      <w:szCs w:val="21"/>
                    </w:rPr>
                    <w:t>取值</w:t>
                  </w:r>
                </w:p>
              </w:tc>
              <w:tc>
                <w:tcPr>
                  <w:tcW w:w="729" w:type="dxa"/>
                  <w:vAlign w:val="center"/>
                </w:tcPr>
                <w:p>
                  <w:pPr>
                    <w:spacing w:before="100" w:beforeAutospacing="1" w:after="100" w:afterAutospacing="1"/>
                    <w:jc w:val="center"/>
                    <w:rPr>
                      <w:rFonts w:ascii="宋体" w:hAnsi="宋体" w:cs="Arial"/>
                      <w:szCs w:val="21"/>
                    </w:rPr>
                  </w:pPr>
                  <w:r>
                    <w:rPr>
                      <w:rFonts w:ascii="宋体" w:hAnsi="宋体" w:cs="Arial"/>
                      <w:szCs w:val="21"/>
                    </w:rPr>
                    <w:t>+2.0</w:t>
                  </w:r>
                </w:p>
              </w:tc>
              <w:tc>
                <w:tcPr>
                  <w:tcW w:w="746" w:type="dxa"/>
                  <w:vAlign w:val="center"/>
                </w:tcPr>
                <w:p>
                  <w:pPr>
                    <w:spacing w:before="100" w:beforeAutospacing="1" w:after="100" w:afterAutospacing="1"/>
                    <w:jc w:val="center"/>
                    <w:rPr>
                      <w:rFonts w:ascii="宋体" w:hAnsi="宋体" w:cs="Arial"/>
                      <w:szCs w:val="21"/>
                    </w:rPr>
                  </w:pPr>
                  <w:r>
                    <w:rPr>
                      <w:rFonts w:ascii="宋体" w:hAnsi="宋体" w:cs="Arial"/>
                      <w:szCs w:val="21"/>
                    </w:rPr>
                    <w:t>+1.0</w:t>
                  </w:r>
                </w:p>
              </w:tc>
              <w:tc>
                <w:tcPr>
                  <w:tcW w:w="753" w:type="dxa"/>
                  <w:vAlign w:val="center"/>
                </w:tcPr>
                <w:p>
                  <w:pPr>
                    <w:spacing w:before="100" w:beforeAutospacing="1" w:after="100" w:afterAutospacing="1"/>
                    <w:jc w:val="center"/>
                    <w:rPr>
                      <w:rFonts w:ascii="宋体" w:hAnsi="宋体" w:cs="Arial"/>
                      <w:szCs w:val="21"/>
                    </w:rPr>
                  </w:pPr>
                  <w:r>
                    <w:rPr>
                      <w:rFonts w:ascii="宋体" w:hAnsi="宋体" w:cs="Arial"/>
                      <w:szCs w:val="21"/>
                    </w:rPr>
                    <w:t>+1.0</w:t>
                  </w:r>
                </w:p>
              </w:tc>
              <w:tc>
                <w:tcPr>
                  <w:tcW w:w="758" w:type="dxa"/>
                  <w:vAlign w:val="center"/>
                </w:tcPr>
                <w:p>
                  <w:pPr>
                    <w:spacing w:before="100" w:beforeAutospacing="1" w:after="100" w:afterAutospacing="1"/>
                    <w:jc w:val="center"/>
                    <w:rPr>
                      <w:rFonts w:ascii="宋体" w:hAnsi="宋体" w:cs="Arial"/>
                      <w:szCs w:val="21"/>
                    </w:rPr>
                  </w:pPr>
                  <w:r>
                    <w:rPr>
                      <w:rFonts w:ascii="宋体" w:hAnsi="宋体" w:cs="Arial"/>
                      <w:szCs w:val="21"/>
                    </w:rPr>
                    <w:t>+0.5</w:t>
                  </w:r>
                </w:p>
              </w:tc>
              <w:tc>
                <w:tcPr>
                  <w:tcW w:w="760" w:type="dxa"/>
                  <w:vAlign w:val="center"/>
                </w:tcPr>
                <w:p>
                  <w:pPr>
                    <w:spacing w:before="100" w:beforeAutospacing="1" w:after="100" w:afterAutospacing="1"/>
                    <w:jc w:val="center"/>
                    <w:rPr>
                      <w:rFonts w:ascii="宋体" w:hAnsi="宋体" w:cs="Arial"/>
                      <w:szCs w:val="21"/>
                    </w:rPr>
                  </w:pPr>
                  <w:r>
                    <w:rPr>
                      <w:rFonts w:ascii="宋体" w:hAnsi="宋体" w:cs="Arial"/>
                      <w:szCs w:val="21"/>
                    </w:rPr>
                    <w:t>0.0</w:t>
                  </w:r>
                </w:p>
              </w:tc>
              <w:tc>
                <w:tcPr>
                  <w:tcW w:w="761" w:type="dxa"/>
                  <w:vAlign w:val="center"/>
                </w:tcPr>
                <w:p>
                  <w:pPr>
                    <w:spacing w:before="100" w:beforeAutospacing="1" w:after="100" w:afterAutospacing="1"/>
                    <w:jc w:val="center"/>
                    <w:rPr>
                      <w:rFonts w:ascii="宋体" w:hAnsi="宋体" w:cs="Arial"/>
                      <w:szCs w:val="21"/>
                    </w:rPr>
                  </w:pPr>
                  <w:r>
                    <w:rPr>
                      <w:rFonts w:ascii="宋体" w:hAnsi="宋体" w:cs="Arial"/>
                      <w:szCs w:val="21"/>
                    </w:rPr>
                    <w:t>-2.0</w:t>
                  </w:r>
                </w:p>
              </w:tc>
              <w:tc>
                <w:tcPr>
                  <w:tcW w:w="761" w:type="dxa"/>
                  <w:vAlign w:val="center"/>
                </w:tcPr>
                <w:p>
                  <w:pPr>
                    <w:spacing w:before="100" w:beforeAutospacing="1" w:after="100" w:afterAutospacing="1"/>
                    <w:jc w:val="center"/>
                    <w:rPr>
                      <w:rFonts w:ascii="宋体" w:hAnsi="宋体" w:cs="Arial"/>
                      <w:szCs w:val="21"/>
                    </w:rPr>
                  </w:pPr>
                  <w:r>
                    <w:rPr>
                      <w:rFonts w:ascii="宋体" w:hAnsi="宋体" w:cs="Arial"/>
                      <w:szCs w:val="21"/>
                    </w:rPr>
                    <w:t>-1.0</w:t>
                  </w:r>
                </w:p>
              </w:tc>
            </w:tr>
          </w:tbl>
          <w:p>
            <w:pPr>
              <w:snapToGrid w:val="0"/>
              <w:jc w:val="left"/>
              <w:rPr>
                <w:rFonts w:ascii="宋体" w:hAnsi="宋体" w:cs="Arial"/>
                <w:strike/>
                <w:szCs w:val="21"/>
              </w:rPr>
            </w:pPr>
            <w:r>
              <w:rPr>
                <w:rFonts w:hint="eastAsia" w:ascii="宋体" w:hAnsi="宋体"/>
                <w:b/>
                <w:bCs/>
                <w:sz w:val="18"/>
                <w:szCs w:val="18"/>
              </w:rPr>
              <w:t>注：在引用上表时，非投标专业对应的专业评价视为综合评价。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jc w:val="center"/>
        </w:trPr>
        <w:tc>
          <w:tcPr>
            <w:tcW w:w="891" w:type="dxa"/>
            <w:vAlign w:val="center"/>
          </w:tcPr>
          <w:p>
            <w:pPr>
              <w:snapToGrid w:val="0"/>
              <w:jc w:val="center"/>
              <w:rPr>
                <w:rFonts w:ascii="宋体" w:hAnsi="宋体" w:cs="Arial"/>
                <w:szCs w:val="21"/>
              </w:rPr>
            </w:pPr>
            <w:r>
              <w:rPr>
                <w:rFonts w:hint="eastAsia" w:ascii="宋体" w:hAnsi="宋体" w:cs="Arial"/>
                <w:szCs w:val="21"/>
              </w:rPr>
              <w:t>2.2.4（3）</w:t>
            </w:r>
          </w:p>
        </w:tc>
        <w:tc>
          <w:tcPr>
            <w:tcW w:w="1559" w:type="dxa"/>
            <w:vAlign w:val="center"/>
          </w:tcPr>
          <w:p>
            <w:pPr>
              <w:snapToGrid w:val="0"/>
              <w:jc w:val="center"/>
              <w:rPr>
                <w:rFonts w:ascii="宋体" w:hAnsi="宋体" w:cs="Arial"/>
                <w:szCs w:val="21"/>
              </w:rPr>
            </w:pPr>
            <w:r>
              <w:rPr>
                <w:rFonts w:hint="eastAsia" w:ascii="宋体" w:hAnsi="宋体" w:cs="Arial"/>
                <w:szCs w:val="21"/>
              </w:rPr>
              <w:t>投标人得分（P）</w:t>
            </w:r>
          </w:p>
        </w:tc>
        <w:tc>
          <w:tcPr>
            <w:tcW w:w="6979" w:type="dxa"/>
            <w:vAlign w:val="center"/>
          </w:tcPr>
          <w:p>
            <w:pPr>
              <w:snapToGrid w:val="0"/>
              <w:rPr>
                <w:rFonts w:ascii="宋体" w:hAnsi="宋体" w:cs="Arial"/>
                <w:szCs w:val="21"/>
              </w:rPr>
            </w:pPr>
            <w:r>
              <w:rPr>
                <w:rFonts w:hint="eastAsia" w:ascii="宋体" w:hAnsi="宋体"/>
                <w:szCs w:val="21"/>
              </w:rPr>
              <w:t>评标得分（P）为投标人评标价得分（P0）与信用得分（G）之和，即：</w:t>
            </w:r>
          </w:p>
          <w:p>
            <w:pPr>
              <w:snapToGrid w:val="0"/>
              <w:rPr>
                <w:rFonts w:ascii="宋体" w:hAnsi="宋体" w:cs="Arial"/>
                <w:szCs w:val="21"/>
              </w:rPr>
            </w:pPr>
            <w:r>
              <w:rPr>
                <w:rFonts w:hint="eastAsia" w:ascii="宋体" w:hAnsi="宋体" w:cs="Arial"/>
                <w:szCs w:val="21"/>
              </w:rPr>
              <w:t>投标人得分P=P0+G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jc w:val="center"/>
        </w:trPr>
        <w:tc>
          <w:tcPr>
            <w:tcW w:w="9429" w:type="dxa"/>
            <w:gridSpan w:val="3"/>
            <w:vAlign w:val="center"/>
          </w:tcPr>
          <w:p>
            <w:pPr>
              <w:snapToGrid w:val="0"/>
              <w:spacing w:line="300" w:lineRule="auto"/>
              <w:rPr>
                <w:rFonts w:ascii="宋体" w:hAnsi="宋体" w:cs="Arial"/>
                <w:szCs w:val="21"/>
              </w:rPr>
            </w:pPr>
            <w:r>
              <w:rPr>
                <w:rFonts w:ascii="宋体" w:hAnsi="宋体" w:cs="Arial"/>
                <w:szCs w:val="21"/>
              </w:rPr>
              <w:t>需要补充的其他内容：</w:t>
            </w:r>
            <w:r>
              <w:rPr>
                <w:rFonts w:hint="eastAsia" w:ascii="宋体" w:hAnsi="宋体" w:cs="Arial"/>
                <w:szCs w:val="21"/>
              </w:rPr>
              <w:t xml:space="preserve"> </w:t>
            </w:r>
          </w:p>
          <w:p>
            <w:pPr>
              <w:spacing w:line="360" w:lineRule="exact"/>
              <w:ind w:firstLine="525" w:firstLineChars="250"/>
              <w:rPr>
                <w:rFonts w:ascii="宋体" w:hAnsi="宋体" w:cs="Arial"/>
                <w:szCs w:val="21"/>
              </w:rPr>
            </w:pPr>
            <w:r>
              <w:rPr>
                <w:rFonts w:hint="eastAsia" w:ascii="宋体" w:hAnsi="宋体" w:cs="Arial"/>
                <w:szCs w:val="21"/>
              </w:rPr>
              <w:t>1.评标委员会对满足招标文件实质性要求的投标文件，按照本章第2.2款规定的评分标准进行打分，并按综合得分由高到低顺序推荐中标候选人（评标过程中，若在同一个标段中由于投标文件被否决，导致有效投标人只有1个的情形时，该标段不再推荐中标候选人;若有效投标人仅为2个时，评标委员会应当对有效投标是否仍具有竞争性进行评审，如评标委员会一致认为有效投标仍具有竞争性的，应当继续推荐中标候选人，并在评标报告中予以说明,如评标委员会对有效投标是否仍具有竞争性无法达成一致意见的，应当否决该标段投标）。</w:t>
            </w:r>
          </w:p>
          <w:p>
            <w:pPr>
              <w:snapToGrid w:val="0"/>
              <w:spacing w:line="300" w:lineRule="auto"/>
              <w:ind w:firstLine="315" w:firstLineChars="150"/>
            </w:pPr>
          </w:p>
        </w:tc>
      </w:tr>
    </w:tbl>
    <w:p>
      <w:pPr>
        <w:rPr>
          <w:rFonts w:ascii="Arial" w:hAnsi="Arial" w:cs="Arial"/>
        </w:rPr>
      </w:pPr>
    </w:p>
    <w:p>
      <w:pPr>
        <w:rPr>
          <w:rFonts w:ascii="Arial" w:hAnsi="Arial" w:cs="Arial"/>
        </w:rPr>
      </w:pPr>
      <w:r>
        <w:rPr>
          <w:rFonts w:ascii="Arial" w:hAnsi="Arial" w:cs="Arial"/>
        </w:rPr>
        <w:br w:type="page"/>
      </w:r>
    </w:p>
    <w:p>
      <w:pPr>
        <w:spacing w:line="360" w:lineRule="auto"/>
        <w:rPr>
          <w:rFonts w:ascii="Arial" w:hAnsi="Arial" w:cs="Arial"/>
          <w:sz w:val="28"/>
          <w:szCs w:val="28"/>
        </w:rPr>
      </w:pPr>
      <w:r>
        <w:rPr>
          <w:rFonts w:ascii="Arial" w:hAnsi="Arial" w:cs="Arial"/>
          <w:sz w:val="28"/>
          <w:szCs w:val="28"/>
        </w:rPr>
        <w:t xml:space="preserve">1. </w:t>
      </w:r>
      <w:r>
        <w:rPr>
          <w:rFonts w:hint="eastAsia" w:ascii="Arial" w:hAnsi="宋体" w:cs="Arial"/>
          <w:sz w:val="28"/>
          <w:szCs w:val="28"/>
        </w:rPr>
        <w:t>评标方法</w:t>
      </w:r>
    </w:p>
    <w:p>
      <w:pPr>
        <w:spacing w:line="360" w:lineRule="auto"/>
        <w:ind w:firstLine="422" w:firstLineChars="200"/>
        <w:rPr>
          <w:rFonts w:ascii="Arial" w:hAnsi="宋体" w:cs="Arial"/>
          <w:szCs w:val="21"/>
        </w:rPr>
      </w:pPr>
      <w:r>
        <w:rPr>
          <w:rFonts w:hint="eastAsia" w:ascii="Arial" w:hAnsi="宋体" w:cs="Arial"/>
          <w:b/>
          <w:szCs w:val="21"/>
        </w:rPr>
        <w:t>本次评标采用合理低价法</w:t>
      </w:r>
      <w:r>
        <w:rPr>
          <w:rFonts w:hint="eastAsia" w:ascii="Arial" w:hAnsi="宋体" w:cs="Arial"/>
          <w:szCs w:val="21"/>
        </w:rPr>
        <w:t>。评标委员会对满足招标文件实质性要求的投标文件，按照本章第</w:t>
      </w:r>
      <w:r>
        <w:rPr>
          <w:rFonts w:ascii="Arial" w:hAnsi="Arial" w:cs="Arial"/>
          <w:szCs w:val="21"/>
        </w:rPr>
        <w:t>2.2</w:t>
      </w:r>
      <w:r>
        <w:rPr>
          <w:rFonts w:hint="eastAsia" w:ascii="Arial" w:hAnsi="宋体" w:cs="Arial"/>
          <w:szCs w:val="21"/>
        </w:rPr>
        <w:t>款规定的评分标准进行打分，并按得分由高到低顺序推荐中标候选人，或根据招标人授权直接确定中标人，但投标报价低于其成本的除外。综合得分相等时</w:t>
      </w:r>
      <w:r>
        <w:rPr>
          <w:rFonts w:hint="eastAsia" w:ascii="宋体" w:hAnsi="宋体"/>
          <w:szCs w:val="21"/>
        </w:rPr>
        <w:t>，评标委员会应按照评标办法前附表规定的优先次序推荐中标候选人或确定中标人</w:t>
      </w:r>
      <w:r>
        <w:rPr>
          <w:rFonts w:hint="eastAsia" w:ascii="Arial" w:hAnsi="宋体" w:cs="Arial"/>
          <w:szCs w:val="21"/>
        </w:rPr>
        <w:t>。</w:t>
      </w:r>
    </w:p>
    <w:p>
      <w:pPr>
        <w:spacing w:line="360" w:lineRule="auto"/>
        <w:ind w:firstLine="420" w:firstLineChars="200"/>
        <w:rPr>
          <w:rFonts w:ascii="Arial" w:hAnsi="Arial" w:cs="Arial"/>
          <w:szCs w:val="21"/>
        </w:rPr>
      </w:pPr>
    </w:p>
    <w:p>
      <w:pPr>
        <w:spacing w:line="360" w:lineRule="auto"/>
        <w:rPr>
          <w:rFonts w:ascii="Arial" w:hAnsi="Arial" w:cs="Arial"/>
          <w:sz w:val="28"/>
          <w:szCs w:val="28"/>
        </w:rPr>
      </w:pPr>
      <w:r>
        <w:rPr>
          <w:rFonts w:ascii="Arial" w:hAnsi="Arial" w:cs="Arial"/>
          <w:sz w:val="28"/>
          <w:szCs w:val="28"/>
        </w:rPr>
        <w:t xml:space="preserve">2. </w:t>
      </w:r>
      <w:r>
        <w:rPr>
          <w:rFonts w:hint="eastAsia" w:ascii="Arial" w:hAnsi="宋体" w:cs="Arial"/>
          <w:sz w:val="28"/>
          <w:szCs w:val="28"/>
        </w:rPr>
        <w:t>评审标准</w:t>
      </w:r>
    </w:p>
    <w:p>
      <w:pPr>
        <w:spacing w:line="360" w:lineRule="auto"/>
        <w:rPr>
          <w:rFonts w:ascii="Arial" w:hAnsi="Arial" w:cs="Arial"/>
        </w:rPr>
      </w:pPr>
      <w:r>
        <w:rPr>
          <w:rFonts w:ascii="Arial" w:hAnsi="Arial" w:cs="Arial"/>
        </w:rPr>
        <w:t xml:space="preserve">2.1 </w:t>
      </w:r>
      <w:r>
        <w:rPr>
          <w:rFonts w:hint="eastAsia" w:ascii="Arial" w:hAnsi="宋体" w:cs="Arial"/>
        </w:rPr>
        <w:t>初步评审标准</w:t>
      </w:r>
    </w:p>
    <w:p>
      <w:pPr>
        <w:spacing w:line="360" w:lineRule="auto"/>
        <w:ind w:firstLine="422" w:firstLineChars="200"/>
        <w:rPr>
          <w:rFonts w:ascii="Arial" w:hAnsi="Arial" w:cs="Arial"/>
          <w:szCs w:val="21"/>
        </w:rPr>
      </w:pPr>
      <w:r>
        <w:rPr>
          <w:rFonts w:ascii="Arial" w:hAnsi="Arial" w:cs="Arial"/>
          <w:b/>
          <w:szCs w:val="21"/>
        </w:rPr>
        <w:t>2.1.1</w:t>
      </w:r>
      <w:r>
        <w:rPr>
          <w:rFonts w:ascii="Arial" w:hAnsi="Arial" w:cs="Arial"/>
          <w:szCs w:val="21"/>
        </w:rPr>
        <w:t xml:space="preserve"> </w:t>
      </w:r>
      <w:r>
        <w:rPr>
          <w:rFonts w:hint="eastAsia" w:ascii="Arial" w:hAnsi="宋体" w:cs="Arial"/>
          <w:szCs w:val="21"/>
        </w:rPr>
        <w:t>形式评审标准：见评标办法前附表。</w:t>
      </w:r>
    </w:p>
    <w:p>
      <w:pPr>
        <w:spacing w:line="360" w:lineRule="auto"/>
        <w:ind w:firstLine="422" w:firstLineChars="200"/>
        <w:rPr>
          <w:rFonts w:ascii="Arial" w:hAnsi="Arial" w:cs="Arial"/>
          <w:szCs w:val="21"/>
        </w:rPr>
      </w:pPr>
      <w:r>
        <w:rPr>
          <w:rFonts w:ascii="Arial" w:hAnsi="Arial" w:cs="Arial"/>
          <w:b/>
          <w:szCs w:val="21"/>
        </w:rPr>
        <w:t>2.1.2</w:t>
      </w:r>
      <w:r>
        <w:rPr>
          <w:rFonts w:ascii="Arial" w:hAnsi="Arial" w:cs="Arial"/>
          <w:szCs w:val="21"/>
        </w:rPr>
        <w:t xml:space="preserve"> </w:t>
      </w:r>
      <w:r>
        <w:rPr>
          <w:rFonts w:hint="eastAsia" w:ascii="Arial" w:hAnsi="宋体" w:cs="Arial"/>
          <w:szCs w:val="21"/>
        </w:rPr>
        <w:t>资格评审标准：见评标办法前附表。</w:t>
      </w:r>
    </w:p>
    <w:p>
      <w:pPr>
        <w:spacing w:line="360" w:lineRule="auto"/>
        <w:ind w:firstLine="422" w:firstLineChars="200"/>
        <w:rPr>
          <w:rFonts w:ascii="Arial" w:hAnsi="Arial" w:cs="Arial"/>
          <w:szCs w:val="21"/>
        </w:rPr>
      </w:pPr>
      <w:r>
        <w:rPr>
          <w:rFonts w:ascii="Arial" w:hAnsi="Arial" w:cs="Arial"/>
          <w:b/>
          <w:szCs w:val="21"/>
        </w:rPr>
        <w:t>2.1.3</w:t>
      </w:r>
      <w:r>
        <w:rPr>
          <w:rFonts w:ascii="Arial" w:hAnsi="Arial" w:cs="Arial"/>
          <w:szCs w:val="21"/>
        </w:rPr>
        <w:t xml:space="preserve"> </w:t>
      </w:r>
      <w:r>
        <w:rPr>
          <w:rFonts w:hint="eastAsia" w:ascii="Arial" w:hAnsi="宋体" w:cs="Arial"/>
          <w:szCs w:val="21"/>
        </w:rPr>
        <w:t>响应性评审标准：见评标办法前附表。</w:t>
      </w:r>
    </w:p>
    <w:p>
      <w:pPr>
        <w:spacing w:line="360" w:lineRule="auto"/>
        <w:ind w:firstLine="480" w:firstLineChars="200"/>
        <w:rPr>
          <w:rFonts w:ascii="Arial" w:hAnsi="Arial" w:cs="Arial"/>
          <w:sz w:val="24"/>
        </w:rPr>
      </w:pPr>
    </w:p>
    <w:p>
      <w:pPr>
        <w:spacing w:line="360" w:lineRule="auto"/>
        <w:rPr>
          <w:rFonts w:ascii="宋体" w:hAnsi="宋体" w:cs="Arial"/>
          <w:b/>
          <w:sz w:val="28"/>
          <w:szCs w:val="28"/>
        </w:rPr>
      </w:pPr>
      <w:r>
        <w:rPr>
          <w:rFonts w:ascii="宋体" w:hAnsi="宋体" w:cs="Arial"/>
          <w:b/>
          <w:sz w:val="28"/>
          <w:szCs w:val="28"/>
        </w:rPr>
        <w:t xml:space="preserve">2.2 </w:t>
      </w:r>
      <w:r>
        <w:rPr>
          <w:rFonts w:hint="eastAsia" w:ascii="宋体" w:hAnsi="宋体" w:cs="Arial"/>
          <w:b/>
          <w:sz w:val="28"/>
          <w:szCs w:val="28"/>
        </w:rPr>
        <w:t>分值构成与评分标准</w:t>
      </w:r>
    </w:p>
    <w:p>
      <w:pPr>
        <w:spacing w:line="360" w:lineRule="auto"/>
        <w:ind w:firstLine="422" w:firstLineChars="200"/>
        <w:rPr>
          <w:rFonts w:ascii="宋体" w:hAnsi="宋体" w:cs="Arial"/>
          <w:b/>
          <w:szCs w:val="21"/>
        </w:rPr>
      </w:pPr>
      <w:r>
        <w:rPr>
          <w:rFonts w:ascii="宋体" w:hAnsi="宋体" w:cs="Arial"/>
          <w:b/>
          <w:szCs w:val="21"/>
        </w:rPr>
        <w:t xml:space="preserve">2.2.1 </w:t>
      </w:r>
      <w:r>
        <w:rPr>
          <w:rFonts w:hint="eastAsia" w:ascii="宋体" w:hAnsi="宋体" w:cs="Arial"/>
          <w:b/>
          <w:szCs w:val="21"/>
        </w:rPr>
        <w:t>分值构成</w:t>
      </w:r>
    </w:p>
    <w:p>
      <w:pPr>
        <w:spacing w:line="360" w:lineRule="auto"/>
        <w:ind w:firstLine="840" w:firstLineChars="400"/>
        <w:rPr>
          <w:rFonts w:ascii="宋体" w:hAnsi="宋体" w:cs="Arial"/>
        </w:rPr>
      </w:pPr>
      <w:r>
        <w:rPr>
          <w:rFonts w:hint="eastAsia" w:ascii="宋体" w:hAnsi="宋体" w:cs="Arial"/>
        </w:rPr>
        <w:t>评标价：见评标办法前附表。</w:t>
      </w:r>
    </w:p>
    <w:p>
      <w:pPr>
        <w:spacing w:line="360" w:lineRule="auto"/>
        <w:ind w:firstLine="422" w:firstLineChars="200"/>
        <w:rPr>
          <w:rFonts w:ascii="宋体" w:hAnsi="宋体" w:cs="Arial"/>
          <w:b/>
          <w:szCs w:val="21"/>
        </w:rPr>
      </w:pPr>
      <w:r>
        <w:rPr>
          <w:rFonts w:ascii="宋体" w:hAnsi="宋体" w:cs="Arial"/>
          <w:b/>
          <w:szCs w:val="21"/>
        </w:rPr>
        <w:t xml:space="preserve">2.2.2 </w:t>
      </w:r>
      <w:r>
        <w:rPr>
          <w:rFonts w:hint="eastAsia" w:ascii="宋体" w:hAnsi="宋体" w:cs="Arial"/>
          <w:b/>
          <w:szCs w:val="21"/>
        </w:rPr>
        <w:t>评标基准价计算</w:t>
      </w:r>
    </w:p>
    <w:p>
      <w:pPr>
        <w:spacing w:line="360" w:lineRule="auto"/>
        <w:ind w:firstLine="840" w:firstLineChars="400"/>
        <w:rPr>
          <w:rFonts w:ascii="宋体" w:hAnsi="宋体" w:cs="Arial"/>
        </w:rPr>
      </w:pPr>
      <w:r>
        <w:rPr>
          <w:rFonts w:hint="eastAsia" w:ascii="宋体" w:hAnsi="宋体" w:cs="Arial"/>
        </w:rPr>
        <w:t>评标基准价计算方法：见评标办法前附表。</w:t>
      </w:r>
    </w:p>
    <w:p>
      <w:pPr>
        <w:spacing w:line="360" w:lineRule="auto"/>
        <w:ind w:firstLine="422" w:firstLineChars="200"/>
        <w:rPr>
          <w:rFonts w:ascii="宋体" w:hAnsi="宋体" w:cs="Arial"/>
          <w:b/>
          <w:szCs w:val="21"/>
        </w:rPr>
      </w:pPr>
      <w:r>
        <w:rPr>
          <w:rFonts w:ascii="宋体" w:hAnsi="宋体" w:cs="Arial"/>
          <w:b/>
          <w:szCs w:val="21"/>
        </w:rPr>
        <w:t xml:space="preserve">2.2.3 </w:t>
      </w:r>
      <w:r>
        <w:rPr>
          <w:rFonts w:hint="eastAsia" w:ascii="宋体" w:hAnsi="宋体" w:cs="Arial"/>
          <w:b/>
          <w:szCs w:val="21"/>
        </w:rPr>
        <w:t>投标报价的偏差率计算</w:t>
      </w:r>
    </w:p>
    <w:p>
      <w:pPr>
        <w:spacing w:line="360" w:lineRule="auto"/>
        <w:ind w:firstLine="840" w:firstLineChars="400"/>
        <w:rPr>
          <w:rFonts w:ascii="宋体" w:hAnsi="宋体" w:cs="Arial"/>
        </w:rPr>
      </w:pPr>
      <w:r>
        <w:rPr>
          <w:rFonts w:hint="eastAsia" w:ascii="宋体" w:hAnsi="宋体" w:cs="Arial"/>
        </w:rPr>
        <w:t>投标报价的偏差率计算公式：见评标办法前附表。</w:t>
      </w:r>
    </w:p>
    <w:p>
      <w:pPr>
        <w:spacing w:line="360" w:lineRule="auto"/>
        <w:ind w:firstLine="422" w:firstLineChars="200"/>
        <w:rPr>
          <w:rFonts w:ascii="宋体" w:hAnsi="宋体" w:cs="Arial"/>
          <w:b/>
          <w:szCs w:val="21"/>
        </w:rPr>
      </w:pPr>
      <w:r>
        <w:rPr>
          <w:rFonts w:ascii="宋体" w:hAnsi="宋体" w:cs="Arial"/>
          <w:b/>
          <w:szCs w:val="21"/>
        </w:rPr>
        <w:t xml:space="preserve">2.2.4 </w:t>
      </w:r>
      <w:r>
        <w:rPr>
          <w:rFonts w:hint="eastAsia" w:ascii="宋体" w:hAnsi="宋体" w:cs="Arial"/>
          <w:b/>
          <w:szCs w:val="21"/>
        </w:rPr>
        <w:t>评分标准</w:t>
      </w:r>
    </w:p>
    <w:p>
      <w:pPr>
        <w:spacing w:line="360" w:lineRule="auto"/>
        <w:ind w:firstLine="840" w:firstLineChars="400"/>
        <w:rPr>
          <w:rFonts w:ascii="宋体" w:hAnsi="宋体" w:cs="Arial"/>
        </w:rPr>
      </w:pPr>
      <w:r>
        <w:rPr>
          <w:rFonts w:hint="eastAsia" w:ascii="宋体" w:hAnsi="宋体" w:cs="Arial"/>
        </w:rPr>
        <w:t>评标价评分标准：见评标办法前附表。</w:t>
      </w:r>
    </w:p>
    <w:p>
      <w:pPr>
        <w:spacing w:line="360" w:lineRule="auto"/>
        <w:ind w:firstLine="960" w:firstLineChars="400"/>
        <w:rPr>
          <w:rFonts w:ascii="宋体" w:hAnsi="宋体" w:cs="Arial"/>
          <w:sz w:val="24"/>
        </w:rPr>
      </w:pPr>
    </w:p>
    <w:p>
      <w:pPr>
        <w:spacing w:line="360" w:lineRule="auto"/>
        <w:rPr>
          <w:rFonts w:ascii="宋体" w:hAnsi="宋体" w:cs="Arial"/>
          <w:b/>
          <w:sz w:val="28"/>
          <w:szCs w:val="28"/>
        </w:rPr>
      </w:pPr>
      <w:r>
        <w:rPr>
          <w:rFonts w:ascii="宋体" w:hAnsi="宋体" w:cs="Arial"/>
          <w:b/>
          <w:sz w:val="28"/>
          <w:szCs w:val="28"/>
        </w:rPr>
        <w:t xml:space="preserve">3. </w:t>
      </w:r>
      <w:r>
        <w:rPr>
          <w:rFonts w:hint="eastAsia" w:ascii="宋体" w:hAnsi="宋体" w:cs="Arial"/>
          <w:b/>
          <w:sz w:val="28"/>
          <w:szCs w:val="28"/>
        </w:rPr>
        <w:t>评标程序</w:t>
      </w:r>
    </w:p>
    <w:p>
      <w:pPr>
        <w:spacing w:line="360" w:lineRule="auto"/>
        <w:rPr>
          <w:rFonts w:ascii="宋体" w:hAnsi="宋体" w:cs="Arial"/>
          <w:b/>
          <w:sz w:val="28"/>
          <w:szCs w:val="28"/>
        </w:rPr>
      </w:pPr>
      <w:r>
        <w:rPr>
          <w:rFonts w:ascii="宋体" w:hAnsi="宋体" w:cs="Arial"/>
          <w:b/>
          <w:sz w:val="28"/>
          <w:szCs w:val="28"/>
        </w:rPr>
        <w:t xml:space="preserve">3.1 </w:t>
      </w:r>
      <w:r>
        <w:rPr>
          <w:rFonts w:hint="eastAsia" w:ascii="宋体" w:hAnsi="宋体" w:cs="Arial"/>
          <w:b/>
          <w:sz w:val="28"/>
          <w:szCs w:val="28"/>
        </w:rPr>
        <w:t>第一个信封初步评审</w:t>
      </w:r>
    </w:p>
    <w:p>
      <w:pPr>
        <w:spacing w:line="360" w:lineRule="auto"/>
        <w:ind w:firstLine="422" w:firstLineChars="200"/>
        <w:rPr>
          <w:rFonts w:ascii="宋体" w:hAnsi="宋体" w:cs="Arial"/>
          <w:szCs w:val="21"/>
        </w:rPr>
      </w:pPr>
      <w:r>
        <w:rPr>
          <w:rFonts w:ascii="宋体" w:hAnsi="宋体" w:cs="Arial"/>
          <w:b/>
          <w:szCs w:val="21"/>
        </w:rPr>
        <w:t>3.1.1</w:t>
      </w:r>
      <w:r>
        <w:rPr>
          <w:rFonts w:hint="eastAsia" w:ascii="宋体" w:hAnsi="宋体" w:cs="Arial"/>
          <w:szCs w:val="21"/>
        </w:rPr>
        <w:t>评标委员会可以要求投标人提交第二章</w:t>
      </w:r>
      <w:r>
        <w:rPr>
          <w:rFonts w:ascii="宋体" w:hAnsi="宋体" w:cs="Arial"/>
          <w:szCs w:val="21"/>
        </w:rPr>
        <w:t>“</w:t>
      </w:r>
      <w:r>
        <w:rPr>
          <w:rFonts w:hint="eastAsia" w:ascii="宋体" w:hAnsi="宋体" w:cs="Arial"/>
          <w:szCs w:val="21"/>
        </w:rPr>
        <w:t>投标人须知</w:t>
      </w:r>
      <w:r>
        <w:rPr>
          <w:rFonts w:ascii="宋体" w:hAnsi="宋体" w:cs="Arial"/>
          <w:szCs w:val="21"/>
        </w:rPr>
        <w:t>”</w:t>
      </w:r>
      <w:r>
        <w:rPr>
          <w:rFonts w:hint="eastAsia" w:ascii="宋体" w:hAnsi="宋体" w:cs="Arial"/>
          <w:szCs w:val="21"/>
        </w:rPr>
        <w:t>第</w:t>
      </w:r>
      <w:r>
        <w:rPr>
          <w:rFonts w:ascii="宋体" w:hAnsi="宋体" w:cs="Arial"/>
          <w:szCs w:val="21"/>
        </w:rPr>
        <w:t>3.5.1</w:t>
      </w:r>
      <w:r>
        <w:rPr>
          <w:rFonts w:hint="eastAsia" w:ascii="宋体" w:hAnsi="宋体" w:cs="Arial"/>
          <w:szCs w:val="21"/>
        </w:rPr>
        <w:t>项至第</w:t>
      </w:r>
      <w:r>
        <w:rPr>
          <w:rFonts w:ascii="宋体" w:hAnsi="宋体" w:cs="Arial"/>
          <w:szCs w:val="21"/>
        </w:rPr>
        <w:t>3.5.6</w:t>
      </w:r>
      <w:r>
        <w:rPr>
          <w:rFonts w:hint="eastAsia" w:ascii="宋体" w:hAnsi="宋体" w:cs="Arial"/>
          <w:szCs w:val="21"/>
        </w:rPr>
        <w:t>项规定的有关证明和证件的原件，以便核验。评标委员会依据本章第</w:t>
      </w:r>
      <w:r>
        <w:rPr>
          <w:rFonts w:ascii="宋体" w:hAnsi="宋体" w:cs="Arial"/>
          <w:szCs w:val="21"/>
        </w:rPr>
        <w:t>2.1</w:t>
      </w:r>
      <w:r>
        <w:rPr>
          <w:rFonts w:hint="eastAsia" w:ascii="宋体" w:hAnsi="宋体" w:cs="Arial"/>
          <w:szCs w:val="21"/>
        </w:rPr>
        <w:t>款规定的标准对投标文件第一个信封（商务及技术文件）进行初步评审。有一项不符合评审标准的，评标委员会应否决其投标。</w:t>
      </w:r>
    </w:p>
    <w:p>
      <w:pPr>
        <w:spacing w:line="360" w:lineRule="auto"/>
        <w:jc w:val="left"/>
        <w:rPr>
          <w:rFonts w:ascii="宋体" w:hAnsi="宋体" w:cs="Arial"/>
          <w:b/>
          <w:sz w:val="28"/>
          <w:szCs w:val="28"/>
        </w:rPr>
      </w:pPr>
      <w:r>
        <w:rPr>
          <w:rFonts w:ascii="宋体" w:hAnsi="宋体" w:cs="Arial"/>
          <w:b/>
          <w:sz w:val="28"/>
          <w:szCs w:val="28"/>
        </w:rPr>
        <w:t>3.2</w:t>
      </w:r>
      <w:r>
        <w:rPr>
          <w:rFonts w:hint="eastAsia" w:ascii="宋体" w:hAnsi="宋体" w:cs="Arial"/>
          <w:b/>
          <w:sz w:val="28"/>
          <w:szCs w:val="28"/>
        </w:rPr>
        <w:t>第二个信封开标</w:t>
      </w:r>
    </w:p>
    <w:p>
      <w:pPr>
        <w:spacing w:line="360" w:lineRule="auto"/>
        <w:ind w:firstLine="405"/>
        <w:jc w:val="left"/>
        <w:rPr>
          <w:rFonts w:ascii="宋体" w:hAnsi="宋体" w:cs="Arial"/>
          <w:szCs w:val="21"/>
        </w:rPr>
      </w:pPr>
      <w:r>
        <w:rPr>
          <w:rFonts w:hint="eastAsia" w:ascii="宋体" w:hAnsi="宋体" w:cs="Arial"/>
          <w:szCs w:val="21"/>
        </w:rPr>
        <w:t>第一个信封（商务及技术文件）评审结束后，招标人将按照第二章“投标人须知”第</w:t>
      </w:r>
      <w:r>
        <w:rPr>
          <w:rFonts w:ascii="宋体" w:hAnsi="宋体" w:cs="Arial"/>
          <w:szCs w:val="21"/>
        </w:rPr>
        <w:t>5.1</w:t>
      </w:r>
      <w:r>
        <w:rPr>
          <w:rFonts w:hint="eastAsia" w:ascii="宋体" w:hAnsi="宋体" w:cs="Arial"/>
          <w:szCs w:val="21"/>
        </w:rPr>
        <w:t>款规定的时间和地点对通过投标文件第一个信封（商务及技术文件）评审的投标文件第二个信封进行开标。</w:t>
      </w:r>
    </w:p>
    <w:p>
      <w:pPr>
        <w:spacing w:line="440" w:lineRule="exact"/>
        <w:rPr>
          <w:rFonts w:ascii="宋体" w:hAnsi="宋体" w:cs="Arial"/>
          <w:szCs w:val="21"/>
        </w:rPr>
      </w:pPr>
      <w:r>
        <w:rPr>
          <w:rFonts w:ascii="宋体" w:hAnsi="宋体" w:cs="Arial"/>
          <w:b/>
          <w:sz w:val="28"/>
          <w:szCs w:val="28"/>
        </w:rPr>
        <w:t>3.3</w:t>
      </w:r>
      <w:r>
        <w:rPr>
          <w:rFonts w:hint="eastAsia" w:ascii="宋体" w:hAnsi="宋体" w:cs="Arial"/>
          <w:b/>
          <w:sz w:val="28"/>
          <w:szCs w:val="28"/>
        </w:rPr>
        <w:t>第二个信封初步评审</w:t>
      </w:r>
      <w:r>
        <w:rPr>
          <w:rFonts w:hint="eastAsia" w:ascii="宋体" w:hAnsi="宋体" w:cs="Arial"/>
          <w:szCs w:val="21"/>
        </w:rPr>
        <w:t>（注：如本项目招标由投标人按照招标人提供的书面工程量清单填写本合同各工程子目的单价、合价和总额价，则评标委员会按照本章第 3.3.2 项和第 3.3.3 项的规定对投标人的投标报价进行修正。如本项目招标由投标人按照招标人提供的工程量固化清单电子文件填写工程量清单，无须按照本章第 3.3.2 项和第 3.3.3 项的规定对投标报价进行修正，第 3.3.2 项至第 3.3.5 项内容不适用。）</w:t>
      </w:r>
    </w:p>
    <w:p>
      <w:pPr>
        <w:spacing w:line="360" w:lineRule="auto"/>
        <w:ind w:firstLine="422" w:firstLineChars="200"/>
        <w:jc w:val="left"/>
        <w:rPr>
          <w:rFonts w:ascii="宋体" w:hAnsi="宋体" w:cs="Arial"/>
          <w:szCs w:val="21"/>
        </w:rPr>
      </w:pPr>
      <w:r>
        <w:rPr>
          <w:rFonts w:ascii="宋体" w:hAnsi="宋体" w:cs="Arial"/>
          <w:b/>
          <w:szCs w:val="21"/>
        </w:rPr>
        <w:t>3.3.1</w:t>
      </w:r>
      <w:r>
        <w:rPr>
          <w:rFonts w:hint="eastAsia" w:ascii="宋体" w:hAnsi="宋体" w:cs="Arial"/>
          <w:szCs w:val="21"/>
        </w:rPr>
        <w:t>评标委员会依据本章第</w:t>
      </w:r>
      <w:r>
        <w:rPr>
          <w:rFonts w:ascii="宋体" w:hAnsi="宋体" w:cs="Arial"/>
          <w:szCs w:val="21"/>
        </w:rPr>
        <w:t>2.1.1</w:t>
      </w:r>
      <w:r>
        <w:rPr>
          <w:rFonts w:hint="eastAsia" w:ascii="宋体" w:hAnsi="宋体" w:cs="Arial"/>
          <w:szCs w:val="21"/>
        </w:rPr>
        <w:t>项至第</w:t>
      </w:r>
      <w:r>
        <w:rPr>
          <w:rFonts w:ascii="宋体" w:hAnsi="宋体" w:cs="Arial"/>
          <w:szCs w:val="21"/>
        </w:rPr>
        <w:t>2.1.3</w:t>
      </w:r>
      <w:r>
        <w:rPr>
          <w:rFonts w:hint="eastAsia" w:ascii="宋体" w:hAnsi="宋体" w:cs="Arial"/>
          <w:szCs w:val="21"/>
        </w:rPr>
        <w:t>项规定的评审标准对投标文件第二个信封（报价文件）进行初步评审。有一项不符合评审标准的，评标委员会应否决其投标。</w:t>
      </w:r>
    </w:p>
    <w:p>
      <w:pPr>
        <w:spacing w:line="360" w:lineRule="auto"/>
        <w:ind w:firstLine="422" w:firstLineChars="200"/>
        <w:jc w:val="left"/>
        <w:rPr>
          <w:rFonts w:ascii="宋体" w:hAnsi="宋体" w:cs="Arial"/>
          <w:szCs w:val="21"/>
        </w:rPr>
      </w:pPr>
      <w:r>
        <w:rPr>
          <w:rFonts w:ascii="宋体" w:hAnsi="宋体" w:cs="Arial"/>
          <w:b/>
          <w:szCs w:val="21"/>
        </w:rPr>
        <w:t>3.3.2</w:t>
      </w:r>
      <w:r>
        <w:rPr>
          <w:rFonts w:hint="eastAsia" w:ascii="宋体" w:hAnsi="宋体" w:cs="Arial"/>
          <w:szCs w:val="21"/>
        </w:rPr>
        <w:t>投标报价有算术错误的，评标委员会按以下原则对投标报价进行修正，修正的价格经投标人书面确认后具有约束力。投标人不接受修正价格的，评标委员会应否决其投标。</w:t>
      </w:r>
    </w:p>
    <w:p>
      <w:pPr>
        <w:numPr>
          <w:ilvl w:val="0"/>
          <w:numId w:val="1"/>
        </w:numPr>
        <w:spacing w:line="440" w:lineRule="exact"/>
        <w:rPr>
          <w:rFonts w:ascii="宋体" w:hAnsi="宋体" w:cs="Arial"/>
          <w:szCs w:val="21"/>
        </w:rPr>
      </w:pPr>
      <w:r>
        <w:rPr>
          <w:rFonts w:hint="eastAsia" w:ascii="宋体" w:hAnsi="宋体" w:cs="Arial"/>
          <w:szCs w:val="21"/>
        </w:rPr>
        <w:t>投标文件中的大写金额与小写金额不一致的，以大写金额为准；</w:t>
      </w:r>
    </w:p>
    <w:p>
      <w:pPr>
        <w:numPr>
          <w:ilvl w:val="0"/>
          <w:numId w:val="1"/>
        </w:numPr>
        <w:spacing w:line="440" w:lineRule="exact"/>
        <w:rPr>
          <w:rFonts w:ascii="宋体" w:hAnsi="宋体" w:cs="Arial"/>
          <w:szCs w:val="21"/>
        </w:rPr>
      </w:pPr>
      <w:r>
        <w:rPr>
          <w:rFonts w:hint="eastAsia" w:ascii="宋体" w:hAnsi="宋体" w:cs="Arial"/>
          <w:szCs w:val="21"/>
        </w:rPr>
        <w:t>总价金额与依据单价计算出的结果不一致的，以单价金额为准修正总价，但单价金额小数点有明显错误的除外；</w:t>
      </w:r>
    </w:p>
    <w:p>
      <w:pPr>
        <w:numPr>
          <w:ilvl w:val="0"/>
          <w:numId w:val="1"/>
        </w:numPr>
        <w:spacing w:line="440" w:lineRule="exact"/>
        <w:rPr>
          <w:rFonts w:ascii="宋体" w:hAnsi="宋体" w:cs="Arial"/>
          <w:szCs w:val="21"/>
        </w:rPr>
      </w:pPr>
      <w:r>
        <w:rPr>
          <w:rFonts w:hint="eastAsia" w:ascii="宋体" w:hAnsi="宋体" w:cs="Arial"/>
          <w:szCs w:val="21"/>
        </w:rPr>
        <w:t>当单价与数量相乘不等于合价时，以单价计算为准，如果单价有明显的小数点位置差错，应以标出的合价为准，同时对单价予以修正；</w:t>
      </w:r>
    </w:p>
    <w:p>
      <w:pPr>
        <w:numPr>
          <w:ilvl w:val="0"/>
          <w:numId w:val="1"/>
        </w:numPr>
        <w:spacing w:line="440" w:lineRule="exact"/>
        <w:rPr>
          <w:rFonts w:ascii="宋体" w:hAnsi="宋体" w:cs="Arial"/>
          <w:szCs w:val="21"/>
        </w:rPr>
      </w:pPr>
      <w:r>
        <w:rPr>
          <w:rFonts w:hint="eastAsia" w:ascii="宋体" w:hAnsi="宋体" w:cs="Arial"/>
          <w:szCs w:val="21"/>
        </w:rPr>
        <w:t>当各子目的合价累计不等于总价时，应以各子目合价累计数为准，修正总价。</w:t>
      </w:r>
    </w:p>
    <w:p>
      <w:pPr>
        <w:spacing w:line="440" w:lineRule="exact"/>
        <w:ind w:firstLine="316" w:firstLineChars="150"/>
        <w:rPr>
          <w:rFonts w:ascii="宋体" w:hAnsi="宋体" w:cs="Arial"/>
          <w:szCs w:val="21"/>
        </w:rPr>
      </w:pPr>
      <w:r>
        <w:rPr>
          <w:rFonts w:ascii="宋体" w:hAnsi="宋体" w:cs="Arial"/>
          <w:b/>
          <w:szCs w:val="21"/>
        </w:rPr>
        <w:t>3.3.3</w:t>
      </w:r>
      <w:r>
        <w:rPr>
          <w:rFonts w:hint="eastAsia" w:ascii="宋体" w:hAnsi="宋体" w:cs="Arial"/>
          <w:szCs w:val="21"/>
        </w:rPr>
        <w:t>工程量清单中的投标报价有其他错误的，评标委员会按以下原则对投标报价进行修正，修正的价格经投标人书面确认后具有约束力。投标人不接受修正价格的，评标委员会应否决其投标。</w:t>
      </w:r>
    </w:p>
    <w:p>
      <w:pPr>
        <w:numPr>
          <w:ilvl w:val="0"/>
          <w:numId w:val="2"/>
        </w:numPr>
        <w:spacing w:line="440" w:lineRule="exact"/>
        <w:rPr>
          <w:rFonts w:ascii="宋体" w:hAnsi="宋体" w:cs="Arial"/>
          <w:szCs w:val="21"/>
        </w:rPr>
      </w:pPr>
      <w:r>
        <w:rPr>
          <w:rFonts w:hint="eastAsia" w:ascii="宋体" w:hAnsi="宋体" w:cs="Arial"/>
          <w:szCs w:val="21"/>
        </w:rPr>
        <w:t>在招标人给定的工程量清单中漏报了某个工程子目的单价、合价或总额价，或所报单价、合价或总额价减少了报价范围，则漏报的工程子目单价、合价和总额价或单价、合价和总额价中减少的报价内容视为已含人其他工程子目的单价、合价和总额价之中。</w:t>
      </w:r>
    </w:p>
    <w:p>
      <w:pPr>
        <w:numPr>
          <w:ilvl w:val="0"/>
          <w:numId w:val="2"/>
        </w:numPr>
        <w:spacing w:line="440" w:lineRule="exact"/>
        <w:rPr>
          <w:rFonts w:ascii="宋体" w:hAnsi="宋体" w:cs="Arial"/>
          <w:szCs w:val="21"/>
        </w:rPr>
      </w:pPr>
      <w:r>
        <w:rPr>
          <w:rFonts w:hint="eastAsia" w:ascii="宋体" w:hAnsi="宋体" w:cs="Arial"/>
          <w:szCs w:val="21"/>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pPr>
        <w:numPr>
          <w:ilvl w:val="0"/>
          <w:numId w:val="2"/>
        </w:numPr>
        <w:spacing w:line="440" w:lineRule="exact"/>
        <w:rPr>
          <w:rFonts w:ascii="宋体" w:hAnsi="宋体" w:cs="Arial"/>
          <w:szCs w:val="21"/>
        </w:rPr>
      </w:pPr>
      <w:r>
        <w:rPr>
          <w:rFonts w:hint="eastAsia" w:ascii="宋体" w:hAnsi="宋体" w:cs="Arial"/>
          <w:szCs w:val="21"/>
        </w:rPr>
        <w:t>当单价与数量的乘积与合价（金额）虽然一致，但投标人修改了该子目的工程数量，则其合价按招标人给定的工程数量乘以投标人所报单价予以修正。</w:t>
      </w:r>
    </w:p>
    <w:p>
      <w:pPr>
        <w:spacing w:line="440" w:lineRule="exact"/>
        <w:rPr>
          <w:rFonts w:ascii="宋体" w:hAnsi="宋体" w:cs="Arial"/>
          <w:b/>
          <w:sz w:val="18"/>
          <w:szCs w:val="18"/>
        </w:rPr>
      </w:pPr>
    </w:p>
    <w:p>
      <w:pPr>
        <w:spacing w:line="440" w:lineRule="exact"/>
        <w:ind w:firstLine="435"/>
        <w:rPr>
          <w:rFonts w:ascii="宋体" w:hAnsi="宋体" w:cs="Arial"/>
          <w:szCs w:val="21"/>
        </w:rPr>
      </w:pPr>
      <w:r>
        <w:rPr>
          <w:rFonts w:ascii="宋体" w:hAnsi="宋体" w:cs="Arial"/>
          <w:b/>
          <w:szCs w:val="21"/>
        </w:rPr>
        <w:t xml:space="preserve">3.3.4 </w:t>
      </w:r>
      <w:r>
        <w:rPr>
          <w:rFonts w:hint="eastAsia" w:ascii="宋体" w:hAnsi="宋体" w:cs="Arial"/>
          <w:szCs w:val="21"/>
        </w:rPr>
        <w:t>修正后的最终投标报价若超过最高投标限价（如有），评标委员会应否决其投标。</w:t>
      </w:r>
    </w:p>
    <w:p>
      <w:pPr>
        <w:spacing w:line="440" w:lineRule="exact"/>
        <w:ind w:firstLine="435"/>
        <w:rPr>
          <w:rFonts w:ascii="宋体" w:hAnsi="宋体" w:cs="Arial"/>
          <w:szCs w:val="21"/>
        </w:rPr>
      </w:pPr>
      <w:r>
        <w:rPr>
          <w:rFonts w:ascii="宋体" w:hAnsi="宋体" w:cs="Arial"/>
          <w:b/>
          <w:szCs w:val="21"/>
        </w:rPr>
        <w:t>3.3.5</w:t>
      </w:r>
      <w:r>
        <w:rPr>
          <w:rFonts w:hint="eastAsia" w:ascii="宋体" w:hAnsi="宋体" w:cs="Arial"/>
          <w:szCs w:val="21"/>
        </w:rPr>
        <w:t>修正后的最终投标报价仅作为签订合同的一个依据，不参与评标价得分的计算。</w:t>
      </w:r>
    </w:p>
    <w:p>
      <w:pPr>
        <w:rPr>
          <w:rFonts w:ascii="宋体" w:hAnsi="宋体" w:cs="Arial"/>
        </w:rPr>
      </w:pPr>
    </w:p>
    <w:p>
      <w:pPr>
        <w:rPr>
          <w:rFonts w:ascii="宋体" w:hAnsi="宋体" w:cs="Arial"/>
          <w:b/>
          <w:sz w:val="28"/>
          <w:szCs w:val="28"/>
        </w:rPr>
      </w:pPr>
      <w:r>
        <w:rPr>
          <w:rFonts w:ascii="宋体" w:hAnsi="宋体" w:cs="Arial"/>
          <w:b/>
          <w:sz w:val="28"/>
          <w:szCs w:val="28"/>
        </w:rPr>
        <w:t>3.4</w:t>
      </w:r>
      <w:r>
        <w:rPr>
          <w:rFonts w:hint="eastAsia" w:ascii="宋体" w:hAnsi="宋体" w:cs="Arial"/>
          <w:b/>
          <w:sz w:val="28"/>
          <w:szCs w:val="28"/>
        </w:rPr>
        <w:t>第二信封详细评审</w:t>
      </w:r>
    </w:p>
    <w:p>
      <w:pPr>
        <w:spacing w:line="400" w:lineRule="atLeast"/>
        <w:ind w:firstLine="422" w:firstLineChars="200"/>
        <w:rPr>
          <w:rFonts w:ascii="宋体" w:hAnsi="宋体" w:cs="Arial"/>
          <w:szCs w:val="21"/>
        </w:rPr>
      </w:pPr>
      <w:r>
        <w:rPr>
          <w:rFonts w:ascii="宋体" w:hAnsi="宋体" w:cs="Arial"/>
          <w:b/>
          <w:szCs w:val="21"/>
        </w:rPr>
        <w:t>3.4.1</w:t>
      </w:r>
      <w:r>
        <w:rPr>
          <w:rFonts w:ascii="宋体" w:hAnsi="宋体" w:cs="Arial"/>
          <w:szCs w:val="21"/>
        </w:rPr>
        <w:t xml:space="preserve"> </w:t>
      </w:r>
      <w:r>
        <w:rPr>
          <w:rFonts w:hint="eastAsia" w:ascii="宋体" w:hAnsi="宋体" w:cs="Arial"/>
          <w:szCs w:val="21"/>
        </w:rPr>
        <w:t>评标委员会按本章第</w:t>
      </w:r>
      <w:r>
        <w:rPr>
          <w:rFonts w:ascii="宋体" w:hAnsi="宋体" w:cs="Arial"/>
          <w:szCs w:val="21"/>
        </w:rPr>
        <w:t>2.2</w:t>
      </w:r>
      <w:r>
        <w:rPr>
          <w:rFonts w:hint="eastAsia" w:ascii="宋体" w:hAnsi="宋体" w:cs="Arial"/>
          <w:szCs w:val="21"/>
        </w:rPr>
        <w:t>款规定的量化因素和分值进行打分，并计算出综合评估得分（即评标价得分）。</w:t>
      </w:r>
    </w:p>
    <w:p>
      <w:pPr>
        <w:spacing w:line="400" w:lineRule="atLeast"/>
        <w:ind w:firstLine="422" w:firstLineChars="200"/>
        <w:rPr>
          <w:rFonts w:ascii="宋体" w:hAnsi="宋体" w:cs="Arial"/>
          <w:szCs w:val="21"/>
        </w:rPr>
      </w:pPr>
      <w:r>
        <w:rPr>
          <w:rFonts w:ascii="宋体" w:hAnsi="宋体" w:cs="Arial"/>
          <w:b/>
          <w:szCs w:val="21"/>
        </w:rPr>
        <w:t>3.4.2</w:t>
      </w:r>
      <w:r>
        <w:rPr>
          <w:rFonts w:ascii="宋体" w:hAnsi="宋体" w:cs="Arial"/>
          <w:szCs w:val="21"/>
        </w:rPr>
        <w:t xml:space="preserve"> </w:t>
      </w:r>
      <w:r>
        <w:rPr>
          <w:rFonts w:hint="eastAsia" w:ascii="宋体" w:hAnsi="宋体" w:cs="Arial"/>
          <w:szCs w:val="21"/>
        </w:rPr>
        <w:t>投标人得分分值计算保留小数点后两位，小数点后第三位</w:t>
      </w:r>
      <w:r>
        <w:rPr>
          <w:rFonts w:ascii="宋体" w:hAnsi="宋体" w:cs="Arial"/>
          <w:szCs w:val="21"/>
        </w:rPr>
        <w:t>“</w:t>
      </w:r>
      <w:r>
        <w:rPr>
          <w:rFonts w:hint="eastAsia" w:ascii="宋体" w:hAnsi="宋体" w:cs="Arial"/>
          <w:szCs w:val="21"/>
        </w:rPr>
        <w:t>四舍五入</w:t>
      </w:r>
      <w:r>
        <w:rPr>
          <w:rFonts w:ascii="宋体" w:hAnsi="宋体" w:cs="Arial"/>
          <w:szCs w:val="21"/>
        </w:rPr>
        <w:t>”</w:t>
      </w:r>
      <w:r>
        <w:rPr>
          <w:rFonts w:hint="eastAsia" w:ascii="宋体" w:hAnsi="宋体" w:cs="Arial"/>
          <w:szCs w:val="21"/>
        </w:rPr>
        <w:t>。</w:t>
      </w:r>
    </w:p>
    <w:p>
      <w:pPr>
        <w:spacing w:line="400" w:lineRule="atLeast"/>
        <w:ind w:firstLine="422" w:firstLineChars="200"/>
        <w:rPr>
          <w:rFonts w:ascii="宋体" w:hAnsi="宋体" w:cs="Arial"/>
          <w:szCs w:val="21"/>
        </w:rPr>
      </w:pPr>
      <w:r>
        <w:rPr>
          <w:rFonts w:ascii="宋体" w:hAnsi="宋体" w:cs="Arial"/>
          <w:b/>
          <w:szCs w:val="21"/>
        </w:rPr>
        <w:t>3.4.3</w:t>
      </w:r>
      <w:r>
        <w:rPr>
          <w:rFonts w:hint="eastAsia" w:ascii="宋体" w:hAnsi="宋体" w:cs="Arial"/>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认定该投标人以低于成本报价竞标，并否决其投标。</w:t>
      </w:r>
    </w:p>
    <w:p>
      <w:pPr>
        <w:spacing w:line="360" w:lineRule="auto"/>
        <w:rPr>
          <w:rFonts w:ascii="宋体" w:hAnsi="宋体" w:cs="Arial"/>
        </w:rPr>
      </w:pPr>
    </w:p>
    <w:p>
      <w:pPr>
        <w:spacing w:line="360" w:lineRule="auto"/>
        <w:rPr>
          <w:rFonts w:ascii="宋体" w:hAnsi="宋体" w:cs="Arial"/>
          <w:b/>
          <w:sz w:val="28"/>
          <w:szCs w:val="28"/>
        </w:rPr>
      </w:pPr>
      <w:r>
        <w:rPr>
          <w:rFonts w:ascii="宋体" w:hAnsi="宋体" w:cs="Arial"/>
          <w:b/>
          <w:sz w:val="28"/>
          <w:szCs w:val="28"/>
        </w:rPr>
        <w:t>3.5</w:t>
      </w:r>
      <w:r>
        <w:rPr>
          <w:rFonts w:hint="eastAsia" w:ascii="宋体" w:hAnsi="宋体" w:cs="Arial"/>
          <w:b/>
          <w:sz w:val="28"/>
          <w:szCs w:val="28"/>
        </w:rPr>
        <w:t>投标文件相关信息的核查</w:t>
      </w:r>
    </w:p>
    <w:p>
      <w:pPr>
        <w:spacing w:line="360" w:lineRule="auto"/>
        <w:ind w:firstLine="420"/>
        <w:rPr>
          <w:rFonts w:ascii="宋体" w:hAnsi="宋体" w:cs="Arial"/>
        </w:rPr>
      </w:pPr>
      <w:r>
        <w:rPr>
          <w:rFonts w:ascii="宋体" w:hAnsi="宋体" w:cs="Arial"/>
          <w:b/>
        </w:rPr>
        <w:t>3.5.1</w:t>
      </w:r>
      <w:r>
        <w:rPr>
          <w:rFonts w:hint="eastAsia" w:ascii="宋体" w:hAnsi="宋体" w:cs="Arial"/>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评标委员会应否决其投标。</w:t>
      </w:r>
    </w:p>
    <w:p>
      <w:pPr>
        <w:spacing w:line="360" w:lineRule="auto"/>
        <w:ind w:firstLine="420"/>
        <w:rPr>
          <w:rFonts w:ascii="宋体" w:hAnsi="宋体" w:cs="Arial"/>
        </w:rPr>
      </w:pPr>
      <w:r>
        <w:rPr>
          <w:rFonts w:ascii="宋体" w:hAnsi="宋体" w:cs="Arial"/>
          <w:b/>
        </w:rPr>
        <w:t>3.5.2</w:t>
      </w:r>
      <w:r>
        <w:rPr>
          <w:rFonts w:hint="eastAsia" w:ascii="宋体" w:hAnsi="宋体" w:cs="Arial"/>
        </w:rPr>
        <w:t>评标委员会应对在评标过程中发现的投标人与投标人之间、投标人与招标人之间存在的串通投标情形进行评审和认定。投标人存在串通投标、弄虚作假、行贿等违法行为的，评标委员会应否决其投标。</w:t>
      </w:r>
    </w:p>
    <w:p>
      <w:pPr>
        <w:spacing w:line="360" w:lineRule="auto"/>
        <w:ind w:firstLine="420"/>
        <w:rPr>
          <w:rFonts w:ascii="宋体" w:hAnsi="宋体" w:cs="Arial"/>
        </w:rPr>
      </w:pPr>
      <w:r>
        <w:rPr>
          <w:rFonts w:hint="eastAsia" w:ascii="宋体" w:hAnsi="宋体" w:cs="Arial"/>
        </w:rPr>
        <w:t>（</w:t>
      </w:r>
      <w:r>
        <w:rPr>
          <w:rFonts w:ascii="宋体" w:hAnsi="宋体" w:cs="Arial"/>
        </w:rPr>
        <w:t>1</w:t>
      </w:r>
      <w:r>
        <w:rPr>
          <w:rFonts w:hint="eastAsia" w:ascii="宋体" w:hAnsi="宋体" w:cs="Arial"/>
        </w:rPr>
        <w:t>）有下列情形之一的，属于投标人相互串通投标：</w:t>
      </w:r>
    </w:p>
    <w:p>
      <w:pPr>
        <w:spacing w:line="360" w:lineRule="auto"/>
        <w:ind w:firstLine="420"/>
        <w:rPr>
          <w:rFonts w:ascii="宋体" w:hAnsi="宋体" w:cs="Arial"/>
        </w:rPr>
      </w:pPr>
      <w:r>
        <w:rPr>
          <w:rFonts w:ascii="宋体" w:hAnsi="宋体" w:cs="Arial"/>
        </w:rPr>
        <w:t>a.</w:t>
      </w:r>
      <w:r>
        <w:rPr>
          <w:rFonts w:hint="eastAsia" w:ascii="宋体" w:hAnsi="宋体" w:cs="Arial"/>
        </w:rPr>
        <w:t>投标人之间协商投标报价等投标文件的实质性内容；</w:t>
      </w:r>
    </w:p>
    <w:p>
      <w:pPr>
        <w:spacing w:line="360" w:lineRule="auto"/>
        <w:ind w:firstLine="420"/>
        <w:rPr>
          <w:rFonts w:ascii="宋体" w:hAnsi="宋体" w:cs="Arial"/>
        </w:rPr>
      </w:pPr>
      <w:r>
        <w:rPr>
          <w:rFonts w:ascii="宋体" w:hAnsi="宋体" w:cs="Arial"/>
        </w:rPr>
        <w:t>b.</w:t>
      </w:r>
      <w:r>
        <w:rPr>
          <w:rFonts w:hint="eastAsia" w:ascii="宋体" w:hAnsi="宋体" w:cs="Arial"/>
        </w:rPr>
        <w:t>投标人之间约定中标人；</w:t>
      </w:r>
    </w:p>
    <w:p>
      <w:pPr>
        <w:spacing w:line="360" w:lineRule="auto"/>
        <w:ind w:firstLine="420"/>
        <w:rPr>
          <w:rFonts w:ascii="宋体" w:hAnsi="宋体" w:cs="Arial"/>
        </w:rPr>
      </w:pPr>
      <w:r>
        <w:rPr>
          <w:rFonts w:ascii="宋体" w:hAnsi="宋体" w:cs="Arial"/>
        </w:rPr>
        <w:t>c.</w:t>
      </w:r>
      <w:r>
        <w:rPr>
          <w:rFonts w:hint="eastAsia" w:ascii="宋体" w:hAnsi="宋体" w:cs="Arial"/>
        </w:rPr>
        <w:t>投标人之间预定部分投标人放弃投标或中标；</w:t>
      </w:r>
    </w:p>
    <w:p>
      <w:pPr>
        <w:spacing w:line="360" w:lineRule="auto"/>
        <w:ind w:firstLine="420"/>
        <w:rPr>
          <w:rFonts w:ascii="宋体" w:hAnsi="宋体" w:cs="Arial"/>
        </w:rPr>
      </w:pPr>
      <w:r>
        <w:rPr>
          <w:rFonts w:ascii="宋体" w:hAnsi="宋体" w:cs="Arial"/>
        </w:rPr>
        <w:t>d.</w:t>
      </w:r>
      <w:r>
        <w:rPr>
          <w:rFonts w:hint="eastAsia" w:ascii="宋体" w:hAnsi="宋体" w:cs="Arial"/>
        </w:rPr>
        <w:t>属于同一集团、协会、商会等组织成员的投标人按照该组织要求协同投标；</w:t>
      </w:r>
    </w:p>
    <w:p>
      <w:pPr>
        <w:spacing w:line="360" w:lineRule="auto"/>
        <w:ind w:firstLine="420"/>
        <w:rPr>
          <w:rFonts w:ascii="宋体" w:hAnsi="宋体" w:cs="Arial"/>
        </w:rPr>
      </w:pPr>
      <w:r>
        <w:rPr>
          <w:rFonts w:ascii="宋体" w:hAnsi="宋体" w:cs="Arial"/>
        </w:rPr>
        <w:t>e.</w:t>
      </w:r>
      <w:r>
        <w:rPr>
          <w:rFonts w:hint="eastAsia" w:ascii="宋体" w:hAnsi="宋体" w:cs="Arial"/>
        </w:rPr>
        <w:t>投标人之间为谋取中标或排斥特定投标人而采取的其他联合行动。</w:t>
      </w:r>
    </w:p>
    <w:p>
      <w:pPr>
        <w:spacing w:line="360" w:lineRule="auto"/>
        <w:ind w:firstLine="420"/>
        <w:rPr>
          <w:rFonts w:ascii="宋体" w:hAnsi="宋体" w:cs="Arial"/>
        </w:rPr>
      </w:pPr>
      <w:r>
        <w:rPr>
          <w:rFonts w:hint="eastAsia" w:ascii="宋体" w:hAnsi="宋体" w:cs="Arial"/>
        </w:rPr>
        <w:t>（</w:t>
      </w:r>
      <w:r>
        <w:rPr>
          <w:rFonts w:ascii="宋体" w:hAnsi="宋体" w:cs="Arial"/>
        </w:rPr>
        <w:t>2</w:t>
      </w:r>
      <w:r>
        <w:rPr>
          <w:rFonts w:hint="eastAsia" w:ascii="宋体" w:hAnsi="宋体" w:cs="Arial"/>
        </w:rPr>
        <w:t>）有下列情形之一的，视为投标人相互串通投标：</w:t>
      </w:r>
    </w:p>
    <w:p>
      <w:pPr>
        <w:spacing w:line="360" w:lineRule="auto"/>
        <w:ind w:firstLine="420"/>
        <w:rPr>
          <w:rFonts w:ascii="宋体" w:hAnsi="宋体" w:cs="Arial"/>
        </w:rPr>
      </w:pPr>
      <w:r>
        <w:rPr>
          <w:rFonts w:ascii="宋体" w:hAnsi="宋体" w:cs="Arial"/>
        </w:rPr>
        <w:t>a.</w:t>
      </w:r>
      <w:r>
        <w:rPr>
          <w:rFonts w:hint="eastAsia" w:ascii="宋体" w:hAnsi="宋体" w:cs="Arial"/>
        </w:rPr>
        <w:t>不同投标人的投标文件由同一单位或个人编制；</w:t>
      </w:r>
    </w:p>
    <w:p>
      <w:pPr>
        <w:spacing w:line="360" w:lineRule="auto"/>
        <w:ind w:firstLine="420"/>
        <w:rPr>
          <w:rFonts w:ascii="宋体" w:hAnsi="宋体" w:cs="Arial"/>
        </w:rPr>
      </w:pPr>
      <w:r>
        <w:rPr>
          <w:rFonts w:ascii="宋体" w:hAnsi="宋体" w:cs="Arial"/>
        </w:rPr>
        <w:t>b.</w:t>
      </w:r>
      <w:r>
        <w:rPr>
          <w:rFonts w:hint="eastAsia" w:ascii="宋体" w:hAnsi="宋体" w:cs="Arial"/>
        </w:rPr>
        <w:t>不同投标人委托同一单位或个人办理投标事宜；</w:t>
      </w:r>
    </w:p>
    <w:p>
      <w:pPr>
        <w:spacing w:line="360" w:lineRule="auto"/>
        <w:ind w:firstLine="420"/>
        <w:rPr>
          <w:rFonts w:ascii="宋体" w:hAnsi="宋体" w:cs="Arial"/>
        </w:rPr>
      </w:pPr>
      <w:r>
        <w:rPr>
          <w:rFonts w:ascii="宋体" w:hAnsi="宋体" w:cs="Arial"/>
        </w:rPr>
        <w:t>c.</w:t>
      </w:r>
      <w:r>
        <w:rPr>
          <w:rFonts w:hint="eastAsia" w:ascii="宋体" w:hAnsi="宋体" w:cs="Arial"/>
        </w:rPr>
        <w:t>不同投标人的投标文件载明的项目管理成员为同一人；</w:t>
      </w:r>
    </w:p>
    <w:p>
      <w:pPr>
        <w:spacing w:line="360" w:lineRule="auto"/>
        <w:ind w:firstLine="420"/>
        <w:rPr>
          <w:rFonts w:ascii="宋体" w:hAnsi="宋体" w:cs="Arial"/>
        </w:rPr>
      </w:pPr>
      <w:r>
        <w:rPr>
          <w:rFonts w:ascii="宋体" w:hAnsi="宋体" w:cs="Arial"/>
        </w:rPr>
        <w:t>d.</w:t>
      </w:r>
      <w:r>
        <w:rPr>
          <w:rFonts w:hint="eastAsia" w:ascii="宋体" w:hAnsi="宋体" w:cs="Arial"/>
        </w:rPr>
        <w:t>不同投标人的投标文件异常一致或投标报价呈规律性差异；</w:t>
      </w:r>
    </w:p>
    <w:p>
      <w:pPr>
        <w:spacing w:line="360" w:lineRule="auto"/>
        <w:ind w:firstLine="420"/>
        <w:rPr>
          <w:rFonts w:ascii="宋体" w:hAnsi="宋体" w:cs="Arial"/>
        </w:rPr>
      </w:pPr>
      <w:r>
        <w:rPr>
          <w:rFonts w:ascii="宋体" w:hAnsi="宋体" w:cs="Arial"/>
        </w:rPr>
        <w:t>e.</w:t>
      </w:r>
      <w:r>
        <w:rPr>
          <w:rFonts w:hint="eastAsia" w:ascii="宋体" w:hAnsi="宋体" w:cs="Arial"/>
        </w:rPr>
        <w:t>不同投标人的投标文件相互混装；</w:t>
      </w:r>
    </w:p>
    <w:p>
      <w:pPr>
        <w:spacing w:line="360" w:lineRule="auto"/>
        <w:ind w:firstLine="420"/>
        <w:rPr>
          <w:rFonts w:ascii="宋体" w:hAnsi="宋体" w:cs="Arial"/>
        </w:rPr>
      </w:pPr>
      <w:r>
        <w:rPr>
          <w:rFonts w:ascii="宋体" w:hAnsi="宋体" w:cs="Arial"/>
        </w:rPr>
        <w:t>f.</w:t>
      </w:r>
      <w:r>
        <w:rPr>
          <w:rFonts w:hint="eastAsia" w:ascii="宋体" w:hAnsi="宋体" w:cs="Arial"/>
        </w:rPr>
        <w:t>不同投标人的投标保证金从同一单位或个人的账户转出。</w:t>
      </w:r>
    </w:p>
    <w:p>
      <w:pPr>
        <w:spacing w:line="360" w:lineRule="auto"/>
        <w:ind w:firstLine="420"/>
        <w:rPr>
          <w:rFonts w:ascii="宋体" w:hAnsi="宋体" w:cs="Arial"/>
        </w:rPr>
      </w:pPr>
      <w:r>
        <w:rPr>
          <w:rFonts w:hint="eastAsia" w:ascii="宋体" w:hAnsi="宋体" w:cs="Arial"/>
        </w:rPr>
        <w:t>（</w:t>
      </w:r>
      <w:r>
        <w:rPr>
          <w:rFonts w:ascii="宋体" w:hAnsi="宋体" w:cs="Arial"/>
        </w:rPr>
        <w:t>3</w:t>
      </w:r>
      <w:r>
        <w:rPr>
          <w:rFonts w:hint="eastAsia" w:ascii="宋体" w:hAnsi="宋体" w:cs="Arial"/>
        </w:rPr>
        <w:t>）有下列情形之一的，属于招标人与投标人相互串通投标：</w:t>
      </w:r>
    </w:p>
    <w:p>
      <w:pPr>
        <w:spacing w:line="360" w:lineRule="auto"/>
        <w:ind w:firstLine="420"/>
        <w:rPr>
          <w:rFonts w:ascii="宋体" w:hAnsi="宋体" w:cs="Arial"/>
        </w:rPr>
      </w:pPr>
      <w:r>
        <w:rPr>
          <w:rFonts w:ascii="宋体" w:hAnsi="宋体" w:cs="Arial"/>
        </w:rPr>
        <w:t>a.</w:t>
      </w:r>
      <w:r>
        <w:rPr>
          <w:rFonts w:hint="eastAsia" w:ascii="宋体" w:hAnsi="宋体" w:cs="Arial"/>
        </w:rPr>
        <w:t>招标人在开标前开启投标文件并将有关信息泄漏给其他投标人；</w:t>
      </w:r>
    </w:p>
    <w:p>
      <w:pPr>
        <w:spacing w:line="360" w:lineRule="auto"/>
        <w:ind w:firstLine="420"/>
        <w:rPr>
          <w:rFonts w:ascii="宋体" w:hAnsi="宋体" w:cs="Arial"/>
        </w:rPr>
      </w:pPr>
      <w:r>
        <w:rPr>
          <w:rFonts w:ascii="宋体" w:hAnsi="宋体" w:cs="Arial"/>
        </w:rPr>
        <w:t>b.</w:t>
      </w:r>
      <w:r>
        <w:rPr>
          <w:rFonts w:hint="eastAsia" w:ascii="宋体" w:hAnsi="宋体" w:cs="Arial"/>
        </w:rPr>
        <w:t>招标人直接或间接向投标人泄漏标底、评标委员会成员等信息；</w:t>
      </w:r>
    </w:p>
    <w:p>
      <w:pPr>
        <w:spacing w:line="360" w:lineRule="auto"/>
        <w:ind w:firstLine="420"/>
        <w:rPr>
          <w:rFonts w:ascii="宋体" w:hAnsi="宋体" w:cs="Arial"/>
        </w:rPr>
      </w:pPr>
      <w:r>
        <w:rPr>
          <w:rFonts w:ascii="宋体" w:hAnsi="宋体" w:cs="Arial"/>
        </w:rPr>
        <w:t>c.</w:t>
      </w:r>
      <w:r>
        <w:rPr>
          <w:rFonts w:hint="eastAsia" w:ascii="宋体" w:hAnsi="宋体" w:cs="Arial"/>
        </w:rPr>
        <w:t>招标人明示或暗示投标人压低或抬高投标报价；</w:t>
      </w:r>
    </w:p>
    <w:p>
      <w:pPr>
        <w:spacing w:line="360" w:lineRule="auto"/>
        <w:ind w:firstLine="420"/>
        <w:rPr>
          <w:rFonts w:ascii="宋体" w:hAnsi="宋体" w:cs="Arial"/>
        </w:rPr>
      </w:pPr>
      <w:r>
        <w:rPr>
          <w:rFonts w:ascii="宋体" w:hAnsi="宋体" w:cs="Arial"/>
        </w:rPr>
        <w:t>d.</w:t>
      </w:r>
      <w:r>
        <w:rPr>
          <w:rFonts w:hint="eastAsia" w:ascii="宋体" w:hAnsi="宋体" w:cs="Arial"/>
        </w:rPr>
        <w:t>招标人授意投标人撤换、修改投标文件；</w:t>
      </w:r>
    </w:p>
    <w:p>
      <w:pPr>
        <w:spacing w:line="360" w:lineRule="auto"/>
        <w:ind w:firstLine="420"/>
        <w:rPr>
          <w:rFonts w:ascii="宋体" w:hAnsi="宋体" w:cs="Arial"/>
        </w:rPr>
      </w:pPr>
      <w:r>
        <w:rPr>
          <w:rFonts w:ascii="宋体" w:hAnsi="宋体" w:cs="Arial"/>
        </w:rPr>
        <w:t>e.</w:t>
      </w:r>
      <w:r>
        <w:rPr>
          <w:rFonts w:hint="eastAsia" w:ascii="宋体" w:hAnsi="宋体" w:cs="Arial"/>
        </w:rPr>
        <w:t>招标人明示或暗示投标人为特定投标人中标提供方便；</w:t>
      </w:r>
    </w:p>
    <w:p>
      <w:pPr>
        <w:spacing w:line="360" w:lineRule="auto"/>
        <w:ind w:firstLine="420"/>
        <w:rPr>
          <w:rFonts w:ascii="宋体" w:hAnsi="宋体" w:cs="Arial"/>
        </w:rPr>
      </w:pPr>
      <w:r>
        <w:rPr>
          <w:rFonts w:ascii="宋体" w:hAnsi="宋体" w:cs="Arial"/>
        </w:rPr>
        <w:t>f.</w:t>
      </w:r>
      <w:r>
        <w:rPr>
          <w:rFonts w:hint="eastAsia" w:ascii="宋体" w:hAnsi="宋体" w:cs="Arial"/>
        </w:rPr>
        <w:t>招标人与投标人为谋求特定投标人中标而采取的其他串通行为。</w:t>
      </w:r>
    </w:p>
    <w:p>
      <w:pPr>
        <w:spacing w:line="360" w:lineRule="auto"/>
        <w:ind w:firstLine="420"/>
        <w:rPr>
          <w:rFonts w:ascii="宋体" w:hAnsi="宋体" w:cs="Arial"/>
        </w:rPr>
      </w:pPr>
      <w:r>
        <w:rPr>
          <w:rFonts w:hint="eastAsia" w:ascii="宋体" w:hAnsi="宋体" w:cs="Arial"/>
        </w:rPr>
        <w:t>（</w:t>
      </w:r>
      <w:r>
        <w:rPr>
          <w:rFonts w:ascii="宋体" w:hAnsi="宋体" w:cs="Arial"/>
        </w:rPr>
        <w:t>4</w:t>
      </w:r>
      <w:r>
        <w:rPr>
          <w:rFonts w:hint="eastAsia" w:ascii="宋体" w:hAnsi="宋体" w:cs="Arial"/>
        </w:rPr>
        <w:t>）投标人有下列情形之一的，属于弄虚作假的行为：</w:t>
      </w:r>
    </w:p>
    <w:p>
      <w:pPr>
        <w:spacing w:line="360" w:lineRule="auto"/>
        <w:ind w:firstLine="420"/>
        <w:rPr>
          <w:rFonts w:ascii="宋体" w:hAnsi="宋体" w:cs="Arial"/>
        </w:rPr>
      </w:pPr>
      <w:r>
        <w:rPr>
          <w:rFonts w:ascii="宋体" w:hAnsi="宋体" w:cs="Arial"/>
        </w:rPr>
        <w:t>a.</w:t>
      </w:r>
      <w:r>
        <w:rPr>
          <w:rFonts w:hint="eastAsia" w:ascii="宋体" w:hAnsi="宋体" w:cs="Arial"/>
        </w:rPr>
        <w:t>使用通过受让或租借等方式获取的资格、资质证书投标；</w:t>
      </w:r>
    </w:p>
    <w:p>
      <w:pPr>
        <w:spacing w:line="360" w:lineRule="auto"/>
        <w:ind w:firstLine="420"/>
        <w:rPr>
          <w:rFonts w:ascii="宋体" w:hAnsi="宋体" w:cs="Arial"/>
        </w:rPr>
      </w:pPr>
      <w:r>
        <w:rPr>
          <w:rFonts w:ascii="宋体" w:hAnsi="宋体" w:cs="Arial"/>
        </w:rPr>
        <w:t>b.</w:t>
      </w:r>
      <w:r>
        <w:rPr>
          <w:rFonts w:hint="eastAsia" w:ascii="宋体" w:hAnsi="宋体" w:cs="Arial"/>
        </w:rPr>
        <w:t>使用伪造、变造的许可证件；</w:t>
      </w:r>
    </w:p>
    <w:p>
      <w:pPr>
        <w:spacing w:line="360" w:lineRule="auto"/>
        <w:ind w:firstLine="420"/>
        <w:rPr>
          <w:rFonts w:ascii="宋体" w:hAnsi="宋体" w:cs="Arial"/>
        </w:rPr>
      </w:pPr>
      <w:r>
        <w:rPr>
          <w:rFonts w:ascii="宋体" w:hAnsi="宋体" w:cs="Arial"/>
        </w:rPr>
        <w:t>c.</w:t>
      </w:r>
      <w:r>
        <w:rPr>
          <w:rFonts w:hint="eastAsia" w:ascii="宋体" w:hAnsi="宋体" w:cs="Arial"/>
        </w:rPr>
        <w:t>提供虚假的财务状况或业绩；</w:t>
      </w:r>
    </w:p>
    <w:p>
      <w:pPr>
        <w:spacing w:line="360" w:lineRule="auto"/>
        <w:ind w:firstLine="420"/>
        <w:rPr>
          <w:rFonts w:ascii="宋体" w:hAnsi="宋体" w:cs="Arial"/>
        </w:rPr>
      </w:pPr>
      <w:r>
        <w:rPr>
          <w:rFonts w:ascii="宋体" w:hAnsi="宋体" w:cs="Arial"/>
        </w:rPr>
        <w:t>d.</w:t>
      </w:r>
      <w:r>
        <w:rPr>
          <w:rFonts w:hint="eastAsia" w:ascii="宋体" w:hAnsi="宋体" w:cs="Arial"/>
        </w:rPr>
        <w:t>提供虚假的项目负责人或主要技术人员简历、劳动关系证明；</w:t>
      </w:r>
    </w:p>
    <w:p>
      <w:pPr>
        <w:spacing w:line="360" w:lineRule="auto"/>
        <w:ind w:firstLine="420"/>
        <w:rPr>
          <w:rFonts w:ascii="宋体" w:hAnsi="宋体" w:cs="Arial"/>
        </w:rPr>
      </w:pPr>
      <w:r>
        <w:rPr>
          <w:rFonts w:ascii="宋体" w:hAnsi="宋体" w:cs="Arial"/>
        </w:rPr>
        <w:t>e.</w:t>
      </w:r>
      <w:r>
        <w:rPr>
          <w:rFonts w:hint="eastAsia" w:ascii="宋体" w:hAnsi="宋体" w:cs="Arial"/>
        </w:rPr>
        <w:t>提供虚假的信用状况；</w:t>
      </w:r>
    </w:p>
    <w:p>
      <w:pPr>
        <w:spacing w:line="360" w:lineRule="auto"/>
        <w:ind w:firstLine="420"/>
        <w:rPr>
          <w:rFonts w:ascii="宋体" w:hAnsi="宋体" w:cs="Arial"/>
        </w:rPr>
      </w:pPr>
      <w:r>
        <w:rPr>
          <w:rFonts w:ascii="宋体" w:hAnsi="宋体" w:cs="Arial"/>
        </w:rPr>
        <w:t>f.</w:t>
      </w:r>
      <w:r>
        <w:rPr>
          <w:rFonts w:hint="eastAsia" w:ascii="宋体" w:hAnsi="宋体" w:cs="Arial"/>
        </w:rPr>
        <w:t>其他弄虚作假的行为。</w:t>
      </w:r>
    </w:p>
    <w:p>
      <w:pPr>
        <w:spacing w:line="360" w:lineRule="auto"/>
        <w:rPr>
          <w:rFonts w:ascii="宋体" w:hAnsi="宋体" w:cs="Arial"/>
          <w:b/>
          <w:sz w:val="28"/>
          <w:szCs w:val="28"/>
        </w:rPr>
      </w:pPr>
      <w:r>
        <w:rPr>
          <w:rFonts w:ascii="宋体" w:hAnsi="宋体" w:cs="Arial"/>
          <w:b/>
          <w:sz w:val="28"/>
          <w:szCs w:val="28"/>
        </w:rPr>
        <w:t xml:space="preserve">3.6 </w:t>
      </w:r>
      <w:r>
        <w:rPr>
          <w:rFonts w:hint="eastAsia" w:ascii="宋体" w:hAnsi="宋体" w:cs="Arial"/>
          <w:b/>
          <w:sz w:val="28"/>
          <w:szCs w:val="28"/>
        </w:rPr>
        <w:t>投标文件的澄清和说明</w:t>
      </w:r>
    </w:p>
    <w:p>
      <w:pPr>
        <w:spacing w:line="360" w:lineRule="auto"/>
        <w:ind w:firstLine="422" w:firstLineChars="200"/>
        <w:rPr>
          <w:rFonts w:ascii="宋体" w:hAnsi="宋体" w:cs="Arial"/>
          <w:szCs w:val="21"/>
        </w:rPr>
      </w:pPr>
      <w:r>
        <w:rPr>
          <w:rFonts w:ascii="宋体" w:hAnsi="宋体" w:cs="Arial"/>
          <w:b/>
          <w:szCs w:val="21"/>
        </w:rPr>
        <w:t>3.6.1</w:t>
      </w:r>
      <w:r>
        <w:rPr>
          <w:rFonts w:ascii="宋体" w:hAnsi="宋体" w:cs="Arial"/>
          <w:szCs w:val="21"/>
        </w:rPr>
        <w:t xml:space="preserve"> </w:t>
      </w:r>
      <w:r>
        <w:rPr>
          <w:rFonts w:hint="eastAsia" w:ascii="宋体" w:hAnsi="宋体" w:cs="Arial"/>
          <w:szCs w:val="21"/>
        </w:rPr>
        <w:t>在评标过程中，评标委员会可以书面形式要求投标人对所提交投标文件中不明确的内容、明显文字或计算错误进行书面澄清或说明。评标委员会不接受投标人主动提出的澄清、说明。投标人不按评标委员会要求澄清或说明的，评标委员会应否决其投标。</w:t>
      </w:r>
    </w:p>
    <w:p>
      <w:pPr>
        <w:spacing w:line="360" w:lineRule="auto"/>
        <w:ind w:firstLine="422" w:firstLineChars="200"/>
        <w:rPr>
          <w:rFonts w:ascii="宋体" w:hAnsi="宋体" w:cs="Arial"/>
          <w:szCs w:val="21"/>
        </w:rPr>
      </w:pPr>
      <w:r>
        <w:rPr>
          <w:rFonts w:ascii="宋体" w:hAnsi="宋体" w:cs="Arial"/>
          <w:b/>
          <w:szCs w:val="21"/>
        </w:rPr>
        <w:t xml:space="preserve">3.6.2 </w:t>
      </w:r>
      <w:r>
        <w:rPr>
          <w:rFonts w:hint="eastAsia" w:ascii="宋体" w:hAnsi="宋体" w:cs="Arial"/>
          <w:szCs w:val="21"/>
        </w:rPr>
        <w:t>澄清和说明不得超出投标文件的范围或改变投标文件的实质性内容（算术性错误修正的除外）。投标人的书面澄清、说明属于投标文件的组成部分。</w:t>
      </w:r>
    </w:p>
    <w:p>
      <w:pPr>
        <w:spacing w:line="360" w:lineRule="auto"/>
        <w:ind w:firstLine="422" w:firstLineChars="200"/>
        <w:rPr>
          <w:rFonts w:ascii="宋体" w:hAnsi="宋体" w:cs="Arial"/>
          <w:szCs w:val="21"/>
        </w:rPr>
      </w:pPr>
      <w:r>
        <w:rPr>
          <w:rFonts w:ascii="宋体" w:hAnsi="宋体" w:cs="Arial"/>
          <w:b/>
          <w:szCs w:val="21"/>
        </w:rPr>
        <w:t>3.6.3</w:t>
      </w:r>
      <w:r>
        <w:rPr>
          <w:rFonts w:ascii="宋体" w:hAnsi="宋体" w:cs="Arial"/>
          <w:szCs w:val="21"/>
        </w:rPr>
        <w:t xml:space="preserve"> </w:t>
      </w:r>
      <w:r>
        <w:rPr>
          <w:rFonts w:hint="eastAsia" w:ascii="宋体" w:hAnsi="宋体" w:cs="Arial"/>
          <w:szCs w:val="21"/>
        </w:rPr>
        <w:t>评标委员会不得暗示或诱导投标人作出澄清、说明，对投标人提交的澄清、说明有疑问的，可以要求投标人进一步澄清或说明，直至满足评标委员会的要求。</w:t>
      </w:r>
    </w:p>
    <w:p>
      <w:pPr>
        <w:spacing w:line="360" w:lineRule="auto"/>
        <w:ind w:firstLine="422" w:firstLineChars="200"/>
        <w:rPr>
          <w:rFonts w:ascii="宋体" w:hAnsi="宋体" w:cs="Arial"/>
          <w:szCs w:val="21"/>
        </w:rPr>
      </w:pPr>
      <w:r>
        <w:rPr>
          <w:rFonts w:ascii="宋体" w:hAnsi="宋体" w:cs="Arial"/>
          <w:b/>
          <w:szCs w:val="21"/>
        </w:rPr>
        <w:t>3.6.4</w:t>
      </w:r>
      <w:r>
        <w:rPr>
          <w:rFonts w:hint="eastAsia" w:ascii="宋体" w:hAnsi="宋体" w:cs="Arial"/>
          <w:szCs w:val="21"/>
        </w:rPr>
        <w:t>凡超出招标文件规定的或给发包人带来未曾要求的利益的变化、偏差或其他因素在评标时不予考虑。</w:t>
      </w:r>
    </w:p>
    <w:p>
      <w:pPr>
        <w:spacing w:line="360" w:lineRule="auto"/>
        <w:rPr>
          <w:rFonts w:ascii="宋体" w:hAnsi="宋体" w:cs="Arial"/>
          <w:b/>
          <w:sz w:val="28"/>
          <w:szCs w:val="28"/>
        </w:rPr>
      </w:pPr>
      <w:r>
        <w:rPr>
          <w:rFonts w:ascii="宋体" w:hAnsi="宋体" w:cs="Arial"/>
          <w:b/>
          <w:sz w:val="28"/>
          <w:szCs w:val="28"/>
        </w:rPr>
        <w:t>3.7</w:t>
      </w:r>
      <w:r>
        <w:rPr>
          <w:rFonts w:hint="eastAsia" w:ascii="宋体" w:hAnsi="宋体" w:cs="Arial"/>
          <w:b/>
          <w:sz w:val="28"/>
          <w:szCs w:val="28"/>
        </w:rPr>
        <w:t>不得否决投标的情形</w:t>
      </w:r>
    </w:p>
    <w:p>
      <w:pPr>
        <w:spacing w:line="360" w:lineRule="auto"/>
        <w:rPr>
          <w:rFonts w:ascii="宋体" w:hAnsi="宋体" w:cs="Arial"/>
        </w:rPr>
      </w:pPr>
      <w:r>
        <w:rPr>
          <w:rFonts w:ascii="宋体" w:hAnsi="宋体" w:cs="Arial"/>
        </w:rPr>
        <w:t xml:space="preserve">    </w:t>
      </w:r>
      <w:r>
        <w:rPr>
          <w:rFonts w:hint="eastAsia" w:ascii="宋体" w:hAnsi="宋体" w:cs="Arial"/>
        </w:rPr>
        <w:t>投标文件存在第二章“投标人须知”第</w:t>
      </w:r>
      <w:r>
        <w:rPr>
          <w:rFonts w:ascii="宋体" w:hAnsi="宋体" w:cs="Arial"/>
        </w:rPr>
        <w:t>1.12.3</w:t>
      </w:r>
      <w:r>
        <w:rPr>
          <w:rFonts w:hint="eastAsia" w:ascii="宋体" w:hAnsi="宋体" w:cs="Arial"/>
        </w:rPr>
        <w:t>项所列情形的，均视为细微偏差，评标委员会不得否决投标人的投标，应按照第二章“投标人须知”第</w:t>
      </w:r>
      <w:r>
        <w:rPr>
          <w:rFonts w:ascii="宋体" w:hAnsi="宋体" w:cs="Arial"/>
        </w:rPr>
        <w:t>1.12.4</w:t>
      </w:r>
      <w:r>
        <w:rPr>
          <w:rFonts w:hint="eastAsia" w:ascii="宋体" w:hAnsi="宋体" w:cs="Arial"/>
        </w:rPr>
        <w:t>项规定的原则处理。</w:t>
      </w:r>
    </w:p>
    <w:p>
      <w:pPr>
        <w:spacing w:line="360" w:lineRule="auto"/>
        <w:rPr>
          <w:rFonts w:ascii="宋体" w:hAnsi="宋体" w:cs="Arial"/>
          <w:b/>
          <w:sz w:val="28"/>
          <w:szCs w:val="28"/>
        </w:rPr>
      </w:pPr>
      <w:r>
        <w:rPr>
          <w:rFonts w:ascii="宋体" w:hAnsi="宋体" w:cs="Arial"/>
          <w:b/>
          <w:sz w:val="28"/>
          <w:szCs w:val="28"/>
        </w:rPr>
        <w:t>3.8</w:t>
      </w:r>
      <w:r>
        <w:rPr>
          <w:rFonts w:hint="eastAsia" w:ascii="宋体" w:hAnsi="宋体" w:cs="Arial"/>
          <w:b/>
          <w:sz w:val="28"/>
          <w:szCs w:val="28"/>
        </w:rPr>
        <w:t>评标结果</w:t>
      </w:r>
    </w:p>
    <w:p>
      <w:pPr>
        <w:spacing w:line="360" w:lineRule="auto"/>
        <w:ind w:firstLine="422" w:firstLineChars="200"/>
        <w:rPr>
          <w:rFonts w:ascii="宋体" w:hAnsi="宋体" w:cs="Arial"/>
          <w:szCs w:val="21"/>
        </w:rPr>
      </w:pPr>
      <w:r>
        <w:rPr>
          <w:rFonts w:ascii="宋体" w:hAnsi="宋体" w:cs="Arial"/>
          <w:b/>
          <w:szCs w:val="21"/>
        </w:rPr>
        <w:t>3.8.1</w:t>
      </w:r>
      <w:r>
        <w:rPr>
          <w:rFonts w:ascii="宋体" w:hAnsi="宋体" w:cs="Arial"/>
          <w:szCs w:val="21"/>
        </w:rPr>
        <w:t xml:space="preserve"> </w:t>
      </w:r>
      <w:r>
        <w:rPr>
          <w:rFonts w:hint="eastAsia" w:ascii="宋体" w:hAnsi="宋体" w:cs="Arial"/>
          <w:szCs w:val="21"/>
        </w:rPr>
        <w:t>除第二章</w:t>
      </w:r>
      <w:r>
        <w:rPr>
          <w:rFonts w:ascii="宋体" w:hAnsi="宋体" w:cs="Arial"/>
          <w:szCs w:val="21"/>
        </w:rPr>
        <w:t>“</w:t>
      </w:r>
      <w:r>
        <w:rPr>
          <w:rFonts w:hint="eastAsia" w:ascii="宋体" w:hAnsi="宋体" w:cs="Arial"/>
          <w:szCs w:val="21"/>
        </w:rPr>
        <w:t>投标人须知</w:t>
      </w:r>
      <w:r>
        <w:rPr>
          <w:rFonts w:ascii="宋体" w:hAnsi="宋体" w:cs="Arial"/>
          <w:szCs w:val="21"/>
        </w:rPr>
        <w:t>”</w:t>
      </w:r>
      <w:r>
        <w:rPr>
          <w:rFonts w:hint="eastAsia" w:ascii="宋体" w:hAnsi="宋体" w:cs="Arial"/>
          <w:szCs w:val="21"/>
        </w:rPr>
        <w:t>前附表授权直接确定中标人外，评标委员会按照得分由高到低的顺序推荐中标候选人，并标明排序。</w:t>
      </w:r>
    </w:p>
    <w:p>
      <w:pPr>
        <w:pStyle w:val="2"/>
      </w:pPr>
      <w:r>
        <w:rPr>
          <w:rFonts w:ascii="宋体" w:hAnsi="宋体" w:cs="Arial"/>
          <w:b/>
          <w:szCs w:val="21"/>
        </w:rPr>
        <w:t xml:space="preserve">3.8.2 </w:t>
      </w:r>
      <w:r>
        <w:rPr>
          <w:rFonts w:hint="eastAsia" w:ascii="宋体" w:hAnsi="宋体" w:cs="Arial"/>
          <w:szCs w:val="21"/>
        </w:rPr>
        <w:t>评标委员会完成评标后，应当向招标人提交书面评标报告。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26058"/>
    <w:multiLevelType w:val="multilevel"/>
    <w:tmpl w:val="26E26058"/>
    <w:lvl w:ilvl="0" w:tentative="0">
      <w:start w:val="1"/>
      <w:numFmt w:val="decimal"/>
      <w:lvlText w:val="（%1）"/>
      <w:lvlJc w:val="left"/>
      <w:pPr>
        <w:tabs>
          <w:tab w:val="left" w:pos="-340"/>
        </w:tabs>
        <w:ind w:firstLine="567"/>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4A306A39"/>
    <w:multiLevelType w:val="multilevel"/>
    <w:tmpl w:val="4A306A39"/>
    <w:lvl w:ilvl="0" w:tentative="0">
      <w:start w:val="1"/>
      <w:numFmt w:val="decimal"/>
      <w:lvlText w:val="（%1）"/>
      <w:lvlJc w:val="left"/>
      <w:pPr>
        <w:tabs>
          <w:tab w:val="left" w:pos="-340"/>
        </w:tabs>
        <w:ind w:firstLine="567"/>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Q0MmUzZDNlMDg2YjgxODMzZjgwNmNlMTRmNDM1M2MifQ=="/>
  </w:docVars>
  <w:rsids>
    <w:rsidRoot w:val="000B1B0A"/>
    <w:rsid w:val="000B1B0A"/>
    <w:rsid w:val="000B37CB"/>
    <w:rsid w:val="4E2575CF"/>
    <w:rsid w:val="68F0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6"/>
    <w:qFormat/>
    <w:uiPriority w:val="0"/>
    <w:pPr>
      <w:keepNext/>
      <w:keepLines/>
      <w:widowControl/>
      <w:spacing w:before="120" w:after="120" w:line="360" w:lineRule="auto"/>
      <w:jc w:val="left"/>
      <w:outlineLvl w:val="2"/>
    </w:pPr>
    <w:rPr>
      <w:b/>
      <w:kern w:val="0"/>
      <w:sz w:val="32"/>
      <w:szCs w:val="20"/>
    </w:rPr>
  </w:style>
  <w:style w:type="paragraph" w:styleId="4">
    <w:name w:val="heading 4"/>
    <w:basedOn w:val="1"/>
    <w:next w:val="5"/>
    <w:link w:val="17"/>
    <w:qFormat/>
    <w:uiPriority w:val="0"/>
    <w:pPr>
      <w:keepNext/>
      <w:adjustRightInd w:val="0"/>
      <w:spacing w:line="420" w:lineRule="atLeast"/>
      <w:jc w:val="left"/>
      <w:textAlignment w:val="baseline"/>
      <w:outlineLvl w:val="3"/>
    </w:pPr>
    <w:rPr>
      <w:kern w:val="0"/>
      <w:szCs w:val="20"/>
    </w:rPr>
  </w:style>
  <w:style w:type="paragraph" w:styleId="6">
    <w:name w:val="heading 5"/>
    <w:basedOn w:val="1"/>
    <w:next w:val="1"/>
    <w:link w:val="18"/>
    <w:qFormat/>
    <w:uiPriority w:val="0"/>
    <w:pPr>
      <w:keepNext/>
      <w:keepLines/>
      <w:spacing w:before="280" w:after="290" w:line="376" w:lineRule="auto"/>
      <w:outlineLvl w:val="4"/>
    </w:pPr>
    <w:rPr>
      <w:b/>
      <w:sz w:val="28"/>
      <w:szCs w:val="2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5">
    <w:name w:val="Normal Indent"/>
    <w:basedOn w:val="1"/>
    <w:semiHidden/>
    <w:unhideWhenUsed/>
    <w:uiPriority w:val="99"/>
    <w:pPr>
      <w:ind w:firstLine="420" w:firstLineChars="200"/>
    </w:pPr>
  </w:style>
  <w:style w:type="paragraph" w:styleId="7">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5"/>
    <w:qFormat/>
    <w:uiPriority w:val="0"/>
    <w:pPr>
      <w:adjustRightInd w:val="0"/>
      <w:snapToGrid w:val="0"/>
      <w:spacing w:line="420" w:lineRule="atLeast"/>
      <w:ind w:firstLine="454"/>
      <w:jc w:val="left"/>
      <w:textAlignment w:val="baseline"/>
    </w:pPr>
    <w:rPr>
      <w:rFonts w:asciiTheme="minorHAnsi" w:hAnsiTheme="minorHAnsi" w:eastAsiaTheme="minorEastAsia" w:cstheme="minorBidi"/>
      <w:sz w:val="18"/>
      <w:szCs w:val="22"/>
    </w:rPr>
  </w:style>
  <w:style w:type="character" w:styleId="11">
    <w:name w:val="Hyperlink"/>
    <w:basedOn w:val="10"/>
    <w:qFormat/>
    <w:uiPriority w:val="0"/>
    <w:rPr>
      <w:rFonts w:cs="Times New Roman"/>
      <w:color w:val="0000FF"/>
      <w:u w:val="single"/>
    </w:rPr>
  </w:style>
  <w:style w:type="character" w:customStyle="1" w:styleId="12">
    <w:name w:val="页眉 Char"/>
    <w:basedOn w:val="10"/>
    <w:link w:val="7"/>
    <w:semiHidden/>
    <w:uiPriority w:val="99"/>
    <w:rPr>
      <w:sz w:val="18"/>
      <w:szCs w:val="18"/>
    </w:rPr>
  </w:style>
  <w:style w:type="character" w:customStyle="1" w:styleId="13">
    <w:name w:val="页脚 Char"/>
    <w:basedOn w:val="10"/>
    <w:link w:val="2"/>
    <w:qFormat/>
    <w:uiPriority w:val="99"/>
    <w:rPr>
      <w:sz w:val="18"/>
      <w:szCs w:val="18"/>
    </w:rPr>
  </w:style>
  <w:style w:type="character" w:customStyle="1" w:styleId="14">
    <w:name w:val="脚注文本 Char"/>
    <w:basedOn w:val="10"/>
    <w:link w:val="8"/>
    <w:qFormat/>
    <w:locked/>
    <w:uiPriority w:val="0"/>
    <w:rPr>
      <w:sz w:val="18"/>
    </w:rPr>
  </w:style>
  <w:style w:type="character" w:customStyle="1" w:styleId="15">
    <w:name w:val="脚注文本 Char1"/>
    <w:basedOn w:val="10"/>
    <w:link w:val="8"/>
    <w:semiHidden/>
    <w:qFormat/>
    <w:uiPriority w:val="99"/>
    <w:rPr>
      <w:rFonts w:ascii="Times New Roman" w:hAnsi="Times New Roman" w:eastAsia="宋体" w:cs="Times New Roman"/>
      <w:sz w:val="18"/>
      <w:szCs w:val="18"/>
    </w:rPr>
  </w:style>
  <w:style w:type="character" w:customStyle="1" w:styleId="16">
    <w:name w:val="标题 3 Char"/>
    <w:basedOn w:val="10"/>
    <w:link w:val="3"/>
    <w:qFormat/>
    <w:uiPriority w:val="0"/>
    <w:rPr>
      <w:rFonts w:ascii="Times New Roman" w:hAnsi="Times New Roman" w:eastAsia="宋体" w:cs="Times New Roman"/>
      <w:b/>
      <w:kern w:val="0"/>
      <w:sz w:val="32"/>
      <w:szCs w:val="20"/>
    </w:rPr>
  </w:style>
  <w:style w:type="character" w:customStyle="1" w:styleId="17">
    <w:name w:val="标题 4 Char"/>
    <w:basedOn w:val="10"/>
    <w:link w:val="4"/>
    <w:qFormat/>
    <w:uiPriority w:val="0"/>
    <w:rPr>
      <w:rFonts w:ascii="Times New Roman" w:hAnsi="Times New Roman" w:eastAsia="宋体" w:cs="Times New Roman"/>
      <w:kern w:val="0"/>
      <w:szCs w:val="20"/>
    </w:rPr>
  </w:style>
  <w:style w:type="character" w:customStyle="1" w:styleId="18">
    <w:name w:val="标题 5 Char"/>
    <w:basedOn w:val="10"/>
    <w:link w:val="6"/>
    <w:qFormat/>
    <w:uiPriority w:val="0"/>
    <w:rPr>
      <w:rFonts w:ascii="Times New Roman" w:hAnsi="Times New Roman" w:eastAsia="宋体" w:cs="Times New Roman"/>
      <w:b/>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7900</Words>
  <Characters>8368</Characters>
  <Lines>92</Lines>
  <Paragraphs>26</Paragraphs>
  <TotalTime>0</TotalTime>
  <ScaleCrop>false</ScaleCrop>
  <LinksUpToDate>false</LinksUpToDate>
  <CharactersWithSpaces>8434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2022-04-27T06:33:00Z</dcterms:created>
  <dc:creator>Microsoft</dc:creator>
  <cp:lastModifiedBy>卓子</cp:lastModifiedBy>
  <dcterms:modified xsi:type="dcterms:W3CDTF">2022-04-29T08:33:07Z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2B4B79CF14644D7DA1D3EFEA2E479699</vt:lpwstr>
  </property>
</Properties>
</file>