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60" w:after="60" w:line="240" w:lineRule="auto"/>
        <w:ind w:left="0" w:firstLine="0" w:firstLineChars="0"/>
        <w:jc w:val="both"/>
        <w:rPr>
          <w:rFonts w:hint="eastAsia"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附件：投标人资格要求、评标办法</w:t>
      </w:r>
    </w:p>
    <w:p>
      <w:pPr>
        <w:snapToGrid w:val="0"/>
        <w:spacing w:before="60" w:after="60" w:line="240" w:lineRule="auto"/>
        <w:ind w:left="0" w:firstLine="0" w:firstLineChars="0"/>
        <w:jc w:val="both"/>
        <w:rPr>
          <w:rFonts w:hint="eastAsia" w:ascii="黑体" w:hAnsi="黑体" w:eastAsia="黑体" w:cs="Times New Roman"/>
          <w:color w:val="auto"/>
          <w:sz w:val="32"/>
          <w:szCs w:val="32"/>
          <w:highlight w:val="none"/>
        </w:rPr>
      </w:pPr>
    </w:p>
    <w:p>
      <w:pPr>
        <w:pStyle w:val="3"/>
        <w:spacing w:before="240" w:after="240" w:line="240" w:lineRule="atLeast"/>
        <w:jc w:val="center"/>
        <w:rPr>
          <w:color w:val="auto"/>
          <w:highlight w:val="none"/>
          <w:shd w:val="clear" w:color="auto" w:fill="auto"/>
        </w:rPr>
      </w:pPr>
      <w:bookmarkStart w:id="0" w:name="_Toc2449"/>
      <w:bookmarkStart w:id="1" w:name="_Toc501257053"/>
      <w:bookmarkStart w:id="2" w:name="_Toc234832863"/>
      <w:r>
        <w:rPr>
          <w:rFonts w:eastAsia="黑体"/>
          <w:color w:val="auto"/>
          <w:sz w:val="28"/>
          <w:szCs w:val="28"/>
          <w:highlight w:val="none"/>
          <w:shd w:val="clear" w:color="auto" w:fill="auto"/>
        </w:rPr>
        <w:t>附录1  资格审查条件（资质最低要求）</w:t>
      </w:r>
      <w:bookmarkEnd w:id="0"/>
      <w:bookmarkEnd w:id="1"/>
      <w:bookmarkEnd w:id="2"/>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8819" w:type="dxa"/>
            <w:noWrap w:val="0"/>
            <w:vAlign w:val="center"/>
          </w:tcPr>
          <w:p>
            <w:pPr>
              <w:adjustRightInd w:val="0"/>
              <w:snapToGrid w:val="0"/>
              <w:spacing w:line="400" w:lineRule="atLeast"/>
              <w:jc w:val="center"/>
              <w:rPr>
                <w:color w:val="auto"/>
                <w:szCs w:val="21"/>
                <w:highlight w:val="none"/>
                <w:shd w:val="clear" w:color="auto" w:fill="auto"/>
              </w:rPr>
            </w:pPr>
            <w:r>
              <w:rPr>
                <w:color w:val="auto"/>
                <w:szCs w:val="21"/>
                <w:highlight w:val="none"/>
                <w:shd w:val="clear" w:color="auto" w:fill="auto"/>
              </w:rPr>
              <w:t>企业资质等级要求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2" w:hRule="atLeast"/>
          <w:jc w:val="center"/>
        </w:trPr>
        <w:tc>
          <w:tcPr>
            <w:tcW w:w="8819" w:type="dxa"/>
            <w:noWrap w:val="0"/>
            <w:vAlign w:val="center"/>
          </w:tcPr>
          <w:p>
            <w:pPr>
              <w:spacing w:line="360" w:lineRule="exact"/>
              <w:rPr>
                <w:rFonts w:hint="eastAsia" w:ascii="Times New Roman" w:hAnsi="Times New Roman" w:eastAsia="宋体" w:cs="Times New Roman"/>
                <w:color w:val="auto"/>
                <w:szCs w:val="21"/>
                <w:highlight w:val="none"/>
                <w:shd w:val="clear" w:color="auto" w:fill="auto"/>
                <w:lang w:eastAsia="zh-CN"/>
              </w:rPr>
            </w:pPr>
            <w:r>
              <w:rPr>
                <w:rFonts w:hint="eastAsia" w:ascii="Times New Roman" w:hAnsi="Times New Roman" w:eastAsia="宋体" w:cs="Times New Roman"/>
                <w:color w:val="auto"/>
                <w:szCs w:val="21"/>
                <w:highlight w:val="none"/>
                <w:shd w:val="clear" w:color="auto" w:fill="auto"/>
                <w:lang w:val="en-US" w:eastAsia="zh-CN"/>
              </w:rPr>
              <w:t>1.</w:t>
            </w:r>
            <w:r>
              <w:rPr>
                <w:rFonts w:hint="eastAsia" w:ascii="Times New Roman" w:hAnsi="Times New Roman" w:eastAsia="宋体" w:cs="Times New Roman"/>
                <w:color w:val="auto"/>
                <w:szCs w:val="21"/>
                <w:highlight w:val="none"/>
                <w:shd w:val="clear" w:color="auto" w:fill="auto"/>
              </w:rPr>
              <w:t>具有有效的企业法人营业执照</w:t>
            </w:r>
            <w:r>
              <w:rPr>
                <w:rFonts w:hint="eastAsia" w:ascii="Times New Roman" w:hAnsi="Times New Roman" w:eastAsia="宋体" w:cs="Times New Roman"/>
                <w:color w:val="auto"/>
                <w:szCs w:val="21"/>
                <w:highlight w:val="none"/>
                <w:shd w:val="clear" w:color="auto" w:fill="auto"/>
                <w:lang w:eastAsia="zh-CN"/>
              </w:rPr>
              <w:t>；</w:t>
            </w:r>
          </w:p>
          <w:p>
            <w:pPr>
              <w:spacing w:line="360" w:lineRule="exact"/>
              <w:rPr>
                <w:rFonts w:hint="eastAsia" w:ascii="Times New Roman" w:hAnsi="Times New Roman" w:eastAsia="宋体" w:cs="Times New Roman"/>
                <w:color w:val="auto"/>
                <w:szCs w:val="21"/>
                <w:highlight w:val="none"/>
                <w:shd w:val="clear" w:color="auto" w:fill="auto"/>
                <w:lang w:eastAsia="zh-CN"/>
              </w:rPr>
            </w:pPr>
            <w:r>
              <w:rPr>
                <w:rFonts w:hint="eastAsia" w:ascii="Times New Roman" w:hAnsi="Times New Roman" w:eastAsia="宋体" w:cs="Times New Roman"/>
                <w:color w:val="auto"/>
                <w:szCs w:val="21"/>
                <w:highlight w:val="none"/>
                <w:shd w:val="clear" w:color="auto" w:fill="auto"/>
                <w:lang w:val="en-US" w:eastAsia="zh-CN"/>
              </w:rPr>
              <w:t>2. 企业资质要求：</w:t>
            </w:r>
          </w:p>
          <w:p>
            <w:pPr>
              <w:spacing w:line="360" w:lineRule="exact"/>
              <w:rPr>
                <w:color w:val="auto"/>
                <w:szCs w:val="21"/>
                <w:highlight w:val="none"/>
                <w:shd w:val="clear" w:color="auto" w:fill="auto"/>
              </w:rPr>
            </w:pPr>
            <w:r>
              <w:rPr>
                <w:rFonts w:hint="eastAsia" w:ascii="Times New Roman" w:hAnsi="Times New Roman" w:eastAsia="宋体" w:cs="Times New Roman"/>
                <w:color w:val="auto"/>
                <w:szCs w:val="21"/>
                <w:highlight w:val="none"/>
                <w:shd w:val="clear" w:color="auto" w:fill="auto"/>
                <w:lang w:val="en-US" w:eastAsia="zh-CN"/>
              </w:rPr>
              <w:t>（1）投标人须具备有效的公路交通工程专业承包资质（</w:t>
            </w:r>
            <w:r>
              <w:rPr>
                <w:rFonts w:hint="eastAsia" w:ascii="Times New Roman" w:hAnsi="Times New Roman" w:eastAsia="宋体" w:cs="Times New Roman"/>
                <w:b/>
                <w:bCs/>
                <w:color w:val="auto"/>
                <w:szCs w:val="21"/>
                <w:highlight w:val="none"/>
                <w:shd w:val="clear" w:color="auto" w:fill="auto"/>
                <w:lang w:val="en-US" w:eastAsia="zh-CN"/>
              </w:rPr>
              <w:t>公路安全设施分项一级</w:t>
            </w:r>
            <w:r>
              <w:rPr>
                <w:rFonts w:hint="eastAsia" w:ascii="Times New Roman" w:hAnsi="Times New Roman" w:eastAsia="宋体" w:cs="Times New Roman"/>
                <w:color w:val="auto"/>
                <w:szCs w:val="21"/>
                <w:highlight w:val="none"/>
                <w:shd w:val="clear" w:color="auto" w:fill="auto"/>
                <w:lang w:val="en-US" w:eastAsia="zh-CN"/>
              </w:rPr>
              <w:t>），并备有效的企业安全生产许可证。</w:t>
            </w:r>
          </w:p>
        </w:tc>
      </w:tr>
    </w:tbl>
    <w:p>
      <w:pPr>
        <w:adjustRightInd w:val="0"/>
        <w:snapToGrid w:val="0"/>
        <w:spacing w:line="300" w:lineRule="exact"/>
        <w:rPr>
          <w:rFonts w:eastAsia="隶书"/>
          <w:b/>
          <w:color w:val="auto"/>
          <w:sz w:val="32"/>
          <w:highlight w:val="none"/>
          <w:shd w:val="clear" w:color="auto" w:fill="auto"/>
        </w:rPr>
      </w:pPr>
    </w:p>
    <w:p>
      <w:pPr>
        <w:adjustRightInd w:val="0"/>
        <w:snapToGrid w:val="0"/>
        <w:spacing w:line="300" w:lineRule="exact"/>
        <w:rPr>
          <w:rFonts w:eastAsia="隶书"/>
          <w:b/>
          <w:color w:val="auto"/>
          <w:sz w:val="32"/>
          <w:highlight w:val="none"/>
          <w:shd w:val="clear" w:color="auto" w:fill="auto"/>
        </w:rPr>
      </w:pPr>
    </w:p>
    <w:p>
      <w:pPr>
        <w:pStyle w:val="3"/>
        <w:spacing w:before="240" w:after="240" w:line="240" w:lineRule="atLeast"/>
        <w:jc w:val="center"/>
        <w:rPr>
          <w:rFonts w:eastAsia="黑体"/>
          <w:color w:val="auto"/>
          <w:sz w:val="28"/>
          <w:szCs w:val="28"/>
          <w:highlight w:val="none"/>
          <w:shd w:val="clear" w:color="auto" w:fill="auto"/>
        </w:rPr>
      </w:pPr>
      <w:bookmarkStart w:id="3" w:name="_Toc16997"/>
      <w:bookmarkStart w:id="4" w:name="_Toc501257054"/>
      <w:bookmarkStart w:id="5" w:name="_Toc234832864"/>
      <w:r>
        <w:rPr>
          <w:rFonts w:eastAsia="黑体"/>
          <w:color w:val="auto"/>
          <w:sz w:val="28"/>
          <w:szCs w:val="28"/>
          <w:highlight w:val="none"/>
          <w:shd w:val="clear" w:color="auto" w:fill="auto"/>
        </w:rPr>
        <w:t>附录2  资格审查条件（财务最低要求）</w:t>
      </w:r>
      <w:bookmarkEnd w:id="3"/>
      <w:bookmarkEnd w:id="4"/>
      <w:bookmarkEnd w:id="5"/>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8819" w:type="dxa"/>
            <w:noWrap w:val="0"/>
            <w:vAlign w:val="center"/>
          </w:tcPr>
          <w:p>
            <w:pPr>
              <w:adjustRightInd w:val="0"/>
              <w:snapToGrid w:val="0"/>
              <w:spacing w:line="400" w:lineRule="atLeast"/>
              <w:jc w:val="center"/>
              <w:rPr>
                <w:color w:val="auto"/>
                <w:szCs w:val="21"/>
                <w:highlight w:val="none"/>
                <w:shd w:val="clear" w:color="auto" w:fill="auto"/>
              </w:rPr>
            </w:pPr>
            <w:r>
              <w:rPr>
                <w:color w:val="auto"/>
                <w:szCs w:val="21"/>
                <w:highlight w:val="none"/>
                <w:shd w:val="clear" w:color="auto" w:fill="auto"/>
              </w:rPr>
              <w:t>财 务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8819" w:type="dxa"/>
            <w:noWrap w:val="0"/>
            <w:vAlign w:val="center"/>
          </w:tcPr>
          <w:p>
            <w:pPr>
              <w:adjustRightInd w:val="0"/>
              <w:snapToGrid w:val="0"/>
              <w:spacing w:line="400" w:lineRule="atLeast"/>
              <w:jc w:val="both"/>
              <w:rPr>
                <w:rFonts w:hint="eastAsia" w:eastAsia="宋体"/>
                <w:color w:val="auto"/>
                <w:szCs w:val="21"/>
                <w:highlight w:val="none"/>
                <w:shd w:val="clear" w:color="auto" w:fill="auto"/>
                <w:lang w:eastAsia="zh-CN"/>
              </w:rPr>
            </w:pPr>
            <w:r>
              <w:rPr>
                <w:rFonts w:hint="eastAsia" w:eastAsia="宋体"/>
                <w:color w:val="auto"/>
                <w:szCs w:val="21"/>
                <w:highlight w:val="none"/>
                <w:shd w:val="clear" w:color="auto" w:fill="auto"/>
                <w:lang w:eastAsia="zh-CN"/>
              </w:rPr>
              <w:t>投标人近年财务状况良好，没有处于财产被接管、冻结、破产或其他不良状态，2021年末流动资产与流动负债比不小于1。</w:t>
            </w:r>
          </w:p>
        </w:tc>
      </w:tr>
    </w:tbl>
    <w:p>
      <w:pPr>
        <w:adjustRightInd w:val="0"/>
        <w:snapToGrid w:val="0"/>
        <w:spacing w:line="300" w:lineRule="exact"/>
        <w:rPr>
          <w:rFonts w:eastAsia="黑体"/>
          <w:color w:val="auto"/>
          <w:sz w:val="24"/>
          <w:highlight w:val="none"/>
          <w:shd w:val="clear" w:color="auto" w:fill="auto"/>
        </w:rPr>
      </w:pPr>
    </w:p>
    <w:p>
      <w:pPr>
        <w:pStyle w:val="3"/>
        <w:spacing w:before="240" w:after="240" w:line="240" w:lineRule="atLeast"/>
        <w:jc w:val="center"/>
        <w:rPr>
          <w:rFonts w:eastAsia="黑体"/>
          <w:color w:val="auto"/>
          <w:sz w:val="28"/>
          <w:szCs w:val="28"/>
          <w:highlight w:val="none"/>
          <w:shd w:val="clear" w:color="auto" w:fill="auto"/>
        </w:rPr>
      </w:pPr>
      <w:r>
        <w:rPr>
          <w:rFonts w:eastAsia="黑体"/>
          <w:color w:val="auto"/>
          <w:sz w:val="24"/>
          <w:highlight w:val="none"/>
          <w:shd w:val="clear" w:color="auto" w:fill="auto"/>
        </w:rPr>
        <w:br w:type="page"/>
      </w:r>
      <w:bookmarkStart w:id="6" w:name="_Toc234832865"/>
      <w:bookmarkStart w:id="7" w:name="_Toc701"/>
      <w:bookmarkStart w:id="8" w:name="_Toc501257055"/>
      <w:r>
        <w:rPr>
          <w:rFonts w:eastAsia="黑体"/>
          <w:color w:val="auto"/>
          <w:sz w:val="28"/>
          <w:szCs w:val="28"/>
          <w:highlight w:val="none"/>
          <w:shd w:val="clear" w:color="auto" w:fill="auto"/>
        </w:rPr>
        <w:t>附录3  资格审查条件（业绩最低要求）</w:t>
      </w:r>
      <w:bookmarkEnd w:id="6"/>
      <w:bookmarkEnd w:id="7"/>
      <w:bookmarkEnd w:id="8"/>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8819" w:type="dxa"/>
            <w:noWrap w:val="0"/>
            <w:vAlign w:val="center"/>
          </w:tcPr>
          <w:p>
            <w:pPr>
              <w:adjustRightInd w:val="0"/>
              <w:snapToGrid w:val="0"/>
              <w:spacing w:line="400" w:lineRule="atLeast"/>
              <w:jc w:val="center"/>
              <w:rPr>
                <w:color w:val="auto"/>
                <w:szCs w:val="21"/>
                <w:highlight w:val="none"/>
                <w:shd w:val="clear" w:color="auto" w:fill="auto"/>
              </w:rPr>
            </w:pPr>
            <w:r>
              <w:rPr>
                <w:color w:val="auto"/>
                <w:szCs w:val="21"/>
                <w:highlight w:val="none"/>
                <w:shd w:val="clear" w:color="auto" w:fill="auto"/>
              </w:rPr>
              <w:t>业 绩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8819" w:type="dxa"/>
            <w:noWrap w:val="0"/>
            <w:vAlign w:val="center"/>
          </w:tcPr>
          <w:p>
            <w:pPr>
              <w:adjustRightInd w:val="0"/>
              <w:snapToGrid w:val="0"/>
              <w:spacing w:line="400" w:lineRule="atLeast"/>
              <w:jc w:val="center"/>
              <w:rPr>
                <w:color w:val="auto"/>
                <w:szCs w:val="21"/>
                <w:highlight w:val="none"/>
                <w:shd w:val="clear" w:color="auto" w:fill="auto"/>
              </w:rPr>
            </w:pPr>
          </w:p>
          <w:p>
            <w:pPr>
              <w:adjustRightInd w:val="0"/>
              <w:snapToGrid w:val="0"/>
              <w:spacing w:line="400" w:lineRule="atLeast"/>
              <w:ind w:firstLine="480" w:firstLineChars="200"/>
              <w:jc w:val="left"/>
              <w:rPr>
                <w:color w:val="auto"/>
                <w:sz w:val="24"/>
                <w:highlight w:val="none"/>
                <w:shd w:val="clear" w:color="auto" w:fill="auto"/>
              </w:rPr>
            </w:pPr>
            <w:r>
              <w:rPr>
                <w:rFonts w:hint="eastAsia"/>
                <w:color w:val="auto"/>
                <w:sz w:val="24"/>
                <w:highlight w:val="none"/>
                <w:shd w:val="clear" w:color="auto" w:fill="auto"/>
              </w:rPr>
              <w:t>无</w:t>
            </w:r>
          </w:p>
          <w:p>
            <w:pPr>
              <w:adjustRightInd w:val="0"/>
              <w:snapToGrid w:val="0"/>
              <w:spacing w:line="400" w:lineRule="atLeast"/>
              <w:jc w:val="center"/>
              <w:rPr>
                <w:color w:val="auto"/>
                <w:szCs w:val="21"/>
                <w:highlight w:val="none"/>
                <w:shd w:val="clear" w:color="auto" w:fill="auto"/>
              </w:rPr>
            </w:pPr>
          </w:p>
        </w:tc>
      </w:tr>
    </w:tbl>
    <w:p>
      <w:pPr>
        <w:adjustRightInd w:val="0"/>
        <w:snapToGrid w:val="0"/>
        <w:spacing w:line="300" w:lineRule="exact"/>
        <w:rPr>
          <w:rFonts w:eastAsia="隶书"/>
          <w:b/>
          <w:color w:val="auto"/>
          <w:sz w:val="32"/>
          <w:highlight w:val="none"/>
          <w:shd w:val="clear" w:color="auto" w:fill="auto"/>
        </w:rPr>
      </w:pPr>
    </w:p>
    <w:p>
      <w:pPr>
        <w:pStyle w:val="3"/>
        <w:spacing w:before="240" w:after="240" w:line="240" w:lineRule="atLeast"/>
        <w:jc w:val="center"/>
        <w:rPr>
          <w:rFonts w:eastAsia="黑体"/>
          <w:color w:val="auto"/>
          <w:sz w:val="28"/>
          <w:szCs w:val="28"/>
          <w:highlight w:val="none"/>
          <w:shd w:val="clear" w:color="auto" w:fill="auto"/>
        </w:rPr>
      </w:pPr>
      <w:bookmarkStart w:id="9" w:name="_Toc2731"/>
      <w:bookmarkStart w:id="10" w:name="_Toc501257056"/>
      <w:bookmarkStart w:id="11" w:name="_Toc234832866"/>
      <w:r>
        <w:rPr>
          <w:rFonts w:eastAsia="黑体"/>
          <w:color w:val="auto"/>
          <w:sz w:val="28"/>
          <w:szCs w:val="28"/>
          <w:highlight w:val="none"/>
          <w:shd w:val="clear" w:color="auto" w:fill="auto"/>
        </w:rPr>
        <w:t>附录4  资格审查条件（信誉最低要求）</w:t>
      </w:r>
      <w:bookmarkEnd w:id="9"/>
      <w:bookmarkEnd w:id="10"/>
      <w:bookmarkEnd w:id="11"/>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75" w:hRule="atLeast"/>
          <w:jc w:val="center"/>
        </w:trPr>
        <w:tc>
          <w:tcPr>
            <w:tcW w:w="8819" w:type="dxa"/>
            <w:noWrap w:val="0"/>
            <w:vAlign w:val="center"/>
          </w:tcPr>
          <w:p>
            <w:pPr>
              <w:adjustRightInd w:val="0"/>
              <w:snapToGrid w:val="0"/>
              <w:spacing w:line="400" w:lineRule="atLeast"/>
              <w:jc w:val="center"/>
              <w:rPr>
                <w:color w:val="auto"/>
                <w:szCs w:val="21"/>
                <w:highlight w:val="none"/>
                <w:shd w:val="clear" w:color="auto" w:fill="auto"/>
              </w:rPr>
            </w:pPr>
            <w:r>
              <w:rPr>
                <w:color w:val="auto"/>
                <w:szCs w:val="21"/>
                <w:highlight w:val="none"/>
                <w:shd w:val="clear" w:color="auto" w:fill="auto"/>
              </w:rPr>
              <w:t>信 誉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3" w:hRule="atLeast"/>
          <w:jc w:val="center"/>
        </w:trPr>
        <w:tc>
          <w:tcPr>
            <w:tcW w:w="8819" w:type="dxa"/>
            <w:noWrap w:val="0"/>
            <w:vAlign w:val="center"/>
          </w:tcPr>
          <w:p>
            <w:pPr>
              <w:spacing w:line="360" w:lineRule="exact"/>
              <w:rPr>
                <w:rFonts w:hint="eastAsia" w:ascii="Times New Roman" w:hAnsi="Times New Roman" w:eastAsia="宋体" w:cs="Times New Roman"/>
                <w:color w:val="auto"/>
                <w:szCs w:val="21"/>
                <w:highlight w:val="none"/>
                <w:shd w:val="clear" w:color="auto" w:fill="auto"/>
                <w:lang w:val="en-US" w:eastAsia="zh-CN"/>
              </w:rPr>
            </w:pPr>
            <w:r>
              <w:rPr>
                <w:rFonts w:hint="eastAsia" w:ascii="Times New Roman" w:hAnsi="Times New Roman" w:eastAsia="宋体" w:cs="Times New Roman"/>
                <w:color w:val="auto"/>
                <w:szCs w:val="21"/>
                <w:highlight w:val="none"/>
                <w:shd w:val="clear" w:color="auto" w:fill="auto"/>
                <w:lang w:val="en-US" w:eastAsia="zh-CN"/>
              </w:rPr>
              <w:t>商业信誉良好，在经济活动中无重大违法违规行为，近3年内财务会计资料无虚假记载、银行和税务信用评价系统或企业信用系统中无不良记录，没有涉及正在诉讼的案件，或涉及正在诉讼的案件但经本项目评标委员会认定不会对承担本项目造成重大影响。最新年度信用评价结果为 C 级及以上。</w:t>
            </w:r>
          </w:p>
          <w:p>
            <w:pPr>
              <w:adjustRightInd w:val="0"/>
              <w:snapToGrid w:val="0"/>
              <w:spacing w:line="400" w:lineRule="atLeast"/>
              <w:jc w:val="left"/>
              <w:rPr>
                <w:rFonts w:hint="eastAsia"/>
                <w:color w:val="auto"/>
                <w:sz w:val="24"/>
                <w:highlight w:val="none"/>
                <w:shd w:val="clear" w:color="auto" w:fill="auto"/>
              </w:rPr>
            </w:pPr>
          </w:p>
        </w:tc>
      </w:tr>
    </w:tbl>
    <w:p>
      <w:pPr>
        <w:adjustRightInd w:val="0"/>
        <w:snapToGrid w:val="0"/>
        <w:spacing w:line="300" w:lineRule="auto"/>
        <w:ind w:firstLine="964" w:firstLineChars="400"/>
        <w:jc w:val="center"/>
        <w:rPr>
          <w:rFonts w:eastAsia="黑体"/>
          <w:b/>
          <w:color w:val="auto"/>
          <w:sz w:val="24"/>
          <w:highlight w:val="none"/>
          <w:shd w:val="clear" w:color="auto" w:fill="auto"/>
        </w:rPr>
      </w:pPr>
    </w:p>
    <w:p>
      <w:pPr>
        <w:adjustRightInd w:val="0"/>
        <w:snapToGrid w:val="0"/>
        <w:spacing w:line="300" w:lineRule="auto"/>
        <w:ind w:firstLine="964" w:firstLineChars="400"/>
        <w:jc w:val="center"/>
        <w:rPr>
          <w:rFonts w:eastAsia="黑体"/>
          <w:b/>
          <w:color w:val="auto"/>
          <w:sz w:val="24"/>
          <w:highlight w:val="none"/>
          <w:shd w:val="clear" w:color="auto" w:fill="auto"/>
        </w:rPr>
      </w:pPr>
    </w:p>
    <w:p>
      <w:pPr>
        <w:adjustRightInd w:val="0"/>
        <w:snapToGrid w:val="0"/>
        <w:spacing w:line="300" w:lineRule="auto"/>
        <w:ind w:firstLine="964" w:firstLineChars="400"/>
        <w:jc w:val="center"/>
        <w:rPr>
          <w:rFonts w:eastAsia="黑体"/>
          <w:b/>
          <w:color w:val="auto"/>
          <w:sz w:val="24"/>
          <w:highlight w:val="none"/>
          <w:shd w:val="clear" w:color="auto" w:fill="auto"/>
        </w:rPr>
      </w:pPr>
    </w:p>
    <w:p>
      <w:pPr>
        <w:adjustRightInd w:val="0"/>
        <w:snapToGrid w:val="0"/>
        <w:spacing w:line="300" w:lineRule="auto"/>
        <w:ind w:firstLine="964" w:firstLineChars="400"/>
        <w:jc w:val="center"/>
        <w:rPr>
          <w:rFonts w:eastAsia="黑体"/>
          <w:b/>
          <w:color w:val="auto"/>
          <w:sz w:val="24"/>
          <w:highlight w:val="none"/>
          <w:shd w:val="clear" w:color="auto" w:fill="auto"/>
        </w:rPr>
      </w:pPr>
    </w:p>
    <w:p>
      <w:pPr>
        <w:adjustRightInd w:val="0"/>
        <w:snapToGrid w:val="0"/>
        <w:spacing w:line="300" w:lineRule="auto"/>
        <w:ind w:firstLine="964" w:firstLineChars="400"/>
        <w:jc w:val="center"/>
        <w:rPr>
          <w:rFonts w:eastAsia="黑体"/>
          <w:b/>
          <w:color w:val="auto"/>
          <w:sz w:val="24"/>
          <w:highlight w:val="none"/>
          <w:shd w:val="clear" w:color="auto" w:fill="auto"/>
        </w:rPr>
      </w:pPr>
    </w:p>
    <w:p>
      <w:pPr>
        <w:adjustRightInd w:val="0"/>
        <w:snapToGrid w:val="0"/>
        <w:spacing w:line="300" w:lineRule="auto"/>
        <w:ind w:firstLine="964" w:firstLineChars="400"/>
        <w:jc w:val="center"/>
        <w:rPr>
          <w:rFonts w:eastAsia="黑体"/>
          <w:b/>
          <w:color w:val="auto"/>
          <w:sz w:val="24"/>
          <w:highlight w:val="none"/>
          <w:shd w:val="clear" w:color="auto" w:fill="auto"/>
        </w:rPr>
      </w:pPr>
    </w:p>
    <w:p>
      <w:pPr>
        <w:adjustRightInd w:val="0"/>
        <w:snapToGrid w:val="0"/>
        <w:spacing w:line="300" w:lineRule="auto"/>
        <w:ind w:firstLine="964" w:firstLineChars="400"/>
        <w:jc w:val="center"/>
        <w:rPr>
          <w:rFonts w:eastAsia="黑体"/>
          <w:b/>
          <w:color w:val="auto"/>
          <w:sz w:val="24"/>
          <w:highlight w:val="none"/>
          <w:shd w:val="clear" w:color="auto" w:fill="auto"/>
        </w:rPr>
      </w:pPr>
    </w:p>
    <w:p>
      <w:pPr>
        <w:adjustRightInd w:val="0"/>
        <w:snapToGrid w:val="0"/>
        <w:spacing w:line="300" w:lineRule="auto"/>
        <w:ind w:firstLine="964" w:firstLineChars="400"/>
        <w:jc w:val="center"/>
        <w:rPr>
          <w:rFonts w:eastAsia="黑体"/>
          <w:b/>
          <w:color w:val="auto"/>
          <w:sz w:val="24"/>
          <w:highlight w:val="none"/>
          <w:shd w:val="clear" w:color="auto" w:fill="auto"/>
        </w:rPr>
      </w:pPr>
    </w:p>
    <w:p>
      <w:pPr>
        <w:adjustRightInd w:val="0"/>
        <w:snapToGrid w:val="0"/>
        <w:spacing w:line="300" w:lineRule="auto"/>
        <w:ind w:firstLine="964" w:firstLineChars="400"/>
        <w:jc w:val="center"/>
        <w:rPr>
          <w:rFonts w:eastAsia="黑体"/>
          <w:b/>
          <w:color w:val="auto"/>
          <w:sz w:val="24"/>
          <w:highlight w:val="none"/>
          <w:shd w:val="clear" w:color="auto" w:fill="auto"/>
        </w:rPr>
      </w:pPr>
    </w:p>
    <w:p>
      <w:pPr>
        <w:adjustRightInd w:val="0"/>
        <w:snapToGrid w:val="0"/>
        <w:spacing w:line="300" w:lineRule="auto"/>
        <w:ind w:firstLine="964" w:firstLineChars="400"/>
        <w:jc w:val="center"/>
        <w:rPr>
          <w:rFonts w:eastAsia="黑体"/>
          <w:b/>
          <w:color w:val="auto"/>
          <w:sz w:val="24"/>
          <w:highlight w:val="none"/>
          <w:shd w:val="clear" w:color="auto" w:fill="auto"/>
        </w:rPr>
      </w:pPr>
    </w:p>
    <w:p>
      <w:pPr>
        <w:adjustRightInd w:val="0"/>
        <w:snapToGrid w:val="0"/>
        <w:spacing w:line="300" w:lineRule="auto"/>
        <w:ind w:firstLine="964" w:firstLineChars="400"/>
        <w:jc w:val="center"/>
        <w:rPr>
          <w:rFonts w:eastAsia="黑体"/>
          <w:b/>
          <w:color w:val="auto"/>
          <w:sz w:val="24"/>
          <w:highlight w:val="none"/>
          <w:shd w:val="clear" w:color="auto" w:fill="auto"/>
        </w:rPr>
      </w:pPr>
      <w:bookmarkStart w:id="12" w:name="_Toc234832867"/>
      <w:bookmarkStart w:id="13" w:name="_Toc501257057"/>
    </w:p>
    <w:p>
      <w:pPr>
        <w:pStyle w:val="3"/>
        <w:spacing w:before="240" w:after="240" w:line="240" w:lineRule="atLeast"/>
        <w:jc w:val="center"/>
        <w:rPr>
          <w:rFonts w:eastAsia="黑体"/>
          <w:color w:val="auto"/>
          <w:sz w:val="28"/>
          <w:szCs w:val="28"/>
          <w:highlight w:val="none"/>
          <w:shd w:val="clear" w:color="auto" w:fill="auto"/>
        </w:rPr>
      </w:pPr>
      <w:bookmarkStart w:id="14" w:name="_Toc15280"/>
      <w:r>
        <w:rPr>
          <w:rFonts w:eastAsia="黑体"/>
          <w:color w:val="auto"/>
          <w:sz w:val="28"/>
          <w:szCs w:val="28"/>
          <w:highlight w:val="none"/>
          <w:shd w:val="clear" w:color="auto" w:fill="auto"/>
        </w:rPr>
        <w:t>附录5  资格审查条件（项目经理</w:t>
      </w:r>
      <w:r>
        <w:rPr>
          <w:rFonts w:hint="eastAsia" w:eastAsia="黑体"/>
          <w:color w:val="auto"/>
          <w:sz w:val="28"/>
          <w:szCs w:val="28"/>
          <w:highlight w:val="none"/>
          <w:shd w:val="clear" w:color="auto" w:fill="auto"/>
          <w:lang w:eastAsia="zh-CN"/>
        </w:rPr>
        <w:t>、</w:t>
      </w:r>
      <w:r>
        <w:rPr>
          <w:rFonts w:hint="eastAsia" w:eastAsia="黑体"/>
          <w:color w:val="auto"/>
          <w:sz w:val="28"/>
          <w:szCs w:val="28"/>
          <w:highlight w:val="none"/>
          <w:shd w:val="clear" w:color="auto" w:fill="auto"/>
          <w:lang w:val="en-US" w:eastAsia="zh-CN"/>
        </w:rPr>
        <w:t>项目总工</w:t>
      </w:r>
      <w:r>
        <w:rPr>
          <w:rFonts w:eastAsia="黑体"/>
          <w:color w:val="auto"/>
          <w:sz w:val="28"/>
          <w:szCs w:val="28"/>
          <w:highlight w:val="none"/>
          <w:shd w:val="clear" w:color="auto" w:fill="auto"/>
        </w:rPr>
        <w:t>最低要求）</w:t>
      </w:r>
      <w:bookmarkEnd w:id="12"/>
      <w:bookmarkEnd w:id="13"/>
      <w:bookmarkEnd w:id="14"/>
    </w:p>
    <w:tbl>
      <w:tblPr>
        <w:tblStyle w:val="19"/>
        <w:tblW w:w="8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956"/>
        <w:gridCol w:w="2944"/>
        <w:gridCol w:w="2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1183" w:type="dxa"/>
            <w:noWrap w:val="0"/>
            <w:vAlign w:val="center"/>
          </w:tcPr>
          <w:p>
            <w:pPr>
              <w:adjustRightInd w:val="0"/>
              <w:snapToGrid w:val="0"/>
              <w:spacing w:line="300" w:lineRule="auto"/>
              <w:ind w:left="0" w:leftChars="0" w:firstLine="0" w:firstLineChars="0"/>
              <w:jc w:val="both"/>
              <w:rPr>
                <w:color w:val="auto"/>
                <w:szCs w:val="21"/>
                <w:highlight w:val="none"/>
                <w:shd w:val="clear" w:color="auto" w:fill="auto"/>
              </w:rPr>
            </w:pPr>
            <w:r>
              <w:rPr>
                <w:color w:val="auto"/>
                <w:szCs w:val="21"/>
                <w:highlight w:val="none"/>
                <w:shd w:val="clear" w:color="auto" w:fill="auto"/>
              </w:rPr>
              <w:t>人  员</w:t>
            </w:r>
          </w:p>
        </w:tc>
        <w:tc>
          <w:tcPr>
            <w:tcW w:w="956" w:type="dxa"/>
            <w:noWrap w:val="0"/>
            <w:vAlign w:val="center"/>
          </w:tcPr>
          <w:p>
            <w:pPr>
              <w:adjustRightInd w:val="0"/>
              <w:snapToGrid w:val="0"/>
              <w:spacing w:line="300" w:lineRule="auto"/>
              <w:ind w:left="0" w:leftChars="0" w:firstLine="0" w:firstLineChars="0"/>
              <w:jc w:val="both"/>
              <w:rPr>
                <w:color w:val="auto"/>
                <w:szCs w:val="21"/>
                <w:highlight w:val="none"/>
                <w:shd w:val="clear" w:color="auto" w:fill="auto"/>
              </w:rPr>
            </w:pPr>
            <w:r>
              <w:rPr>
                <w:color w:val="auto"/>
                <w:szCs w:val="21"/>
                <w:highlight w:val="none"/>
                <w:shd w:val="clear" w:color="auto" w:fill="auto"/>
              </w:rPr>
              <w:t>数  量</w:t>
            </w:r>
          </w:p>
        </w:tc>
        <w:tc>
          <w:tcPr>
            <w:tcW w:w="2944" w:type="dxa"/>
            <w:noWrap w:val="0"/>
            <w:vAlign w:val="center"/>
          </w:tcPr>
          <w:p>
            <w:pPr>
              <w:adjustRightInd w:val="0"/>
              <w:snapToGrid w:val="0"/>
              <w:spacing w:line="300" w:lineRule="auto"/>
              <w:jc w:val="center"/>
              <w:rPr>
                <w:color w:val="auto"/>
                <w:szCs w:val="21"/>
                <w:highlight w:val="none"/>
                <w:shd w:val="clear" w:color="auto" w:fill="auto"/>
              </w:rPr>
            </w:pPr>
            <w:r>
              <w:rPr>
                <w:color w:val="auto"/>
                <w:szCs w:val="21"/>
                <w:highlight w:val="none"/>
                <w:shd w:val="clear" w:color="auto" w:fill="auto"/>
              </w:rPr>
              <w:t>资 格 要 求</w:t>
            </w:r>
          </w:p>
        </w:tc>
        <w:tc>
          <w:tcPr>
            <w:tcW w:w="2956" w:type="dxa"/>
            <w:noWrap w:val="0"/>
            <w:vAlign w:val="center"/>
          </w:tcPr>
          <w:p>
            <w:pPr>
              <w:adjustRightInd w:val="0"/>
              <w:snapToGrid w:val="0"/>
              <w:spacing w:line="300" w:lineRule="auto"/>
              <w:jc w:val="center"/>
              <w:rPr>
                <w:color w:val="auto"/>
                <w:szCs w:val="21"/>
                <w:highlight w:val="none"/>
                <w:shd w:val="clear" w:color="auto" w:fill="auto"/>
              </w:rPr>
            </w:pPr>
            <w:r>
              <w:rPr>
                <w:color w:val="auto"/>
                <w:szCs w:val="21"/>
                <w:highlight w:val="none"/>
                <w:shd w:val="clear" w:color="auto" w:fill="auto"/>
              </w:rPr>
              <w:t>在岗要求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5" w:hRule="atLeast"/>
          <w:jc w:val="center"/>
        </w:trPr>
        <w:tc>
          <w:tcPr>
            <w:tcW w:w="1183" w:type="dxa"/>
            <w:noWrap w:val="0"/>
            <w:vAlign w:val="center"/>
          </w:tcPr>
          <w:p>
            <w:pPr>
              <w:spacing w:line="300" w:lineRule="auto"/>
              <w:jc w:val="center"/>
              <w:rPr>
                <w:color w:val="auto"/>
                <w:szCs w:val="21"/>
                <w:highlight w:val="none"/>
                <w:shd w:val="clear" w:color="auto" w:fill="auto"/>
              </w:rPr>
            </w:pPr>
            <w:r>
              <w:rPr>
                <w:color w:val="auto"/>
                <w:szCs w:val="21"/>
                <w:highlight w:val="none"/>
                <w:shd w:val="clear" w:color="auto" w:fill="auto"/>
              </w:rPr>
              <w:t>项目经理</w:t>
            </w:r>
          </w:p>
        </w:tc>
        <w:tc>
          <w:tcPr>
            <w:tcW w:w="956" w:type="dxa"/>
            <w:noWrap w:val="0"/>
            <w:vAlign w:val="center"/>
          </w:tcPr>
          <w:p>
            <w:pPr>
              <w:adjustRightInd w:val="0"/>
              <w:snapToGrid w:val="0"/>
              <w:spacing w:line="300" w:lineRule="auto"/>
              <w:jc w:val="center"/>
              <w:rPr>
                <w:color w:val="auto"/>
                <w:szCs w:val="21"/>
                <w:highlight w:val="none"/>
                <w:shd w:val="clear" w:color="auto" w:fill="auto"/>
              </w:rPr>
            </w:pPr>
            <w:r>
              <w:rPr>
                <w:color w:val="auto"/>
                <w:szCs w:val="21"/>
                <w:highlight w:val="none"/>
                <w:shd w:val="clear" w:color="auto" w:fill="auto"/>
              </w:rPr>
              <w:t>1</w:t>
            </w:r>
          </w:p>
        </w:tc>
        <w:tc>
          <w:tcPr>
            <w:tcW w:w="2944" w:type="dxa"/>
            <w:noWrap w:val="0"/>
            <w:vAlign w:val="center"/>
          </w:tcPr>
          <w:p>
            <w:pPr>
              <w:adjustRightInd w:val="0"/>
              <w:snapToGrid w:val="0"/>
              <w:spacing w:line="300" w:lineRule="auto"/>
              <w:rPr>
                <w:rFonts w:hint="eastAsia" w:ascii="Times New Roman" w:hAnsi="Times New Roman" w:eastAsia="宋体" w:cs="Times New Roman"/>
                <w:color w:val="auto"/>
                <w:szCs w:val="21"/>
                <w:highlight w:val="none"/>
                <w:shd w:val="clear" w:color="auto" w:fill="auto"/>
              </w:rPr>
            </w:pPr>
            <w:r>
              <w:rPr>
                <w:rFonts w:hint="eastAsia" w:ascii="Times New Roman" w:hAnsi="Times New Roman" w:eastAsia="宋体" w:cs="Times New Roman"/>
                <w:color w:val="auto"/>
                <w:szCs w:val="21"/>
                <w:highlight w:val="none"/>
                <w:shd w:val="clear" w:color="auto" w:fill="auto"/>
              </w:rPr>
              <w:t>项目经理：</w:t>
            </w:r>
            <w:r>
              <w:rPr>
                <w:rFonts w:hint="eastAsia" w:ascii="Times New Roman" w:hAnsi="Times New Roman" w:eastAsia="宋体" w:cs="Times New Roman"/>
                <w:color w:val="auto"/>
                <w:szCs w:val="21"/>
                <w:highlight w:val="none"/>
                <w:shd w:val="clear" w:color="auto" w:fill="auto"/>
                <w:lang w:val="en-US" w:eastAsia="zh-CN"/>
              </w:rPr>
              <w:t>具有工程相</w:t>
            </w:r>
            <w:r>
              <w:rPr>
                <w:rFonts w:hint="eastAsia" w:ascii="Times New Roman" w:hAnsi="Times New Roman" w:eastAsia="宋体" w:cs="Times New Roman"/>
                <w:color w:val="auto"/>
                <w:szCs w:val="21"/>
                <w:highlight w:val="none"/>
                <w:shd w:val="clear" w:color="auto" w:fill="auto"/>
              </w:rPr>
              <w:t>关专业工程师（含）以上技术职称，持有建设行政主管部门颁发的</w:t>
            </w:r>
            <w:r>
              <w:rPr>
                <w:rFonts w:hint="eastAsia" w:ascii="Times New Roman" w:hAnsi="Times New Roman" w:eastAsia="宋体" w:cs="Times New Roman"/>
                <w:color w:val="auto"/>
                <w:szCs w:val="21"/>
                <w:highlight w:val="none"/>
                <w:shd w:val="clear" w:color="auto" w:fill="auto"/>
                <w:lang w:val="en-US" w:eastAsia="zh-CN"/>
              </w:rPr>
              <w:t>公路工程</w:t>
            </w:r>
            <w:r>
              <w:rPr>
                <w:rFonts w:hint="eastAsia" w:ascii="Times New Roman" w:hAnsi="Times New Roman" w:eastAsia="宋体" w:cs="Times New Roman"/>
                <w:color w:val="auto"/>
                <w:szCs w:val="21"/>
                <w:highlight w:val="none"/>
                <w:shd w:val="clear" w:color="auto" w:fill="auto"/>
              </w:rPr>
              <w:t>专业一级建造师注册证书（注册单位或最终变更注册后的服务单位应与投标人一致），持有有效的交通主管部门或建设主管部门颁发的安全生产考核合格证书（B类证书）。</w:t>
            </w:r>
          </w:p>
        </w:tc>
        <w:tc>
          <w:tcPr>
            <w:tcW w:w="2956" w:type="dxa"/>
            <w:vMerge w:val="restart"/>
            <w:noWrap w:val="0"/>
            <w:vAlign w:val="center"/>
          </w:tcPr>
          <w:p>
            <w:pPr>
              <w:adjustRightInd w:val="0"/>
              <w:snapToGrid w:val="0"/>
              <w:spacing w:line="300" w:lineRule="auto"/>
              <w:jc w:val="both"/>
              <w:rPr>
                <w:color w:val="auto"/>
                <w:highlight w:val="none"/>
                <w:shd w:val="clear" w:color="auto" w:fill="auto"/>
              </w:rPr>
            </w:pPr>
            <w:r>
              <w:rPr>
                <w:color w:val="auto"/>
                <w:highlight w:val="none"/>
                <w:shd w:val="clear" w:color="auto" w:fill="auto"/>
              </w:rPr>
              <w:t>人员必须填报递交投标文件时的在岗状态，在岗状态按以下标准进行分类：</w:t>
            </w:r>
          </w:p>
          <w:p>
            <w:pPr>
              <w:adjustRightInd w:val="0"/>
              <w:snapToGrid w:val="0"/>
              <w:spacing w:line="300" w:lineRule="auto"/>
              <w:jc w:val="both"/>
              <w:rPr>
                <w:color w:val="auto"/>
                <w:highlight w:val="none"/>
                <w:shd w:val="clear" w:color="auto" w:fill="auto"/>
              </w:rPr>
            </w:pPr>
            <w:r>
              <w:rPr>
                <w:color w:val="auto"/>
                <w:highlight w:val="none"/>
                <w:shd w:val="clear" w:color="auto" w:fill="auto"/>
              </w:rPr>
              <w:t>a. 未在任何在建项目上任职；</w:t>
            </w:r>
          </w:p>
          <w:p>
            <w:pPr>
              <w:adjustRightInd w:val="0"/>
              <w:snapToGrid w:val="0"/>
              <w:spacing w:line="300" w:lineRule="auto"/>
              <w:jc w:val="both"/>
              <w:rPr>
                <w:color w:val="auto"/>
                <w:highlight w:val="none"/>
                <w:shd w:val="clear" w:color="auto" w:fill="auto"/>
              </w:rPr>
            </w:pPr>
            <w:r>
              <w:rPr>
                <w:color w:val="auto"/>
                <w:highlight w:val="none"/>
                <w:shd w:val="clear" w:color="auto" w:fill="auto"/>
              </w:rPr>
              <w:t>b. 在在建项目上任主要职务，但该项目即将完工，可确保本项目中标后到位；</w:t>
            </w:r>
          </w:p>
          <w:p>
            <w:pPr>
              <w:adjustRightInd w:val="0"/>
              <w:snapToGrid w:val="0"/>
              <w:spacing w:line="300" w:lineRule="auto"/>
              <w:jc w:val="both"/>
              <w:rPr>
                <w:color w:val="auto"/>
                <w:highlight w:val="none"/>
                <w:shd w:val="clear" w:color="auto" w:fill="auto"/>
              </w:rPr>
            </w:pPr>
            <w:r>
              <w:rPr>
                <w:color w:val="auto"/>
                <w:highlight w:val="none"/>
                <w:shd w:val="clear" w:color="auto" w:fill="auto"/>
              </w:rPr>
              <w:t>c. 在在建项目上任一般职务，可随时调任本项目；</w:t>
            </w:r>
          </w:p>
          <w:p>
            <w:pPr>
              <w:adjustRightInd w:val="0"/>
              <w:snapToGrid w:val="0"/>
              <w:spacing w:line="300" w:lineRule="auto"/>
              <w:jc w:val="both"/>
              <w:rPr>
                <w:color w:val="auto"/>
                <w:highlight w:val="none"/>
                <w:shd w:val="clear" w:color="auto" w:fill="auto"/>
              </w:rPr>
            </w:pPr>
            <w:r>
              <w:rPr>
                <w:color w:val="auto"/>
                <w:highlight w:val="none"/>
                <w:shd w:val="clear" w:color="auto" w:fill="auto"/>
              </w:rPr>
              <w:t>d. 在其它投标项目上作为拟派人员，但仅任一般职务，若其先行中标，则随时调任本项目；</w:t>
            </w:r>
          </w:p>
          <w:p>
            <w:pPr>
              <w:adjustRightInd w:val="0"/>
              <w:snapToGrid w:val="0"/>
              <w:spacing w:line="300" w:lineRule="auto"/>
              <w:jc w:val="both"/>
              <w:rPr>
                <w:color w:val="auto"/>
                <w:highlight w:val="none"/>
                <w:shd w:val="clear" w:color="auto" w:fill="auto"/>
              </w:rPr>
            </w:pPr>
            <w:r>
              <w:rPr>
                <w:color w:val="auto"/>
                <w:highlight w:val="none"/>
                <w:shd w:val="clear" w:color="auto" w:fill="auto"/>
              </w:rPr>
              <w:t>e. 在其它投标项目上作为拟派人员，担任主要职务，若其先行中标，则放弃本项目中标资格；</w:t>
            </w:r>
          </w:p>
          <w:p>
            <w:pPr>
              <w:adjustRightInd w:val="0"/>
              <w:snapToGrid w:val="0"/>
              <w:spacing w:line="300" w:lineRule="auto"/>
              <w:jc w:val="both"/>
              <w:rPr>
                <w:color w:val="auto"/>
                <w:highlight w:val="none"/>
                <w:shd w:val="clear" w:color="auto" w:fill="auto"/>
              </w:rPr>
            </w:pPr>
            <w:r>
              <w:rPr>
                <w:color w:val="auto"/>
                <w:highlight w:val="none"/>
                <w:shd w:val="clear" w:color="auto" w:fill="auto"/>
              </w:rPr>
              <w:t>f. 其它情况。</w:t>
            </w:r>
          </w:p>
          <w:p>
            <w:pPr>
              <w:adjustRightInd w:val="0"/>
              <w:snapToGrid w:val="0"/>
              <w:spacing w:line="300" w:lineRule="auto"/>
              <w:jc w:val="both"/>
              <w:rPr>
                <w:color w:val="auto"/>
                <w:szCs w:val="21"/>
                <w:highlight w:val="none"/>
                <w:shd w:val="clear" w:color="auto" w:fill="auto"/>
              </w:rPr>
            </w:pPr>
            <w:r>
              <w:rPr>
                <w:color w:val="auto"/>
                <w:highlight w:val="none"/>
                <w:shd w:val="clear" w:color="auto" w:fill="auto"/>
              </w:rPr>
              <w:t>投标人若中标，拟派的项目经理和项目总工不得更换（除不可抗力原因外），否则取消中标资格。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83" w:type="dxa"/>
            <w:noWrap w:val="0"/>
            <w:vAlign w:val="center"/>
          </w:tcPr>
          <w:p>
            <w:pPr>
              <w:spacing w:line="300" w:lineRule="auto"/>
              <w:jc w:val="center"/>
              <w:rPr>
                <w:color w:val="auto"/>
                <w:szCs w:val="21"/>
                <w:highlight w:val="none"/>
                <w:shd w:val="clear" w:color="auto" w:fill="auto"/>
              </w:rPr>
            </w:pPr>
            <w:r>
              <w:rPr>
                <w:rFonts w:hint="eastAsia"/>
                <w:color w:val="auto"/>
                <w:szCs w:val="21"/>
                <w:highlight w:val="none"/>
                <w:shd w:val="clear" w:color="auto" w:fill="auto"/>
              </w:rPr>
              <w:t>项目总工</w:t>
            </w:r>
          </w:p>
        </w:tc>
        <w:tc>
          <w:tcPr>
            <w:tcW w:w="956" w:type="dxa"/>
            <w:noWrap w:val="0"/>
            <w:vAlign w:val="center"/>
          </w:tcPr>
          <w:p>
            <w:pPr>
              <w:adjustRightInd w:val="0"/>
              <w:snapToGrid w:val="0"/>
              <w:spacing w:line="300" w:lineRule="auto"/>
              <w:jc w:val="center"/>
              <w:rPr>
                <w:color w:val="auto"/>
                <w:szCs w:val="21"/>
                <w:highlight w:val="none"/>
                <w:shd w:val="clear" w:color="auto" w:fill="auto"/>
              </w:rPr>
            </w:pPr>
            <w:r>
              <w:rPr>
                <w:rFonts w:hint="eastAsia"/>
                <w:color w:val="auto"/>
                <w:szCs w:val="21"/>
                <w:highlight w:val="none"/>
                <w:shd w:val="clear" w:color="auto" w:fill="auto"/>
              </w:rPr>
              <w:t>1</w:t>
            </w:r>
          </w:p>
        </w:tc>
        <w:tc>
          <w:tcPr>
            <w:tcW w:w="2944" w:type="dxa"/>
            <w:noWrap w:val="0"/>
            <w:vAlign w:val="center"/>
          </w:tcPr>
          <w:p>
            <w:pPr>
              <w:adjustRightInd w:val="0"/>
              <w:snapToGrid w:val="0"/>
              <w:spacing w:line="300" w:lineRule="auto"/>
              <w:rPr>
                <w:rFonts w:hint="eastAsia" w:ascii="Times New Roman" w:hAnsi="Times New Roman" w:eastAsia="宋体" w:cs="Times New Roman"/>
                <w:color w:val="auto"/>
                <w:szCs w:val="21"/>
                <w:highlight w:val="none"/>
                <w:shd w:val="clear" w:color="auto" w:fill="auto"/>
              </w:rPr>
            </w:pPr>
            <w:r>
              <w:rPr>
                <w:rFonts w:hint="eastAsia" w:ascii="Times New Roman" w:hAnsi="Times New Roman" w:eastAsia="宋体" w:cs="Times New Roman"/>
                <w:color w:val="auto"/>
                <w:szCs w:val="21"/>
                <w:highlight w:val="none"/>
                <w:shd w:val="clear" w:color="auto" w:fill="auto"/>
              </w:rPr>
              <w:t>项目总工：工程相关专业高级工程师（含）以上技术职称，持有有效的交通主管部门或建设主管部门颁发的安全生产考核合格证书（B类证书）。</w:t>
            </w:r>
          </w:p>
        </w:tc>
        <w:tc>
          <w:tcPr>
            <w:tcW w:w="2956" w:type="dxa"/>
            <w:vMerge w:val="continue"/>
            <w:noWrap w:val="0"/>
            <w:vAlign w:val="center"/>
          </w:tcPr>
          <w:p>
            <w:pPr>
              <w:adjustRightInd w:val="0"/>
              <w:snapToGrid w:val="0"/>
              <w:spacing w:line="300" w:lineRule="auto"/>
              <w:rPr>
                <w:color w:val="auto"/>
                <w:highlight w:val="none"/>
                <w:shd w:val="clear" w:color="auto" w:fill="auto"/>
              </w:rPr>
            </w:pPr>
          </w:p>
        </w:tc>
      </w:tr>
    </w:tbl>
    <w:p>
      <w:pPr>
        <w:bidi w:val="0"/>
        <w:rPr>
          <w:rFonts w:eastAsia="宋体" w:asciiTheme="minorAscii" w:hAnsiTheme="minorAscii" w:cstheme="minorBidi"/>
          <w:kern w:val="2"/>
          <w:sz w:val="24"/>
          <w:szCs w:val="22"/>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pStyle w:val="18"/>
        <w:ind w:left="0" w:leftChars="0" w:firstLine="0" w:firstLineChars="0"/>
        <w:rPr>
          <w:rFonts w:hint="eastAsia"/>
          <w:b/>
          <w:bCs/>
          <w:sz w:val="36"/>
          <w:szCs w:val="32"/>
          <w:lang w:val="en-US" w:eastAsia="zh-CN"/>
        </w:rPr>
      </w:pPr>
      <w:r>
        <w:rPr>
          <w:rFonts w:hint="eastAsia"/>
          <w:b/>
          <w:bCs/>
          <w:sz w:val="36"/>
          <w:szCs w:val="32"/>
          <w:lang w:val="en-US" w:eastAsia="zh-CN"/>
        </w:rPr>
        <w:t>评标办法</w:t>
      </w:r>
    </w:p>
    <w:p>
      <w:pPr>
        <w:pStyle w:val="3"/>
        <w:spacing w:before="480" w:after="240" w:line="240" w:lineRule="auto"/>
        <w:jc w:val="center"/>
        <w:rPr>
          <w:rFonts w:eastAsia="黑体"/>
          <w:b w:val="0"/>
          <w:color w:val="auto"/>
          <w:sz w:val="32"/>
          <w:szCs w:val="21"/>
          <w:highlight w:val="none"/>
          <w:shd w:val="clear" w:color="auto" w:fill="auto"/>
        </w:rPr>
      </w:pPr>
      <w:bookmarkStart w:id="15" w:name="_Toc22142"/>
      <w:r>
        <w:rPr>
          <w:rFonts w:eastAsia="黑体"/>
          <w:b w:val="0"/>
          <w:color w:val="auto"/>
          <w:sz w:val="28"/>
          <w:szCs w:val="20"/>
          <w:highlight w:val="none"/>
          <w:shd w:val="clear" w:color="auto" w:fill="auto"/>
        </w:rPr>
        <w:t>第三章  评标办法（技术评分最低标价法）</w:t>
      </w:r>
      <w:bookmarkEnd w:id="15"/>
    </w:p>
    <w:p>
      <w:pPr>
        <w:pStyle w:val="3"/>
        <w:spacing w:before="480" w:after="240" w:line="380" w:lineRule="atLeast"/>
        <w:jc w:val="both"/>
        <w:rPr>
          <w:rFonts w:eastAsia="黑体"/>
          <w:b w:val="0"/>
          <w:color w:val="auto"/>
          <w:sz w:val="24"/>
          <w:szCs w:val="24"/>
          <w:highlight w:val="none"/>
          <w:shd w:val="clear" w:color="auto" w:fill="auto"/>
        </w:rPr>
      </w:pPr>
      <w:bookmarkStart w:id="16" w:name="_Toc14831"/>
      <w:r>
        <w:rPr>
          <w:rFonts w:eastAsia="黑体"/>
          <w:b w:val="0"/>
          <w:color w:val="auto"/>
          <w:sz w:val="24"/>
          <w:szCs w:val="24"/>
          <w:highlight w:val="none"/>
          <w:shd w:val="clear" w:color="auto" w:fill="auto"/>
        </w:rPr>
        <w:t>评标办法前附表</w:t>
      </w:r>
      <w:bookmarkEnd w:id="16"/>
    </w:p>
    <w:tbl>
      <w:tblPr>
        <w:tblStyle w:val="19"/>
        <w:tblW w:w="889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
        <w:gridCol w:w="909"/>
        <w:gridCol w:w="116"/>
        <w:gridCol w:w="1164"/>
        <w:gridCol w:w="1461"/>
        <w:gridCol w:w="5081"/>
        <w:gridCol w:w="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trPr>
        <w:tc>
          <w:tcPr>
            <w:tcW w:w="2269" w:type="dxa"/>
            <w:gridSpan w:val="4"/>
            <w:tcBorders>
              <w:top w:val="single" w:color="auto" w:sz="4" w:space="0"/>
              <w:bottom w:val="single" w:color="auto" w:sz="4" w:space="0"/>
              <w:right w:val="single" w:color="auto" w:sz="4" w:space="0"/>
            </w:tcBorders>
            <w:noWrap w:val="0"/>
            <w:vAlign w:val="center"/>
          </w:tcPr>
          <w:p>
            <w:pPr>
              <w:spacing w:line="380" w:lineRule="atLeast"/>
              <w:jc w:val="center"/>
              <w:rPr>
                <w:b/>
                <w:color w:val="auto"/>
                <w:szCs w:val="21"/>
                <w:highlight w:val="none"/>
                <w:shd w:val="clear" w:color="auto" w:fill="auto"/>
              </w:rPr>
            </w:pPr>
            <w:r>
              <w:rPr>
                <w:b/>
                <w:color w:val="auto"/>
                <w:szCs w:val="21"/>
                <w:highlight w:val="none"/>
                <w:shd w:val="clear" w:color="auto" w:fill="auto"/>
              </w:rPr>
              <w:t>条款号</w:t>
            </w:r>
          </w:p>
        </w:tc>
        <w:tc>
          <w:tcPr>
            <w:tcW w:w="6622" w:type="dxa"/>
            <w:gridSpan w:val="3"/>
            <w:tcBorders>
              <w:top w:val="single" w:color="auto" w:sz="4" w:space="0"/>
              <w:left w:val="single" w:color="auto" w:sz="4" w:space="0"/>
              <w:bottom w:val="single" w:color="auto" w:sz="4" w:space="0"/>
              <w:right w:val="single" w:color="auto" w:sz="4" w:space="0"/>
            </w:tcBorders>
            <w:noWrap w:val="0"/>
            <w:vAlign w:val="center"/>
          </w:tcPr>
          <w:p>
            <w:pPr>
              <w:spacing w:line="380" w:lineRule="atLeast"/>
              <w:jc w:val="center"/>
              <w:rPr>
                <w:b/>
                <w:color w:val="auto"/>
                <w:spacing w:val="4"/>
                <w:szCs w:val="21"/>
                <w:highlight w:val="none"/>
                <w:shd w:val="clear" w:color="auto" w:fill="auto"/>
              </w:rPr>
            </w:pPr>
            <w:r>
              <w:rPr>
                <w:b/>
                <w:color w:val="auto"/>
                <w:spacing w:val="4"/>
                <w:szCs w:val="21"/>
                <w:highlight w:val="none"/>
                <w:shd w:val="clear" w:color="auto" w:fill="auto"/>
              </w:rPr>
              <w:t>评审因素与评审标准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89" w:type="dxa"/>
            <w:gridSpan w:val="2"/>
            <w:tcBorders>
              <w:top w:val="single" w:color="auto" w:sz="4" w:space="0"/>
              <w:bottom w:val="single" w:color="auto" w:sz="4" w:space="0"/>
              <w:right w:val="single" w:color="auto" w:sz="4" w:space="0"/>
            </w:tcBorders>
            <w:noWrap w:val="0"/>
            <w:vAlign w:val="center"/>
          </w:tcPr>
          <w:p>
            <w:pPr>
              <w:spacing w:line="400" w:lineRule="atLeast"/>
              <w:jc w:val="center"/>
              <w:rPr>
                <w:color w:val="auto"/>
                <w:szCs w:val="21"/>
                <w:highlight w:val="none"/>
                <w:shd w:val="clear" w:color="auto" w:fill="auto"/>
              </w:rPr>
            </w:pPr>
            <w:r>
              <w:rPr>
                <w:color w:val="auto"/>
                <w:szCs w:val="21"/>
                <w:highlight w:val="none"/>
                <w:shd w:val="clear" w:color="auto" w:fill="auto"/>
              </w:rPr>
              <w:t>1</w:t>
            </w:r>
          </w:p>
        </w:tc>
        <w:tc>
          <w:tcPr>
            <w:tcW w:w="1280" w:type="dxa"/>
            <w:gridSpan w:val="2"/>
            <w:tcBorders>
              <w:top w:val="single" w:color="auto" w:sz="4" w:space="0"/>
              <w:bottom w:val="single" w:color="auto" w:sz="4" w:space="0"/>
              <w:right w:val="single" w:color="auto" w:sz="4" w:space="0"/>
            </w:tcBorders>
            <w:noWrap w:val="0"/>
            <w:vAlign w:val="center"/>
          </w:tcPr>
          <w:p>
            <w:pPr>
              <w:spacing w:line="400" w:lineRule="atLeast"/>
              <w:ind w:left="0" w:leftChars="0" w:firstLine="0" w:firstLineChars="0"/>
              <w:jc w:val="both"/>
              <w:rPr>
                <w:color w:val="auto"/>
                <w:szCs w:val="21"/>
                <w:highlight w:val="none"/>
                <w:shd w:val="clear" w:color="auto" w:fill="auto"/>
              </w:rPr>
            </w:pPr>
            <w:r>
              <w:rPr>
                <w:color w:val="auto"/>
                <w:szCs w:val="21"/>
                <w:highlight w:val="none"/>
                <w:shd w:val="clear" w:color="auto" w:fill="auto"/>
              </w:rPr>
              <w:t>评标方法</w:t>
            </w:r>
          </w:p>
        </w:tc>
        <w:tc>
          <w:tcPr>
            <w:tcW w:w="6622" w:type="dxa"/>
            <w:gridSpan w:val="3"/>
            <w:tcBorders>
              <w:top w:val="single" w:color="auto" w:sz="4" w:space="0"/>
              <w:left w:val="single" w:color="auto" w:sz="4" w:space="0"/>
              <w:right w:val="single" w:color="auto" w:sz="4" w:space="0"/>
            </w:tcBorders>
            <w:noWrap w:val="0"/>
            <w:vAlign w:val="center"/>
          </w:tcPr>
          <w:p>
            <w:pPr>
              <w:spacing w:line="360" w:lineRule="atLeast"/>
              <w:ind w:firstLine="480" w:firstLineChars="200"/>
              <w:rPr>
                <w:color w:val="auto"/>
                <w:szCs w:val="21"/>
                <w:highlight w:val="none"/>
                <w:shd w:val="clear" w:color="auto" w:fill="auto"/>
              </w:rPr>
            </w:pPr>
            <w:r>
              <w:rPr>
                <w:color w:val="auto"/>
                <w:szCs w:val="21"/>
                <w:highlight w:val="none"/>
                <w:shd w:val="clear" w:color="auto" w:fill="auto"/>
              </w:rPr>
              <w:t>评标价相等时，评标委员会依次按照以下优先顺序推荐中标候选人或确定中标人：</w:t>
            </w:r>
          </w:p>
          <w:p>
            <w:pPr>
              <w:spacing w:line="360" w:lineRule="atLeast"/>
              <w:ind w:firstLine="480" w:firstLineChars="200"/>
              <w:rPr>
                <w:color w:val="auto"/>
                <w:szCs w:val="21"/>
                <w:highlight w:val="none"/>
                <w:shd w:val="clear" w:color="auto" w:fill="auto"/>
              </w:rPr>
            </w:pPr>
            <w:r>
              <w:rPr>
                <w:color w:val="auto"/>
                <w:szCs w:val="21"/>
                <w:highlight w:val="none"/>
                <w:shd w:val="clear" w:color="auto" w:fill="auto"/>
              </w:rPr>
              <w:t>（1）投标报价低的投标人优先；</w:t>
            </w:r>
          </w:p>
          <w:p>
            <w:pPr>
              <w:spacing w:line="360" w:lineRule="atLeast"/>
              <w:ind w:firstLine="480" w:firstLineChars="200"/>
              <w:rPr>
                <w:color w:val="auto"/>
                <w:szCs w:val="21"/>
                <w:highlight w:val="none"/>
                <w:shd w:val="clear" w:color="auto" w:fill="auto"/>
              </w:rPr>
            </w:pPr>
            <w:r>
              <w:rPr>
                <w:color w:val="auto"/>
                <w:szCs w:val="21"/>
                <w:highlight w:val="none"/>
                <w:shd w:val="clear" w:color="auto" w:fill="auto"/>
              </w:rPr>
              <w:t>（</w:t>
            </w:r>
            <w:r>
              <w:rPr>
                <w:rFonts w:hint="eastAsia"/>
                <w:color w:val="auto"/>
                <w:szCs w:val="21"/>
                <w:highlight w:val="none"/>
                <w:shd w:val="clear" w:color="auto" w:fill="auto"/>
              </w:rPr>
              <w:t>2</w:t>
            </w:r>
            <w:r>
              <w:rPr>
                <w:color w:val="auto"/>
                <w:szCs w:val="21"/>
                <w:highlight w:val="none"/>
                <w:shd w:val="clear" w:color="auto" w:fill="auto"/>
              </w:rPr>
              <w:t>）</w:t>
            </w:r>
            <w:r>
              <w:rPr>
                <w:rFonts w:hint="eastAsia"/>
                <w:color w:val="auto"/>
                <w:szCs w:val="21"/>
                <w:highlight w:val="none"/>
                <w:shd w:val="clear" w:color="auto" w:fill="auto"/>
                <w:lang w:val="en-US" w:eastAsia="zh-CN"/>
              </w:rPr>
              <w:t>第一信封（</w:t>
            </w:r>
            <w:r>
              <w:rPr>
                <w:color w:val="auto"/>
                <w:szCs w:val="21"/>
                <w:highlight w:val="none"/>
                <w:shd w:val="clear" w:color="auto" w:fill="auto"/>
              </w:rPr>
              <w:t>商务和技术</w:t>
            </w:r>
            <w:r>
              <w:rPr>
                <w:rFonts w:hint="eastAsia"/>
                <w:color w:val="auto"/>
                <w:szCs w:val="21"/>
                <w:highlight w:val="none"/>
                <w:shd w:val="clear" w:color="auto" w:fill="auto"/>
                <w:lang w:val="en-US" w:eastAsia="zh-CN"/>
              </w:rPr>
              <w:t>）文件评审</w:t>
            </w:r>
            <w:r>
              <w:rPr>
                <w:color w:val="auto"/>
                <w:szCs w:val="21"/>
                <w:highlight w:val="none"/>
                <w:shd w:val="clear" w:color="auto" w:fill="auto"/>
              </w:rPr>
              <w:t>得分较高的投标人优先；</w:t>
            </w:r>
          </w:p>
          <w:p>
            <w:pPr>
              <w:spacing w:line="360" w:lineRule="atLeast"/>
              <w:ind w:firstLine="480" w:firstLineChars="200"/>
              <w:rPr>
                <w:rFonts w:hint="eastAsia"/>
                <w:color w:val="auto"/>
                <w:szCs w:val="21"/>
                <w:highlight w:val="none"/>
                <w:shd w:val="clear" w:color="auto" w:fill="auto"/>
                <w:lang w:val="en-US" w:eastAsia="zh-CN"/>
              </w:rPr>
            </w:pPr>
            <w:r>
              <w:rPr>
                <w:rFonts w:hint="eastAsia"/>
                <w:color w:val="auto"/>
                <w:szCs w:val="21"/>
                <w:highlight w:val="none"/>
                <w:shd w:val="clear" w:color="auto" w:fill="auto"/>
              </w:rPr>
              <w:t>（3）</w:t>
            </w:r>
            <w:r>
              <w:rPr>
                <w:rFonts w:hint="eastAsia"/>
                <w:color w:val="auto"/>
                <w:szCs w:val="21"/>
                <w:highlight w:val="none"/>
                <w:shd w:val="clear" w:color="auto" w:fill="auto"/>
                <w:lang w:val="en-US" w:eastAsia="zh-CN"/>
              </w:rPr>
              <w:t>信用评价等级高的优先；</w:t>
            </w:r>
          </w:p>
          <w:p>
            <w:pPr>
              <w:spacing w:line="360" w:lineRule="atLeast"/>
              <w:ind w:firstLine="480" w:firstLineChars="200"/>
              <w:rPr>
                <w:color w:val="auto"/>
                <w:szCs w:val="21"/>
                <w:highlight w:val="none"/>
                <w:shd w:val="clear" w:color="auto" w:fill="auto"/>
              </w:rPr>
            </w:pPr>
            <w:r>
              <w:rPr>
                <w:rFonts w:hint="eastAsia"/>
                <w:color w:val="auto"/>
                <w:szCs w:val="21"/>
                <w:highlight w:val="none"/>
                <w:shd w:val="clear" w:color="auto" w:fill="auto"/>
                <w:lang w:val="en-US" w:eastAsia="zh-CN"/>
              </w:rPr>
              <w:t>（4）评标委员会按</w:t>
            </w:r>
            <w:r>
              <w:rPr>
                <w:rFonts w:hint="eastAsia"/>
                <w:color w:val="auto"/>
                <w:szCs w:val="21"/>
                <w:highlight w:val="none"/>
                <w:shd w:val="clear" w:color="auto" w:fill="auto"/>
              </w:rPr>
              <w:t>多数服从少数</w:t>
            </w:r>
            <w:r>
              <w:rPr>
                <w:rFonts w:hint="eastAsia"/>
                <w:color w:val="auto"/>
                <w:szCs w:val="21"/>
                <w:highlight w:val="none"/>
                <w:shd w:val="clear" w:color="auto" w:fill="auto"/>
                <w:lang w:val="en-US" w:eastAsia="zh-CN"/>
              </w:rPr>
              <w:t>的</w:t>
            </w:r>
            <w:r>
              <w:rPr>
                <w:rFonts w:hint="eastAsia"/>
                <w:color w:val="auto"/>
                <w:szCs w:val="21"/>
                <w:highlight w:val="none"/>
                <w:shd w:val="clear" w:color="auto" w:fill="auto"/>
              </w:rPr>
              <w:t>原则</w:t>
            </w:r>
            <w:r>
              <w:rPr>
                <w:rFonts w:hint="eastAsia"/>
                <w:color w:val="auto"/>
                <w:szCs w:val="21"/>
                <w:highlight w:val="none"/>
                <w:shd w:val="clear" w:color="auto" w:fill="auto"/>
                <w:lang w:eastAsia="zh-CN"/>
              </w:rPr>
              <w:t>，</w:t>
            </w:r>
            <w:r>
              <w:rPr>
                <w:rFonts w:hint="eastAsia"/>
                <w:color w:val="auto"/>
                <w:szCs w:val="21"/>
                <w:highlight w:val="none"/>
                <w:shd w:val="clear" w:color="auto" w:fill="auto"/>
                <w:lang w:val="en-US" w:eastAsia="zh-CN"/>
              </w:rPr>
              <w:t>举手表决</w:t>
            </w:r>
            <w:r>
              <w:rPr>
                <w:rFonts w:hint="eastAsia"/>
                <w:color w:val="auto"/>
                <w:szCs w:val="21"/>
                <w:highlight w:val="none"/>
                <w:shd w:val="clear" w:color="auto" w:fill="auto"/>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89" w:type="dxa"/>
            <w:gridSpan w:val="2"/>
            <w:tcBorders>
              <w:top w:val="single" w:color="auto" w:sz="4" w:space="0"/>
              <w:bottom w:val="single" w:color="auto" w:sz="4" w:space="0"/>
              <w:right w:val="single" w:color="auto" w:sz="4" w:space="0"/>
            </w:tcBorders>
            <w:noWrap w:val="0"/>
            <w:vAlign w:val="center"/>
          </w:tcPr>
          <w:p>
            <w:pPr>
              <w:spacing w:line="380" w:lineRule="atLeast"/>
              <w:ind w:left="0" w:leftChars="0" w:firstLine="0" w:firstLineChars="0"/>
              <w:jc w:val="both"/>
              <w:rPr>
                <w:color w:val="auto"/>
                <w:szCs w:val="21"/>
                <w:highlight w:val="none"/>
                <w:shd w:val="clear" w:color="auto" w:fill="auto"/>
              </w:rPr>
            </w:pPr>
            <w:r>
              <w:rPr>
                <w:color w:val="auto"/>
                <w:szCs w:val="21"/>
                <w:highlight w:val="none"/>
                <w:shd w:val="clear" w:color="auto" w:fill="auto"/>
              </w:rPr>
              <w:t>2.1.1</w:t>
            </w:r>
          </w:p>
          <w:p>
            <w:pPr>
              <w:spacing w:line="380" w:lineRule="atLeast"/>
              <w:ind w:left="0" w:leftChars="0" w:firstLine="0" w:firstLineChars="0"/>
              <w:jc w:val="both"/>
              <w:rPr>
                <w:color w:val="auto"/>
                <w:szCs w:val="21"/>
                <w:highlight w:val="none"/>
                <w:shd w:val="clear" w:color="auto" w:fill="auto"/>
              </w:rPr>
            </w:pPr>
            <w:r>
              <w:rPr>
                <w:color w:val="auto"/>
                <w:szCs w:val="21"/>
                <w:highlight w:val="none"/>
                <w:shd w:val="clear" w:color="auto" w:fill="auto"/>
              </w:rPr>
              <w:t>2.1.3</w:t>
            </w:r>
          </w:p>
        </w:tc>
        <w:tc>
          <w:tcPr>
            <w:tcW w:w="1280" w:type="dxa"/>
            <w:gridSpan w:val="2"/>
            <w:tcBorders>
              <w:top w:val="single" w:color="auto" w:sz="4" w:space="0"/>
              <w:bottom w:val="single" w:color="auto" w:sz="4" w:space="0"/>
              <w:right w:val="single" w:color="auto" w:sz="4" w:space="0"/>
            </w:tcBorders>
            <w:noWrap w:val="0"/>
            <w:vAlign w:val="center"/>
          </w:tcPr>
          <w:p>
            <w:pPr>
              <w:spacing w:line="380" w:lineRule="atLeast"/>
              <w:ind w:left="0" w:leftChars="0" w:firstLine="0" w:firstLineChars="0"/>
              <w:jc w:val="both"/>
              <w:rPr>
                <w:color w:val="auto"/>
                <w:szCs w:val="21"/>
                <w:highlight w:val="none"/>
                <w:shd w:val="clear" w:color="auto" w:fill="auto"/>
              </w:rPr>
            </w:pPr>
            <w:r>
              <w:rPr>
                <w:color w:val="auto"/>
                <w:szCs w:val="21"/>
                <w:highlight w:val="none"/>
                <w:shd w:val="clear" w:color="auto" w:fill="auto"/>
              </w:rPr>
              <w:t>形式评审与响应性评审标准</w:t>
            </w:r>
          </w:p>
        </w:tc>
        <w:tc>
          <w:tcPr>
            <w:tcW w:w="6622" w:type="dxa"/>
            <w:gridSpan w:val="3"/>
            <w:tcBorders>
              <w:top w:val="single" w:color="auto" w:sz="4" w:space="0"/>
              <w:left w:val="single" w:color="auto" w:sz="4" w:space="0"/>
              <w:right w:val="single" w:color="auto" w:sz="4" w:space="0"/>
            </w:tcBorders>
            <w:noWrap w:val="0"/>
            <w:vAlign w:val="center"/>
          </w:tcPr>
          <w:p>
            <w:pPr>
              <w:spacing w:line="360" w:lineRule="atLeast"/>
              <w:ind w:firstLine="482" w:firstLineChars="200"/>
              <w:rPr>
                <w:b/>
                <w:color w:val="auto"/>
                <w:szCs w:val="21"/>
                <w:highlight w:val="none"/>
                <w:shd w:val="clear" w:color="auto" w:fill="auto"/>
              </w:rPr>
            </w:pPr>
            <w:r>
              <w:rPr>
                <w:b/>
                <w:color w:val="auto"/>
                <w:szCs w:val="21"/>
                <w:highlight w:val="none"/>
                <w:shd w:val="clear" w:color="auto" w:fill="auto"/>
              </w:rPr>
              <w:t>第一个信封（商务及技术文件）评审标准：</w:t>
            </w:r>
          </w:p>
          <w:p>
            <w:pPr>
              <w:spacing w:line="360" w:lineRule="atLeast"/>
              <w:ind w:firstLine="480" w:firstLineChars="200"/>
              <w:rPr>
                <w:color w:val="auto"/>
                <w:szCs w:val="21"/>
                <w:highlight w:val="none"/>
                <w:shd w:val="clear" w:color="auto" w:fill="auto"/>
              </w:rPr>
            </w:pPr>
            <w:r>
              <w:rPr>
                <w:color w:val="auto"/>
                <w:szCs w:val="21"/>
                <w:highlight w:val="none"/>
                <w:shd w:val="clear" w:color="auto" w:fill="auto"/>
              </w:rPr>
              <w:t>（1）投标文件按照招标文件规定的格式、内容填写，字迹清晰可辨：</w:t>
            </w:r>
          </w:p>
          <w:p>
            <w:pPr>
              <w:spacing w:line="360" w:lineRule="atLeast"/>
              <w:ind w:firstLine="480" w:firstLineChars="200"/>
              <w:rPr>
                <w:color w:val="auto"/>
                <w:szCs w:val="21"/>
                <w:highlight w:val="none"/>
                <w:shd w:val="clear" w:color="auto" w:fill="auto"/>
              </w:rPr>
            </w:pPr>
            <w:r>
              <w:rPr>
                <w:color w:val="auto"/>
                <w:szCs w:val="21"/>
                <w:highlight w:val="none"/>
                <w:shd w:val="clear" w:color="auto" w:fill="auto"/>
              </w:rPr>
              <w:t>a.投标函按招标文件规定填报了项目名称、补遗书编号（如有）、工期、工程质量要求及安全目标；</w:t>
            </w:r>
          </w:p>
          <w:p>
            <w:pPr>
              <w:spacing w:line="360" w:lineRule="atLeast"/>
              <w:ind w:firstLine="480" w:firstLineChars="200"/>
              <w:rPr>
                <w:color w:val="auto"/>
                <w:szCs w:val="21"/>
                <w:highlight w:val="none"/>
                <w:shd w:val="clear" w:color="auto" w:fill="auto"/>
              </w:rPr>
            </w:pPr>
            <w:r>
              <w:rPr>
                <w:color w:val="auto"/>
                <w:szCs w:val="21"/>
                <w:highlight w:val="none"/>
                <w:shd w:val="clear" w:color="auto" w:fill="auto"/>
              </w:rPr>
              <w:t>b.投标函附录的所有数据均符合招标文件规定；</w:t>
            </w:r>
          </w:p>
          <w:p>
            <w:pPr>
              <w:spacing w:line="360" w:lineRule="atLeast"/>
              <w:ind w:firstLine="480" w:firstLineChars="200"/>
              <w:rPr>
                <w:color w:val="auto"/>
                <w:szCs w:val="21"/>
                <w:highlight w:val="none"/>
                <w:shd w:val="clear" w:color="auto" w:fill="auto"/>
              </w:rPr>
            </w:pPr>
            <w:r>
              <w:rPr>
                <w:color w:val="auto"/>
                <w:szCs w:val="21"/>
                <w:highlight w:val="none"/>
                <w:shd w:val="clear" w:color="auto" w:fill="auto"/>
              </w:rPr>
              <w:t>c.投标文件组成齐全完整，内容均按规定填写。</w:t>
            </w:r>
          </w:p>
          <w:p>
            <w:pPr>
              <w:spacing w:line="360" w:lineRule="atLeast"/>
              <w:ind w:firstLine="480" w:firstLineChars="200"/>
              <w:rPr>
                <w:color w:val="auto"/>
                <w:szCs w:val="21"/>
                <w:highlight w:val="none"/>
                <w:shd w:val="clear" w:color="auto" w:fill="auto"/>
              </w:rPr>
            </w:pPr>
            <w:r>
              <w:rPr>
                <w:color w:val="auto"/>
                <w:szCs w:val="21"/>
                <w:highlight w:val="none"/>
                <w:shd w:val="clear" w:color="auto" w:fill="auto"/>
              </w:rPr>
              <w:t>（2）投标文件上法定代表人或其委托代理人的签字、投标人的单位章盖章齐全，符合招标文件规定。</w:t>
            </w:r>
          </w:p>
          <w:p>
            <w:pPr>
              <w:spacing w:line="360" w:lineRule="atLeast"/>
              <w:ind w:firstLine="480" w:firstLineChars="200"/>
              <w:rPr>
                <w:color w:val="auto"/>
                <w:szCs w:val="21"/>
                <w:highlight w:val="none"/>
                <w:shd w:val="clear" w:color="auto" w:fill="auto"/>
              </w:rPr>
            </w:pPr>
            <w:r>
              <w:rPr>
                <w:color w:val="auto"/>
                <w:szCs w:val="21"/>
                <w:highlight w:val="none"/>
                <w:shd w:val="clear" w:color="auto" w:fill="auto"/>
              </w:rPr>
              <w:t>（3）投标人按照招标文件的规定提供了投标保证金：</w:t>
            </w:r>
          </w:p>
          <w:p>
            <w:pPr>
              <w:spacing w:line="360" w:lineRule="atLeast"/>
              <w:ind w:firstLine="480" w:firstLineChars="200"/>
              <w:rPr>
                <w:color w:val="auto"/>
                <w:szCs w:val="21"/>
                <w:highlight w:val="none"/>
                <w:shd w:val="clear" w:color="auto" w:fill="auto"/>
              </w:rPr>
            </w:pPr>
            <w:r>
              <w:rPr>
                <w:color w:val="auto"/>
                <w:szCs w:val="21"/>
                <w:highlight w:val="none"/>
                <w:shd w:val="clear" w:color="auto" w:fill="auto"/>
              </w:rPr>
              <w:t>a.投标保证金金额符合招标文件规定的金额，且投标保证金有效期不少于投标有效期；</w:t>
            </w:r>
          </w:p>
          <w:p>
            <w:pPr>
              <w:spacing w:line="360" w:lineRule="atLeast"/>
              <w:ind w:firstLine="480" w:firstLineChars="200"/>
              <w:rPr>
                <w:color w:val="auto"/>
                <w:szCs w:val="21"/>
                <w:highlight w:val="none"/>
                <w:shd w:val="clear" w:color="auto" w:fill="auto"/>
              </w:rPr>
            </w:pPr>
            <w:r>
              <w:rPr>
                <w:color w:val="auto"/>
                <w:szCs w:val="21"/>
                <w:highlight w:val="none"/>
                <w:shd w:val="clear" w:color="auto" w:fill="auto"/>
              </w:rPr>
              <w:t>b.若投标保证金采用现金或支票形式提交，投标人应在递交投标文件截止时间之前，将投标保证金由投标人的基本账户转入招标人指定账户；</w:t>
            </w:r>
          </w:p>
          <w:p>
            <w:pPr>
              <w:spacing w:line="360" w:lineRule="atLeast"/>
              <w:ind w:firstLine="480" w:firstLineChars="200"/>
              <w:rPr>
                <w:color w:val="auto"/>
                <w:szCs w:val="21"/>
                <w:highlight w:val="none"/>
                <w:shd w:val="clear" w:color="auto" w:fill="auto"/>
              </w:rPr>
            </w:pPr>
            <w:r>
              <w:rPr>
                <w:color w:val="auto"/>
                <w:szCs w:val="21"/>
                <w:highlight w:val="none"/>
                <w:shd w:val="clear" w:color="auto" w:fill="auto"/>
              </w:rPr>
              <w:t>c.若投标保证金采用银行保函形式提交，银行保函的格式、开具保函的银行均满足招标文件要求，且在递交投标文件截止时间之前向招标人提交了银行保函原件。</w:t>
            </w:r>
          </w:p>
          <w:p>
            <w:pPr>
              <w:spacing w:line="360" w:lineRule="atLeast"/>
              <w:ind w:firstLine="480" w:firstLineChars="200"/>
              <w:rPr>
                <w:color w:val="auto"/>
                <w:szCs w:val="21"/>
                <w:highlight w:val="none"/>
                <w:shd w:val="clear" w:color="auto" w:fill="auto"/>
              </w:rPr>
            </w:pPr>
            <w:r>
              <w:rPr>
                <w:color w:val="auto"/>
                <w:szCs w:val="21"/>
                <w:highlight w:val="none"/>
                <w:shd w:val="clear" w:color="auto" w:fill="auto"/>
              </w:rPr>
              <w:t>（4）</w:t>
            </w:r>
            <w:r>
              <w:rPr>
                <w:rFonts w:hint="eastAsia"/>
                <w:color w:val="auto"/>
                <w:szCs w:val="21"/>
                <w:highlight w:val="none"/>
                <w:shd w:val="clear" w:color="auto" w:fill="auto"/>
              </w:rPr>
              <w:t>投标人法定代表人授权委托代理人签署投标文件的，须提交授权委托书，且授权人和被授权人均在授权委托书上加盖个人电子签（印）章/签字</w:t>
            </w:r>
            <w:r>
              <w:rPr>
                <w:color w:val="auto"/>
                <w:szCs w:val="21"/>
                <w:highlight w:val="none"/>
                <w:shd w:val="clear" w:color="auto" w:fill="auto"/>
              </w:rPr>
              <w:t>。</w:t>
            </w:r>
          </w:p>
          <w:p>
            <w:pPr>
              <w:spacing w:line="360" w:lineRule="atLeast"/>
              <w:ind w:firstLine="480" w:firstLineChars="200"/>
              <w:rPr>
                <w:color w:val="auto"/>
                <w:szCs w:val="21"/>
                <w:highlight w:val="none"/>
                <w:shd w:val="clear" w:color="auto" w:fill="auto"/>
              </w:rPr>
            </w:pPr>
            <w:r>
              <w:rPr>
                <w:color w:val="auto"/>
                <w:szCs w:val="21"/>
                <w:highlight w:val="none"/>
                <w:shd w:val="clear" w:color="auto" w:fill="auto"/>
              </w:rPr>
              <w:t>（5）</w:t>
            </w:r>
            <w:r>
              <w:rPr>
                <w:rFonts w:hint="eastAsia"/>
                <w:color w:val="auto"/>
                <w:szCs w:val="21"/>
                <w:highlight w:val="none"/>
                <w:shd w:val="clear" w:color="auto" w:fill="auto"/>
              </w:rPr>
              <w:t>投标人法定代表人亲自签署投标文件的，提供了法定代表人身份证明，且法定代表人在法定代表人身份证明上加盖个人电子签（印）章</w:t>
            </w:r>
            <w:r>
              <w:rPr>
                <w:color w:val="auto"/>
                <w:szCs w:val="21"/>
                <w:highlight w:val="none"/>
                <w:shd w:val="clear" w:color="auto" w:fill="auto"/>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69" w:type="dxa"/>
            <w:gridSpan w:val="4"/>
            <w:tcBorders>
              <w:top w:val="nil"/>
              <w:left w:val="nil"/>
              <w:bottom w:val="single" w:color="auto" w:sz="4" w:space="0"/>
              <w:right w:val="nil"/>
            </w:tcBorders>
            <w:noWrap w:val="0"/>
            <w:vAlign w:val="center"/>
          </w:tcPr>
          <w:p>
            <w:pPr>
              <w:spacing w:line="380" w:lineRule="atLeast"/>
              <w:jc w:val="center"/>
              <w:rPr>
                <w:b/>
                <w:color w:val="auto"/>
                <w:szCs w:val="21"/>
                <w:highlight w:val="none"/>
                <w:shd w:val="clear" w:color="auto" w:fill="auto"/>
              </w:rPr>
            </w:pPr>
          </w:p>
        </w:tc>
        <w:tc>
          <w:tcPr>
            <w:tcW w:w="6622" w:type="dxa"/>
            <w:gridSpan w:val="3"/>
            <w:tcBorders>
              <w:top w:val="nil"/>
              <w:left w:val="nil"/>
              <w:bottom w:val="single" w:color="auto" w:sz="4" w:space="0"/>
              <w:right w:val="nil"/>
            </w:tcBorders>
            <w:noWrap w:val="0"/>
            <w:vAlign w:val="center"/>
          </w:tcPr>
          <w:p>
            <w:pPr>
              <w:spacing w:line="380" w:lineRule="atLeast"/>
              <w:jc w:val="right"/>
              <w:rPr>
                <w:color w:val="auto"/>
                <w:spacing w:val="4"/>
                <w:szCs w:val="21"/>
                <w:highlight w:val="none"/>
                <w:shd w:val="clear" w:color="auto" w:fill="auto"/>
              </w:rPr>
            </w:pPr>
            <w:r>
              <w:rPr>
                <w:color w:val="auto"/>
                <w:spacing w:val="4"/>
                <w:szCs w:val="21"/>
                <w:highlight w:val="none"/>
                <w:shd w:val="clear" w:color="auto" w:fill="auto"/>
              </w:rPr>
              <w:t>续上表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69" w:type="dxa"/>
            <w:gridSpan w:val="4"/>
            <w:tcBorders>
              <w:top w:val="single" w:color="auto" w:sz="4" w:space="0"/>
              <w:bottom w:val="single" w:color="auto" w:sz="4" w:space="0"/>
              <w:right w:val="single" w:color="auto" w:sz="4" w:space="0"/>
            </w:tcBorders>
            <w:noWrap w:val="0"/>
            <w:vAlign w:val="center"/>
          </w:tcPr>
          <w:p>
            <w:pPr>
              <w:spacing w:line="380" w:lineRule="atLeast"/>
              <w:jc w:val="center"/>
              <w:rPr>
                <w:b/>
                <w:color w:val="auto"/>
                <w:szCs w:val="21"/>
                <w:highlight w:val="none"/>
                <w:shd w:val="clear" w:color="auto" w:fill="auto"/>
              </w:rPr>
            </w:pPr>
            <w:r>
              <w:rPr>
                <w:b/>
                <w:color w:val="auto"/>
                <w:szCs w:val="21"/>
                <w:highlight w:val="none"/>
                <w:shd w:val="clear" w:color="auto" w:fill="auto"/>
              </w:rPr>
              <w:t>条款号</w:t>
            </w:r>
          </w:p>
        </w:tc>
        <w:tc>
          <w:tcPr>
            <w:tcW w:w="6622" w:type="dxa"/>
            <w:gridSpan w:val="3"/>
            <w:tcBorders>
              <w:top w:val="single" w:color="auto" w:sz="4" w:space="0"/>
              <w:left w:val="single" w:color="auto" w:sz="4" w:space="0"/>
              <w:bottom w:val="single" w:color="auto" w:sz="4" w:space="0"/>
              <w:right w:val="single" w:color="auto" w:sz="4" w:space="0"/>
            </w:tcBorders>
            <w:noWrap w:val="0"/>
            <w:vAlign w:val="center"/>
          </w:tcPr>
          <w:p>
            <w:pPr>
              <w:spacing w:line="380" w:lineRule="atLeast"/>
              <w:jc w:val="center"/>
              <w:rPr>
                <w:b/>
                <w:color w:val="auto"/>
                <w:spacing w:val="4"/>
                <w:szCs w:val="21"/>
                <w:highlight w:val="none"/>
                <w:shd w:val="clear" w:color="auto" w:fill="auto"/>
              </w:rPr>
            </w:pPr>
            <w:r>
              <w:rPr>
                <w:b/>
                <w:color w:val="auto"/>
                <w:spacing w:val="4"/>
                <w:szCs w:val="21"/>
                <w:highlight w:val="none"/>
                <w:shd w:val="clear" w:color="auto" w:fill="auto"/>
              </w:rPr>
              <w:t>评审因素与评审标准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89" w:type="dxa"/>
            <w:gridSpan w:val="2"/>
            <w:tcBorders>
              <w:top w:val="single" w:color="auto" w:sz="4" w:space="0"/>
              <w:bottom w:val="single" w:color="auto" w:sz="4" w:space="0"/>
              <w:right w:val="single" w:color="auto" w:sz="4" w:space="0"/>
            </w:tcBorders>
            <w:noWrap w:val="0"/>
            <w:vAlign w:val="center"/>
          </w:tcPr>
          <w:p>
            <w:pPr>
              <w:spacing w:line="380" w:lineRule="atLeast"/>
              <w:ind w:left="0" w:leftChars="0" w:firstLine="0" w:firstLineChars="0"/>
              <w:jc w:val="both"/>
              <w:rPr>
                <w:color w:val="auto"/>
                <w:szCs w:val="21"/>
                <w:highlight w:val="none"/>
                <w:shd w:val="clear" w:color="auto" w:fill="auto"/>
              </w:rPr>
            </w:pPr>
            <w:r>
              <w:rPr>
                <w:color w:val="auto"/>
                <w:szCs w:val="21"/>
                <w:highlight w:val="none"/>
                <w:shd w:val="clear" w:color="auto" w:fill="auto"/>
              </w:rPr>
              <w:t>2.1.1</w:t>
            </w:r>
          </w:p>
          <w:p>
            <w:pPr>
              <w:spacing w:line="380" w:lineRule="atLeast"/>
              <w:ind w:left="0" w:leftChars="0" w:firstLine="0" w:firstLineChars="0"/>
              <w:jc w:val="both"/>
              <w:rPr>
                <w:color w:val="auto"/>
                <w:szCs w:val="21"/>
                <w:highlight w:val="none"/>
                <w:shd w:val="clear" w:color="auto" w:fill="auto"/>
              </w:rPr>
            </w:pPr>
            <w:r>
              <w:rPr>
                <w:color w:val="auto"/>
                <w:szCs w:val="21"/>
                <w:highlight w:val="none"/>
                <w:shd w:val="clear" w:color="auto" w:fill="auto"/>
              </w:rPr>
              <w:t>2.1.3</w:t>
            </w:r>
          </w:p>
        </w:tc>
        <w:tc>
          <w:tcPr>
            <w:tcW w:w="1280" w:type="dxa"/>
            <w:gridSpan w:val="2"/>
            <w:tcBorders>
              <w:top w:val="single" w:color="auto" w:sz="4" w:space="0"/>
              <w:bottom w:val="single" w:color="auto" w:sz="4" w:space="0"/>
              <w:right w:val="single" w:color="auto" w:sz="4" w:space="0"/>
            </w:tcBorders>
            <w:noWrap w:val="0"/>
            <w:vAlign w:val="center"/>
          </w:tcPr>
          <w:p>
            <w:pPr>
              <w:spacing w:line="380" w:lineRule="atLeast"/>
              <w:jc w:val="center"/>
              <w:rPr>
                <w:color w:val="auto"/>
                <w:szCs w:val="21"/>
                <w:highlight w:val="none"/>
                <w:shd w:val="clear" w:color="auto" w:fill="auto"/>
              </w:rPr>
            </w:pPr>
            <w:r>
              <w:rPr>
                <w:color w:val="auto"/>
                <w:szCs w:val="21"/>
                <w:highlight w:val="none"/>
                <w:shd w:val="clear" w:color="auto" w:fill="auto"/>
              </w:rPr>
              <w:t>形式评审与响应性评审标准</w:t>
            </w:r>
          </w:p>
        </w:tc>
        <w:tc>
          <w:tcPr>
            <w:tcW w:w="6622" w:type="dxa"/>
            <w:gridSpan w:val="3"/>
            <w:tcBorders>
              <w:top w:val="single" w:color="auto" w:sz="4" w:space="0"/>
              <w:left w:val="single" w:color="auto" w:sz="4" w:space="0"/>
              <w:right w:val="single" w:color="auto" w:sz="4" w:space="0"/>
            </w:tcBorders>
            <w:noWrap w:val="0"/>
            <w:vAlign w:val="center"/>
          </w:tcPr>
          <w:p>
            <w:pPr>
              <w:spacing w:line="360" w:lineRule="atLeast"/>
              <w:ind w:firstLine="480" w:firstLineChars="200"/>
              <w:rPr>
                <w:color w:val="auto"/>
                <w:szCs w:val="21"/>
                <w:highlight w:val="none"/>
                <w:shd w:val="clear" w:color="auto" w:fill="auto"/>
              </w:rPr>
            </w:pPr>
            <w:r>
              <w:rPr>
                <w:color w:val="auto"/>
                <w:szCs w:val="21"/>
                <w:highlight w:val="none"/>
                <w:shd w:val="clear" w:color="auto" w:fill="auto"/>
              </w:rPr>
              <w:t>（</w:t>
            </w:r>
            <w:r>
              <w:rPr>
                <w:rFonts w:hint="eastAsia"/>
                <w:color w:val="auto"/>
                <w:szCs w:val="21"/>
                <w:highlight w:val="none"/>
                <w:shd w:val="clear" w:color="auto" w:fill="auto"/>
                <w:lang w:val="en-US" w:eastAsia="zh-CN"/>
              </w:rPr>
              <w:t>6</w:t>
            </w:r>
            <w:r>
              <w:rPr>
                <w:color w:val="auto"/>
                <w:szCs w:val="21"/>
                <w:highlight w:val="none"/>
                <w:shd w:val="clear" w:color="auto" w:fill="auto"/>
              </w:rPr>
              <w:t>）同一投标人未提交两个以上不同的投标文件。</w:t>
            </w:r>
          </w:p>
          <w:p>
            <w:pPr>
              <w:spacing w:line="360" w:lineRule="atLeast"/>
              <w:ind w:firstLine="480" w:firstLineChars="200"/>
              <w:rPr>
                <w:color w:val="auto"/>
                <w:szCs w:val="21"/>
                <w:highlight w:val="none"/>
                <w:shd w:val="clear" w:color="auto" w:fill="auto"/>
              </w:rPr>
            </w:pPr>
            <w:r>
              <w:rPr>
                <w:color w:val="auto"/>
                <w:szCs w:val="21"/>
                <w:highlight w:val="none"/>
                <w:shd w:val="clear" w:color="auto" w:fill="auto"/>
              </w:rPr>
              <w:t>（</w:t>
            </w:r>
            <w:r>
              <w:rPr>
                <w:rFonts w:hint="eastAsia"/>
                <w:color w:val="auto"/>
                <w:szCs w:val="21"/>
                <w:highlight w:val="none"/>
                <w:shd w:val="clear" w:color="auto" w:fill="auto"/>
                <w:lang w:val="en-US" w:eastAsia="zh-CN"/>
              </w:rPr>
              <w:t>7</w:t>
            </w:r>
            <w:r>
              <w:rPr>
                <w:color w:val="auto"/>
                <w:szCs w:val="21"/>
                <w:highlight w:val="none"/>
                <w:shd w:val="clear" w:color="auto" w:fill="auto"/>
              </w:rPr>
              <w:t>）投标文件中未出现有关投标报价的内容。</w:t>
            </w:r>
          </w:p>
          <w:p>
            <w:pPr>
              <w:spacing w:line="360" w:lineRule="atLeast"/>
              <w:ind w:firstLine="480" w:firstLineChars="200"/>
              <w:rPr>
                <w:color w:val="auto"/>
                <w:szCs w:val="21"/>
                <w:highlight w:val="none"/>
                <w:shd w:val="clear" w:color="auto" w:fill="auto"/>
              </w:rPr>
            </w:pPr>
            <w:r>
              <w:rPr>
                <w:color w:val="auto"/>
                <w:szCs w:val="21"/>
                <w:highlight w:val="none"/>
                <w:shd w:val="clear" w:color="auto" w:fill="auto"/>
              </w:rPr>
              <w:t>（</w:t>
            </w:r>
            <w:r>
              <w:rPr>
                <w:rFonts w:hint="eastAsia"/>
                <w:color w:val="auto"/>
                <w:szCs w:val="21"/>
                <w:highlight w:val="none"/>
                <w:shd w:val="clear" w:color="auto" w:fill="auto"/>
                <w:lang w:val="en-US" w:eastAsia="zh-CN"/>
              </w:rPr>
              <w:t>8</w:t>
            </w:r>
            <w:r>
              <w:rPr>
                <w:color w:val="auto"/>
                <w:szCs w:val="21"/>
                <w:highlight w:val="none"/>
                <w:shd w:val="clear" w:color="auto" w:fill="auto"/>
              </w:rPr>
              <w:t>）投标文件载明的招标项目完成期限未超过招标文件规定的时限。</w:t>
            </w:r>
          </w:p>
          <w:p>
            <w:pPr>
              <w:spacing w:line="360" w:lineRule="atLeast"/>
              <w:ind w:firstLine="480" w:firstLineChars="200"/>
              <w:rPr>
                <w:color w:val="auto"/>
                <w:szCs w:val="21"/>
                <w:highlight w:val="none"/>
                <w:shd w:val="clear" w:color="auto" w:fill="auto"/>
              </w:rPr>
            </w:pPr>
            <w:r>
              <w:rPr>
                <w:color w:val="auto"/>
                <w:szCs w:val="21"/>
                <w:highlight w:val="none"/>
                <w:shd w:val="clear" w:color="auto" w:fill="auto"/>
              </w:rPr>
              <w:t>（</w:t>
            </w:r>
            <w:r>
              <w:rPr>
                <w:rFonts w:hint="eastAsia"/>
                <w:color w:val="auto"/>
                <w:szCs w:val="21"/>
                <w:highlight w:val="none"/>
                <w:shd w:val="clear" w:color="auto" w:fill="auto"/>
                <w:lang w:val="en-US" w:eastAsia="zh-CN"/>
              </w:rPr>
              <w:t>9</w:t>
            </w:r>
            <w:r>
              <w:rPr>
                <w:color w:val="auto"/>
                <w:szCs w:val="21"/>
                <w:highlight w:val="none"/>
                <w:shd w:val="clear" w:color="auto" w:fill="auto"/>
              </w:rPr>
              <w:t>）投标文件对招标文件的实质性要求和条件作出响应。</w:t>
            </w:r>
          </w:p>
          <w:p>
            <w:pPr>
              <w:spacing w:line="360" w:lineRule="atLeast"/>
              <w:ind w:firstLine="480" w:firstLineChars="200"/>
              <w:rPr>
                <w:color w:val="auto"/>
                <w:szCs w:val="21"/>
                <w:highlight w:val="none"/>
                <w:shd w:val="clear" w:color="auto" w:fill="auto"/>
              </w:rPr>
            </w:pPr>
            <w:r>
              <w:rPr>
                <w:color w:val="auto"/>
                <w:szCs w:val="21"/>
                <w:highlight w:val="none"/>
                <w:shd w:val="clear" w:color="auto" w:fill="auto"/>
              </w:rPr>
              <w:t>（1</w:t>
            </w:r>
            <w:r>
              <w:rPr>
                <w:rFonts w:hint="eastAsia"/>
                <w:color w:val="auto"/>
                <w:szCs w:val="21"/>
                <w:highlight w:val="none"/>
                <w:shd w:val="clear" w:color="auto" w:fill="auto"/>
                <w:lang w:val="en-US" w:eastAsia="zh-CN"/>
              </w:rPr>
              <w:t>0</w:t>
            </w:r>
            <w:r>
              <w:rPr>
                <w:color w:val="auto"/>
                <w:szCs w:val="21"/>
                <w:highlight w:val="none"/>
                <w:shd w:val="clear" w:color="auto" w:fill="auto"/>
              </w:rPr>
              <w:t>）权利义务符合招标文件规定：</w:t>
            </w:r>
          </w:p>
          <w:p>
            <w:pPr>
              <w:spacing w:line="360" w:lineRule="atLeast"/>
              <w:ind w:firstLine="480" w:firstLineChars="200"/>
              <w:rPr>
                <w:color w:val="auto"/>
                <w:szCs w:val="21"/>
                <w:highlight w:val="none"/>
                <w:shd w:val="clear" w:color="auto" w:fill="auto"/>
              </w:rPr>
            </w:pPr>
            <w:r>
              <w:rPr>
                <w:color w:val="auto"/>
                <w:szCs w:val="21"/>
                <w:highlight w:val="none"/>
                <w:shd w:val="clear" w:color="auto" w:fill="auto"/>
              </w:rPr>
              <w:t>a.投标人应接受招标文件规定的风险划分原则，未提出新的风险划分办法；</w:t>
            </w:r>
          </w:p>
          <w:p>
            <w:pPr>
              <w:spacing w:line="360" w:lineRule="atLeast"/>
              <w:ind w:firstLine="480" w:firstLineChars="200"/>
              <w:rPr>
                <w:color w:val="auto"/>
                <w:szCs w:val="21"/>
                <w:highlight w:val="none"/>
                <w:shd w:val="clear" w:color="auto" w:fill="auto"/>
              </w:rPr>
            </w:pPr>
            <w:r>
              <w:rPr>
                <w:color w:val="auto"/>
                <w:szCs w:val="21"/>
                <w:highlight w:val="none"/>
                <w:shd w:val="clear" w:color="auto" w:fill="auto"/>
              </w:rPr>
              <w:t>b.投标人未增加发包人的责任范围，或减少投标人义务；</w:t>
            </w:r>
          </w:p>
          <w:p>
            <w:pPr>
              <w:spacing w:line="360" w:lineRule="atLeast"/>
              <w:ind w:firstLine="480" w:firstLineChars="200"/>
              <w:rPr>
                <w:color w:val="auto"/>
                <w:szCs w:val="21"/>
                <w:highlight w:val="none"/>
                <w:shd w:val="clear" w:color="auto" w:fill="auto"/>
              </w:rPr>
            </w:pPr>
            <w:r>
              <w:rPr>
                <w:color w:val="auto"/>
                <w:szCs w:val="21"/>
                <w:highlight w:val="none"/>
                <w:shd w:val="clear" w:color="auto" w:fill="auto"/>
              </w:rPr>
              <w:t>c.投标人未提出不同的工程验收、计量、支付办法；</w:t>
            </w:r>
          </w:p>
          <w:p>
            <w:pPr>
              <w:spacing w:line="360" w:lineRule="atLeast"/>
              <w:ind w:firstLine="480" w:firstLineChars="200"/>
              <w:rPr>
                <w:color w:val="auto"/>
                <w:szCs w:val="21"/>
                <w:highlight w:val="none"/>
                <w:shd w:val="clear" w:color="auto" w:fill="auto"/>
              </w:rPr>
            </w:pPr>
            <w:r>
              <w:rPr>
                <w:color w:val="auto"/>
                <w:szCs w:val="21"/>
                <w:highlight w:val="none"/>
                <w:shd w:val="clear" w:color="auto" w:fill="auto"/>
              </w:rPr>
              <w:t>d.投标人对合同纠纷、事故处理办法未提出异议；</w:t>
            </w:r>
          </w:p>
          <w:p>
            <w:pPr>
              <w:spacing w:line="360" w:lineRule="atLeast"/>
              <w:ind w:firstLine="480" w:firstLineChars="200"/>
              <w:rPr>
                <w:color w:val="auto"/>
                <w:szCs w:val="21"/>
                <w:highlight w:val="none"/>
                <w:shd w:val="clear" w:color="auto" w:fill="auto"/>
              </w:rPr>
            </w:pPr>
            <w:r>
              <w:rPr>
                <w:color w:val="auto"/>
                <w:szCs w:val="21"/>
                <w:highlight w:val="none"/>
                <w:shd w:val="clear" w:color="auto" w:fill="auto"/>
              </w:rPr>
              <w:t>e.投标人在投标活动中无欺诈行为；</w:t>
            </w:r>
          </w:p>
          <w:p>
            <w:pPr>
              <w:spacing w:line="360" w:lineRule="atLeast"/>
              <w:ind w:firstLine="480" w:firstLineChars="200"/>
              <w:rPr>
                <w:color w:val="auto"/>
                <w:szCs w:val="21"/>
                <w:highlight w:val="none"/>
                <w:shd w:val="clear" w:color="auto" w:fill="auto"/>
              </w:rPr>
            </w:pPr>
            <w:r>
              <w:rPr>
                <w:color w:val="auto"/>
                <w:szCs w:val="21"/>
                <w:highlight w:val="none"/>
                <w:shd w:val="clear" w:color="auto" w:fill="auto"/>
              </w:rPr>
              <w:t>f.投标人未对合同条款有重要保留。</w:t>
            </w:r>
          </w:p>
          <w:p>
            <w:pPr>
              <w:spacing w:line="360" w:lineRule="atLeast"/>
              <w:ind w:firstLine="480" w:firstLineChars="200"/>
              <w:rPr>
                <w:color w:val="auto"/>
                <w:szCs w:val="21"/>
                <w:highlight w:val="none"/>
                <w:shd w:val="clear" w:color="auto" w:fill="auto"/>
              </w:rPr>
            </w:pPr>
            <w:r>
              <w:rPr>
                <w:color w:val="auto"/>
                <w:szCs w:val="21"/>
                <w:highlight w:val="none"/>
                <w:shd w:val="clear" w:color="auto" w:fill="auto"/>
              </w:rPr>
              <w:t>（</w:t>
            </w:r>
            <w:r>
              <w:rPr>
                <w:rFonts w:hint="eastAsia"/>
                <w:color w:val="auto"/>
                <w:szCs w:val="21"/>
                <w:highlight w:val="none"/>
                <w:shd w:val="clear" w:color="auto" w:fill="auto"/>
                <w:lang w:val="en-US" w:eastAsia="zh-CN"/>
              </w:rPr>
              <w:t>11</w:t>
            </w:r>
            <w:r>
              <w:rPr>
                <w:color w:val="auto"/>
                <w:szCs w:val="21"/>
                <w:highlight w:val="none"/>
                <w:shd w:val="clear" w:color="auto" w:fill="auto"/>
              </w:rPr>
              <w:t>）投标文件符合招标文件第二章“投标人须知”第3.7.</w:t>
            </w:r>
            <w:r>
              <w:rPr>
                <w:rFonts w:hint="eastAsia"/>
                <w:color w:val="auto"/>
                <w:szCs w:val="21"/>
                <w:highlight w:val="none"/>
                <w:shd w:val="clear" w:color="auto" w:fill="auto"/>
                <w:lang w:val="en-US" w:eastAsia="zh-CN"/>
              </w:rPr>
              <w:t>3</w:t>
            </w:r>
            <w:r>
              <w:rPr>
                <w:color w:val="auto"/>
                <w:szCs w:val="21"/>
                <w:highlight w:val="none"/>
                <w:shd w:val="clear" w:color="auto" w:fill="auto"/>
              </w:rPr>
              <w:t>项规定。</w:t>
            </w:r>
          </w:p>
          <w:p>
            <w:pPr>
              <w:spacing w:line="360" w:lineRule="atLeast"/>
              <w:ind w:firstLine="482" w:firstLineChars="200"/>
              <w:rPr>
                <w:b/>
                <w:color w:val="auto"/>
                <w:szCs w:val="21"/>
                <w:highlight w:val="none"/>
                <w:shd w:val="clear" w:color="auto" w:fill="auto"/>
              </w:rPr>
            </w:pPr>
            <w:r>
              <w:rPr>
                <w:b/>
                <w:color w:val="auto"/>
                <w:szCs w:val="21"/>
                <w:highlight w:val="none"/>
                <w:shd w:val="clear" w:color="auto" w:fill="auto"/>
              </w:rPr>
              <w:t>第二个信封（报价文件）评审标准：</w:t>
            </w:r>
          </w:p>
          <w:p>
            <w:pPr>
              <w:spacing w:line="360" w:lineRule="atLeast"/>
              <w:ind w:firstLine="480" w:firstLineChars="200"/>
              <w:rPr>
                <w:color w:val="auto"/>
                <w:szCs w:val="21"/>
                <w:highlight w:val="none"/>
                <w:shd w:val="clear" w:color="auto" w:fill="auto"/>
              </w:rPr>
            </w:pPr>
            <w:r>
              <w:rPr>
                <w:color w:val="auto"/>
                <w:szCs w:val="21"/>
                <w:highlight w:val="none"/>
                <w:shd w:val="clear" w:color="auto" w:fill="auto"/>
              </w:rPr>
              <w:t>（1）投标文件按照招标文件规定的格式、内容填写，字迹清晰可辨：</w:t>
            </w:r>
          </w:p>
          <w:p>
            <w:pPr>
              <w:spacing w:line="360" w:lineRule="atLeast"/>
              <w:ind w:firstLine="480" w:firstLineChars="200"/>
              <w:rPr>
                <w:color w:val="auto"/>
                <w:szCs w:val="21"/>
                <w:highlight w:val="none"/>
                <w:shd w:val="clear" w:color="auto" w:fill="auto"/>
              </w:rPr>
            </w:pPr>
            <w:r>
              <w:rPr>
                <w:color w:val="auto"/>
                <w:szCs w:val="21"/>
                <w:highlight w:val="none"/>
                <w:shd w:val="clear" w:color="auto" w:fill="auto"/>
              </w:rPr>
              <w:t>a.投标函按招标文件规定填报了项目名称、补遗书编号（如有）、投标价（包括大写金额和小写金额）；</w:t>
            </w:r>
          </w:p>
          <w:p>
            <w:pPr>
              <w:spacing w:line="360" w:lineRule="atLeast"/>
              <w:ind w:firstLine="480" w:firstLineChars="200"/>
              <w:rPr>
                <w:color w:val="auto"/>
                <w:szCs w:val="21"/>
                <w:highlight w:val="none"/>
                <w:shd w:val="clear" w:color="auto" w:fill="auto"/>
              </w:rPr>
            </w:pPr>
            <w:r>
              <w:rPr>
                <w:rFonts w:hint="eastAsia"/>
                <w:color w:val="auto"/>
                <w:szCs w:val="21"/>
                <w:highlight w:val="none"/>
                <w:shd w:val="clear" w:color="auto" w:fill="auto"/>
                <w:lang w:val="en-US" w:eastAsia="zh-CN"/>
              </w:rPr>
              <w:t>b</w:t>
            </w:r>
            <w:r>
              <w:rPr>
                <w:color w:val="auto"/>
                <w:szCs w:val="21"/>
                <w:highlight w:val="none"/>
                <w:shd w:val="clear" w:color="auto" w:fill="auto"/>
              </w:rPr>
              <w:t>.投标文件组成齐全完整，内容均按规定填写。</w:t>
            </w:r>
          </w:p>
          <w:p>
            <w:pPr>
              <w:spacing w:line="360" w:lineRule="atLeast"/>
              <w:ind w:firstLine="480" w:firstLineChars="200"/>
              <w:rPr>
                <w:color w:val="auto"/>
                <w:szCs w:val="21"/>
                <w:highlight w:val="none"/>
                <w:shd w:val="clear" w:color="auto" w:fill="auto"/>
              </w:rPr>
            </w:pPr>
            <w:r>
              <w:rPr>
                <w:color w:val="auto"/>
                <w:szCs w:val="21"/>
                <w:highlight w:val="none"/>
                <w:shd w:val="clear" w:color="auto" w:fill="auto"/>
              </w:rPr>
              <w:t>（2）</w:t>
            </w:r>
            <w:r>
              <w:rPr>
                <w:rFonts w:hint="eastAsia"/>
                <w:color w:val="auto"/>
                <w:szCs w:val="21"/>
                <w:highlight w:val="none"/>
                <w:shd w:val="clear" w:color="auto" w:fill="auto"/>
              </w:rPr>
              <w:t>投标文件上法定代表人或其委托代理人的签字个人电子签（印）章、投标人的单位电子印章齐全，符合招标文件规定</w:t>
            </w:r>
            <w:r>
              <w:rPr>
                <w:color w:val="auto"/>
                <w:szCs w:val="21"/>
                <w:highlight w:val="none"/>
                <w:shd w:val="clear" w:color="auto" w:fill="auto"/>
              </w:rPr>
              <w:t>。</w:t>
            </w:r>
          </w:p>
          <w:p>
            <w:pPr>
              <w:spacing w:line="360" w:lineRule="atLeast"/>
              <w:ind w:firstLine="480" w:firstLineChars="200"/>
              <w:rPr>
                <w:color w:val="auto"/>
                <w:szCs w:val="21"/>
                <w:highlight w:val="none"/>
                <w:shd w:val="clear" w:color="auto" w:fill="auto"/>
              </w:rPr>
            </w:pPr>
            <w:r>
              <w:rPr>
                <w:color w:val="auto"/>
                <w:szCs w:val="21"/>
                <w:highlight w:val="none"/>
                <w:shd w:val="clear" w:color="auto" w:fill="auto"/>
              </w:rPr>
              <w:t>（3）投标报价中的报价未超过招标文件设定的最高投标限价。</w:t>
            </w:r>
          </w:p>
          <w:p>
            <w:pPr>
              <w:spacing w:line="360" w:lineRule="atLeast"/>
              <w:ind w:firstLine="480" w:firstLineChars="200"/>
              <w:rPr>
                <w:color w:val="auto"/>
                <w:szCs w:val="21"/>
                <w:highlight w:val="none"/>
                <w:shd w:val="clear" w:color="auto" w:fill="auto"/>
              </w:rPr>
            </w:pPr>
            <w:r>
              <w:rPr>
                <w:color w:val="auto"/>
                <w:szCs w:val="21"/>
                <w:highlight w:val="none"/>
                <w:shd w:val="clear" w:color="auto" w:fill="auto"/>
              </w:rPr>
              <w:t>（4）投标报价中报价的大写金额能够确定具体数值。</w:t>
            </w:r>
          </w:p>
          <w:p>
            <w:pPr>
              <w:spacing w:line="360" w:lineRule="atLeast"/>
              <w:ind w:firstLine="480" w:firstLineChars="200"/>
              <w:rPr>
                <w:color w:val="auto"/>
                <w:szCs w:val="21"/>
                <w:highlight w:val="none"/>
                <w:shd w:val="clear" w:color="auto" w:fill="auto"/>
              </w:rPr>
            </w:pPr>
            <w:r>
              <w:rPr>
                <w:color w:val="auto"/>
                <w:szCs w:val="21"/>
                <w:highlight w:val="none"/>
                <w:shd w:val="clear" w:color="auto" w:fill="auto"/>
              </w:rPr>
              <w:t>（5）同一投标人未提交两个以上不同的投标报价。</w:t>
            </w:r>
          </w:p>
          <w:p>
            <w:pPr>
              <w:spacing w:line="360" w:lineRule="atLeast"/>
              <w:ind w:firstLine="439" w:firstLineChars="183"/>
              <w:rPr>
                <w:color w:val="auto"/>
                <w:szCs w:val="21"/>
                <w:highlight w:val="none"/>
                <w:shd w:val="clear" w:color="auto" w:fill="auto"/>
              </w:rPr>
            </w:pPr>
            <w:r>
              <w:rPr>
                <w:color w:val="auto"/>
                <w:szCs w:val="21"/>
                <w:highlight w:val="none"/>
                <w:shd w:val="clear" w:color="auto" w:fill="auto"/>
              </w:rPr>
              <w:t>（6）投标文件符合招标文件第二章“投标人须知”第3.7.</w:t>
            </w:r>
            <w:r>
              <w:rPr>
                <w:rFonts w:hint="eastAsia"/>
                <w:color w:val="auto"/>
                <w:szCs w:val="21"/>
                <w:highlight w:val="none"/>
                <w:shd w:val="clear" w:color="auto" w:fill="auto"/>
                <w:lang w:val="en-US" w:eastAsia="zh-CN"/>
              </w:rPr>
              <w:t>3</w:t>
            </w:r>
            <w:r>
              <w:rPr>
                <w:color w:val="auto"/>
                <w:szCs w:val="21"/>
                <w:highlight w:val="none"/>
                <w:shd w:val="clear" w:color="auto" w:fill="auto"/>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gridAfter w:val="1"/>
          <w:wBefore w:w="80" w:type="dxa"/>
          <w:wAfter w:w="80" w:type="dxa"/>
        </w:trPr>
        <w:tc>
          <w:tcPr>
            <w:tcW w:w="3650" w:type="dxa"/>
            <w:gridSpan w:val="4"/>
            <w:tcBorders>
              <w:top w:val="nil"/>
              <w:left w:val="nil"/>
              <w:bottom w:val="single" w:color="auto" w:sz="4" w:space="0"/>
              <w:right w:val="nil"/>
            </w:tcBorders>
            <w:noWrap w:val="0"/>
            <w:tcMar>
              <w:left w:w="28" w:type="dxa"/>
              <w:right w:w="28" w:type="dxa"/>
            </w:tcMar>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b/>
                <w:color w:val="auto"/>
                <w:sz w:val="21"/>
                <w:szCs w:val="21"/>
                <w:highlight w:val="none"/>
                <w:shd w:val="clear" w:color="auto" w:fill="auto"/>
              </w:rPr>
            </w:pPr>
          </w:p>
        </w:tc>
        <w:tc>
          <w:tcPr>
            <w:tcW w:w="5081" w:type="dxa"/>
            <w:tcBorders>
              <w:top w:val="nil"/>
              <w:left w:val="nil"/>
              <w:bottom w:val="single" w:color="auto" w:sz="4" w:space="0"/>
              <w:right w:val="nil"/>
            </w:tcBorders>
            <w:noWrap w:val="0"/>
            <w:tcMar>
              <w:left w:w="28" w:type="dxa"/>
              <w:right w:w="28" w:type="dxa"/>
            </w:tcMar>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right"/>
              <w:textAlignment w:val="auto"/>
              <w:rPr>
                <w:color w:val="auto"/>
                <w:spacing w:val="4"/>
                <w:sz w:val="21"/>
                <w:szCs w:val="21"/>
                <w:highlight w:val="none"/>
                <w:shd w:val="clear" w:color="auto" w:fill="auto"/>
              </w:rPr>
            </w:pPr>
            <w:r>
              <w:rPr>
                <w:color w:val="auto"/>
                <w:spacing w:val="4"/>
                <w:sz w:val="21"/>
                <w:szCs w:val="21"/>
                <w:highlight w:val="none"/>
                <w:shd w:val="clear" w:color="auto" w:fill="auto"/>
              </w:rPr>
              <w:t>续上表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gridAfter w:val="1"/>
          <w:wBefore w:w="80" w:type="dxa"/>
          <w:wAfter w:w="80" w:type="dxa"/>
        </w:trPr>
        <w:tc>
          <w:tcPr>
            <w:tcW w:w="3650" w:type="dxa"/>
            <w:gridSpan w:val="4"/>
            <w:tcBorders>
              <w:top w:val="single" w:color="auto" w:sz="4" w:space="0"/>
              <w:bottom w:val="single" w:color="auto" w:sz="4" w:space="0"/>
              <w:right w:val="single" w:color="auto" w:sz="4" w:space="0"/>
            </w:tcBorders>
            <w:noWrap w:val="0"/>
            <w:tcMar>
              <w:left w:w="28" w:type="dxa"/>
              <w:right w:w="28" w:type="dxa"/>
            </w:tcMar>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b/>
                <w:color w:val="auto"/>
                <w:sz w:val="21"/>
                <w:szCs w:val="21"/>
                <w:highlight w:val="none"/>
                <w:shd w:val="clear" w:color="auto" w:fill="auto"/>
              </w:rPr>
            </w:pPr>
            <w:r>
              <w:rPr>
                <w:b/>
                <w:color w:val="auto"/>
                <w:sz w:val="21"/>
                <w:szCs w:val="21"/>
                <w:highlight w:val="none"/>
                <w:shd w:val="clear" w:color="auto" w:fill="auto"/>
              </w:rPr>
              <w:t>条款号</w:t>
            </w:r>
          </w:p>
        </w:tc>
        <w:tc>
          <w:tcPr>
            <w:tcW w:w="5081"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b/>
                <w:color w:val="auto"/>
                <w:spacing w:val="4"/>
                <w:sz w:val="21"/>
                <w:szCs w:val="21"/>
                <w:highlight w:val="none"/>
                <w:shd w:val="clear" w:color="auto" w:fill="auto"/>
              </w:rPr>
            </w:pPr>
            <w:r>
              <w:rPr>
                <w:b/>
                <w:color w:val="auto"/>
                <w:spacing w:val="4"/>
                <w:sz w:val="21"/>
                <w:szCs w:val="21"/>
                <w:highlight w:val="none"/>
                <w:shd w:val="clear" w:color="auto" w:fill="auto"/>
              </w:rPr>
              <w:t>评审因素与评审标准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gridAfter w:val="1"/>
          <w:wBefore w:w="80" w:type="dxa"/>
          <w:wAfter w:w="80" w:type="dxa"/>
          <w:trHeight w:val="3167" w:hRule="atLeast"/>
        </w:trPr>
        <w:tc>
          <w:tcPr>
            <w:tcW w:w="1025" w:type="dxa"/>
            <w:gridSpan w:val="2"/>
            <w:tcBorders>
              <w:top w:val="single" w:color="auto" w:sz="4" w:space="0"/>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color w:val="auto"/>
                <w:sz w:val="21"/>
                <w:szCs w:val="21"/>
                <w:highlight w:val="none"/>
                <w:shd w:val="clear" w:color="auto" w:fill="auto"/>
              </w:rPr>
            </w:pPr>
            <w:r>
              <w:rPr>
                <w:color w:val="auto"/>
                <w:sz w:val="21"/>
                <w:szCs w:val="21"/>
                <w:highlight w:val="none"/>
                <w:shd w:val="clear" w:color="auto" w:fill="auto"/>
              </w:rPr>
              <w:t>2.1.2</w:t>
            </w:r>
          </w:p>
        </w:tc>
        <w:tc>
          <w:tcPr>
            <w:tcW w:w="2625" w:type="dxa"/>
            <w:gridSpan w:val="2"/>
            <w:tcBorders>
              <w:top w:val="single" w:color="auto" w:sz="4" w:space="0"/>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color w:val="auto"/>
                <w:sz w:val="21"/>
                <w:szCs w:val="21"/>
                <w:highlight w:val="none"/>
                <w:shd w:val="clear" w:color="auto" w:fill="auto"/>
              </w:rPr>
            </w:pPr>
            <w:r>
              <w:rPr>
                <w:color w:val="auto"/>
                <w:sz w:val="21"/>
                <w:szCs w:val="21"/>
                <w:highlight w:val="none"/>
                <w:shd w:val="clear" w:color="auto" w:fill="auto"/>
              </w:rPr>
              <w:t>资格评审</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color w:val="auto"/>
                <w:sz w:val="21"/>
                <w:szCs w:val="21"/>
                <w:highlight w:val="none"/>
                <w:shd w:val="clear" w:color="auto" w:fill="auto"/>
              </w:rPr>
            </w:pPr>
            <w:r>
              <w:rPr>
                <w:color w:val="auto"/>
                <w:sz w:val="21"/>
                <w:szCs w:val="21"/>
                <w:highlight w:val="none"/>
                <w:shd w:val="clear" w:color="auto" w:fill="auto"/>
              </w:rPr>
              <w:t>标准</w:t>
            </w:r>
          </w:p>
        </w:tc>
        <w:tc>
          <w:tcPr>
            <w:tcW w:w="5081" w:type="dxa"/>
            <w:tcBorders>
              <w:top w:val="single" w:color="auto" w:sz="4" w:space="0"/>
              <w:left w:val="single" w:color="auto" w:sz="4" w:space="0"/>
              <w:right w:val="single" w:color="auto" w:sz="4" w:space="0"/>
            </w:tcBorders>
            <w:noWrap w:val="0"/>
            <w:tcMar>
              <w:left w:w="28" w:type="dxa"/>
              <w:right w:w="28" w:type="dxa"/>
            </w:tcMar>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color w:val="auto"/>
                <w:sz w:val="21"/>
                <w:szCs w:val="21"/>
                <w:highlight w:val="none"/>
                <w:shd w:val="clear" w:color="auto" w:fill="auto"/>
              </w:rPr>
            </w:pPr>
            <w:r>
              <w:rPr>
                <w:color w:val="auto"/>
                <w:sz w:val="21"/>
                <w:szCs w:val="21"/>
                <w:highlight w:val="none"/>
                <w:shd w:val="clear" w:color="auto" w:fill="auto"/>
              </w:rPr>
              <w:t>（1）投标人具备有效的</w:t>
            </w:r>
            <w:r>
              <w:rPr>
                <w:rFonts w:hint="eastAsia"/>
                <w:color w:val="auto"/>
                <w:sz w:val="21"/>
                <w:szCs w:val="21"/>
                <w:highlight w:val="none"/>
                <w:shd w:val="clear" w:color="auto" w:fill="auto"/>
                <w:lang w:val="en-US" w:eastAsia="zh-CN"/>
              </w:rPr>
              <w:t>企业法人</w:t>
            </w:r>
            <w:r>
              <w:rPr>
                <w:color w:val="auto"/>
                <w:sz w:val="21"/>
                <w:szCs w:val="21"/>
                <w:highlight w:val="none"/>
                <w:shd w:val="clear" w:color="auto" w:fill="auto"/>
              </w:rPr>
              <w:t xml:space="preserve">营业执照、资质证书、安全生产许可证。 </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color w:val="auto"/>
                <w:sz w:val="21"/>
                <w:szCs w:val="21"/>
                <w:highlight w:val="none"/>
                <w:shd w:val="clear" w:color="auto" w:fill="auto"/>
              </w:rPr>
            </w:pPr>
            <w:r>
              <w:rPr>
                <w:color w:val="auto"/>
                <w:sz w:val="21"/>
                <w:szCs w:val="21"/>
                <w:highlight w:val="none"/>
                <w:shd w:val="clear" w:color="auto" w:fill="auto"/>
              </w:rPr>
              <w:t>（2）投标人的资质等级符合招标文件规定。</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color w:val="auto"/>
                <w:sz w:val="21"/>
                <w:szCs w:val="21"/>
                <w:highlight w:val="none"/>
                <w:shd w:val="clear" w:color="auto" w:fill="auto"/>
              </w:rPr>
            </w:pPr>
            <w:r>
              <w:rPr>
                <w:color w:val="auto"/>
                <w:sz w:val="21"/>
                <w:szCs w:val="21"/>
                <w:highlight w:val="none"/>
                <w:shd w:val="clear" w:color="auto" w:fill="auto"/>
              </w:rPr>
              <w:t>（3）投标人的财务状况符合招标文件规定。</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color w:val="auto"/>
                <w:sz w:val="21"/>
                <w:szCs w:val="21"/>
                <w:highlight w:val="none"/>
                <w:shd w:val="clear" w:color="auto" w:fill="auto"/>
              </w:rPr>
            </w:pPr>
            <w:r>
              <w:rPr>
                <w:color w:val="auto"/>
                <w:sz w:val="21"/>
                <w:szCs w:val="21"/>
                <w:highlight w:val="none"/>
                <w:shd w:val="clear" w:color="auto" w:fill="auto"/>
              </w:rPr>
              <w:t>（4）投标人的信誉符合招标文件规定。</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color w:val="auto"/>
                <w:sz w:val="21"/>
                <w:szCs w:val="21"/>
                <w:highlight w:val="none"/>
                <w:shd w:val="clear" w:color="auto" w:fill="auto"/>
              </w:rPr>
            </w:pPr>
            <w:r>
              <w:rPr>
                <w:color w:val="auto"/>
                <w:sz w:val="21"/>
                <w:szCs w:val="21"/>
                <w:highlight w:val="none"/>
                <w:shd w:val="clear" w:color="auto" w:fill="auto"/>
              </w:rPr>
              <w:t>（5）投标人的项目经理和项目总工资格、在岗情况符合招标文件规定。</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eastAsia="宋体"/>
                <w:color w:val="auto"/>
                <w:sz w:val="21"/>
                <w:szCs w:val="21"/>
                <w:highlight w:val="none"/>
                <w:shd w:val="clear" w:color="auto" w:fill="auto"/>
                <w:lang w:val="en-US" w:eastAsia="zh-CN"/>
              </w:rPr>
            </w:pPr>
            <w:r>
              <w:rPr>
                <w:color w:val="auto"/>
                <w:sz w:val="21"/>
                <w:szCs w:val="21"/>
                <w:highlight w:val="none"/>
                <w:shd w:val="clear" w:color="auto" w:fill="auto"/>
              </w:rPr>
              <w:t>（6）投标人不存在第二章“投标人须知”第1.4.3项或第1.4.4项规定的任何一种情形</w:t>
            </w:r>
            <w:r>
              <w:rPr>
                <w:rFonts w:hint="eastAsia"/>
                <w:color w:val="auto"/>
                <w:sz w:val="21"/>
                <w:szCs w:val="21"/>
                <w:highlight w:val="none"/>
                <w:shd w:val="clear" w:color="auto" w:fill="auto"/>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gridAfter w:val="1"/>
          <w:wBefore w:w="80" w:type="dxa"/>
          <w:wAfter w:w="80" w:type="dxa"/>
          <w:trHeight w:val="215" w:hRule="atLeast"/>
        </w:trPr>
        <w:tc>
          <w:tcPr>
            <w:tcW w:w="1025" w:type="dxa"/>
            <w:gridSpan w:val="2"/>
            <w:tcBorders>
              <w:top w:val="single" w:color="auto" w:sz="4" w:space="0"/>
              <w:right w:val="single" w:color="auto" w:sz="4" w:space="0"/>
            </w:tcBorders>
            <w:noWrap w:val="0"/>
            <w:tcMar>
              <w:left w:w="28" w:type="dxa"/>
              <w:right w:w="28" w:type="dxa"/>
            </w:tcMar>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b/>
                <w:color w:val="auto"/>
                <w:sz w:val="21"/>
                <w:szCs w:val="21"/>
                <w:highlight w:val="none"/>
                <w:shd w:val="clear" w:color="auto" w:fill="auto"/>
              </w:rPr>
            </w:pPr>
            <w:r>
              <w:rPr>
                <w:b/>
                <w:color w:val="auto"/>
                <w:sz w:val="21"/>
                <w:szCs w:val="21"/>
                <w:highlight w:val="none"/>
                <w:shd w:val="clear" w:color="auto" w:fill="auto"/>
              </w:rPr>
              <w:t>条款号</w:t>
            </w:r>
          </w:p>
        </w:tc>
        <w:tc>
          <w:tcPr>
            <w:tcW w:w="2625" w:type="dxa"/>
            <w:gridSpan w:val="2"/>
            <w:tcBorders>
              <w:top w:val="single" w:color="auto" w:sz="4" w:space="0"/>
              <w:right w:val="single" w:color="auto" w:sz="4" w:space="0"/>
            </w:tcBorders>
            <w:noWrap w:val="0"/>
            <w:tcMar>
              <w:left w:w="28" w:type="dxa"/>
              <w:right w:w="28" w:type="dxa"/>
            </w:tcMar>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b/>
                <w:color w:val="auto"/>
                <w:sz w:val="21"/>
                <w:szCs w:val="21"/>
                <w:highlight w:val="none"/>
                <w:shd w:val="clear" w:color="auto" w:fill="auto"/>
              </w:rPr>
            </w:pPr>
            <w:r>
              <w:rPr>
                <w:b/>
                <w:color w:val="auto"/>
                <w:sz w:val="21"/>
                <w:szCs w:val="21"/>
                <w:highlight w:val="none"/>
                <w:shd w:val="clear" w:color="auto" w:fill="auto"/>
              </w:rPr>
              <w:t>条款内容</w:t>
            </w:r>
          </w:p>
        </w:tc>
        <w:tc>
          <w:tcPr>
            <w:tcW w:w="5081" w:type="dxa"/>
            <w:tcBorders>
              <w:top w:val="single" w:color="auto" w:sz="4" w:space="0"/>
              <w:left w:val="single" w:color="auto" w:sz="4" w:space="0"/>
              <w:right w:val="single" w:color="auto" w:sz="4" w:space="0"/>
            </w:tcBorders>
            <w:noWrap w:val="0"/>
            <w:tcMar>
              <w:left w:w="28" w:type="dxa"/>
              <w:right w:w="28" w:type="dxa"/>
            </w:tcMar>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b/>
                <w:color w:val="auto"/>
                <w:sz w:val="21"/>
                <w:szCs w:val="21"/>
                <w:highlight w:val="none"/>
                <w:shd w:val="clear" w:color="auto" w:fill="auto"/>
              </w:rPr>
            </w:pPr>
            <w:r>
              <w:rPr>
                <w:b/>
                <w:color w:val="auto"/>
                <w:sz w:val="21"/>
                <w:szCs w:val="21"/>
                <w:highlight w:val="none"/>
                <w:shd w:val="clear" w:color="auto" w:fill="auto"/>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gridAfter w:val="1"/>
          <w:wBefore w:w="80" w:type="dxa"/>
          <w:wAfter w:w="80" w:type="dxa"/>
        </w:trPr>
        <w:tc>
          <w:tcPr>
            <w:tcW w:w="1025" w:type="dxa"/>
            <w:gridSpan w:val="2"/>
            <w:tcBorders>
              <w:top w:val="single" w:color="auto" w:sz="4" w:space="0"/>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color w:val="auto"/>
                <w:sz w:val="21"/>
                <w:szCs w:val="21"/>
                <w:highlight w:val="none"/>
                <w:shd w:val="clear" w:color="auto" w:fill="auto"/>
              </w:rPr>
            </w:pPr>
            <w:r>
              <w:rPr>
                <w:color w:val="auto"/>
                <w:sz w:val="21"/>
                <w:szCs w:val="21"/>
                <w:highlight w:val="none"/>
                <w:shd w:val="clear" w:color="auto" w:fill="auto"/>
              </w:rPr>
              <w:t>2.2.1</w:t>
            </w:r>
          </w:p>
        </w:tc>
        <w:tc>
          <w:tcPr>
            <w:tcW w:w="2625" w:type="dxa"/>
            <w:gridSpan w:val="2"/>
            <w:tcBorders>
              <w:top w:val="single" w:color="auto" w:sz="4" w:space="0"/>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color w:val="auto"/>
                <w:sz w:val="21"/>
                <w:szCs w:val="21"/>
                <w:highlight w:val="none"/>
                <w:shd w:val="clear" w:color="auto" w:fill="auto"/>
              </w:rPr>
            </w:pPr>
            <w:r>
              <w:rPr>
                <w:color w:val="auto"/>
                <w:sz w:val="21"/>
                <w:szCs w:val="21"/>
                <w:highlight w:val="none"/>
                <w:shd w:val="clear" w:color="auto" w:fill="auto"/>
              </w:rPr>
              <w:t>第一个信封评分分值构成</w:t>
            </w:r>
          </w:p>
          <w:p>
            <w:pPr>
              <w:keepNext w:val="0"/>
              <w:keepLines w:val="0"/>
              <w:pageBreakBefore w:val="0"/>
              <w:widowControl w:val="0"/>
              <w:kinsoku/>
              <w:wordWrap/>
              <w:overflowPunct/>
              <w:topLinePunct w:val="0"/>
              <w:autoSpaceDE/>
              <w:autoSpaceDN/>
              <w:bidi w:val="0"/>
              <w:adjustRightInd/>
              <w:snapToGrid/>
              <w:spacing w:line="360" w:lineRule="exact"/>
              <w:ind w:left="-120" w:leftChars="-50" w:right="-120" w:rightChars="-50" w:firstLine="0" w:firstLineChars="0"/>
              <w:jc w:val="center"/>
              <w:textAlignment w:val="auto"/>
              <w:rPr>
                <w:color w:val="auto"/>
                <w:sz w:val="21"/>
                <w:szCs w:val="21"/>
                <w:highlight w:val="none"/>
                <w:shd w:val="clear" w:color="auto" w:fill="auto"/>
              </w:rPr>
            </w:pPr>
            <w:r>
              <w:rPr>
                <w:color w:val="auto"/>
                <w:sz w:val="21"/>
                <w:szCs w:val="21"/>
                <w:highlight w:val="none"/>
                <w:shd w:val="clear" w:color="auto" w:fill="auto"/>
              </w:rPr>
              <w:t>（总分100分）</w:t>
            </w:r>
          </w:p>
        </w:tc>
        <w:tc>
          <w:tcPr>
            <w:tcW w:w="5081" w:type="dxa"/>
            <w:tcBorders>
              <w:top w:val="single" w:color="auto" w:sz="4" w:space="0"/>
              <w:left w:val="single" w:color="auto" w:sz="4" w:space="0"/>
              <w:right w:val="single" w:color="auto" w:sz="4" w:space="0"/>
            </w:tcBorders>
            <w:noWrap w:val="0"/>
            <w:tcMar>
              <w:left w:w="28" w:type="dxa"/>
              <w:right w:w="28" w:type="dxa"/>
            </w:tcMar>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color w:val="auto"/>
                <w:sz w:val="21"/>
                <w:szCs w:val="21"/>
                <w:highlight w:val="none"/>
                <w:shd w:val="clear" w:color="auto" w:fill="auto"/>
              </w:rPr>
            </w:pPr>
            <w:r>
              <w:rPr>
                <w:rFonts w:hint="eastAsia"/>
                <w:color w:val="auto"/>
                <w:sz w:val="21"/>
                <w:szCs w:val="21"/>
                <w:highlight w:val="none"/>
                <w:shd w:val="clear" w:color="auto" w:fill="auto"/>
                <w:lang w:eastAsia="zh-CN"/>
              </w:rPr>
              <w:t>（</w:t>
            </w:r>
            <w:r>
              <w:rPr>
                <w:rFonts w:hint="eastAsia"/>
                <w:color w:val="auto"/>
                <w:sz w:val="21"/>
                <w:szCs w:val="21"/>
                <w:highlight w:val="none"/>
                <w:shd w:val="clear" w:color="auto" w:fill="auto"/>
                <w:lang w:val="en-US" w:eastAsia="zh-CN"/>
              </w:rPr>
              <w:t>1</w:t>
            </w:r>
            <w:r>
              <w:rPr>
                <w:rFonts w:hint="eastAsia"/>
                <w:color w:val="auto"/>
                <w:sz w:val="21"/>
                <w:szCs w:val="21"/>
                <w:highlight w:val="none"/>
                <w:shd w:val="clear" w:color="auto" w:fill="auto"/>
                <w:lang w:eastAsia="zh-CN"/>
              </w:rPr>
              <w:t>）</w:t>
            </w:r>
            <w:r>
              <w:rPr>
                <w:color w:val="auto"/>
                <w:sz w:val="21"/>
                <w:szCs w:val="21"/>
                <w:highlight w:val="none"/>
                <w:shd w:val="clear" w:color="auto" w:fill="auto"/>
              </w:rPr>
              <w:t>施工组织设计：</w:t>
            </w:r>
            <w:r>
              <w:rPr>
                <w:rFonts w:hint="eastAsia"/>
                <w:color w:val="auto"/>
                <w:sz w:val="21"/>
                <w:szCs w:val="21"/>
                <w:highlight w:val="none"/>
                <w:shd w:val="clear" w:color="auto" w:fill="auto"/>
                <w:lang w:val="en-US" w:eastAsia="zh-CN"/>
              </w:rPr>
              <w:t>45</w:t>
            </w:r>
            <w:r>
              <w:rPr>
                <w:color w:val="auto"/>
                <w:sz w:val="21"/>
                <w:szCs w:val="21"/>
                <w:highlight w:val="none"/>
                <w:shd w:val="clear" w:color="auto" w:fill="auto"/>
              </w:rPr>
              <w:t>分</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color w:val="auto"/>
                <w:sz w:val="21"/>
                <w:szCs w:val="21"/>
                <w:highlight w:val="none"/>
                <w:shd w:val="clear" w:color="auto" w:fill="auto"/>
              </w:rPr>
            </w:pPr>
            <w:r>
              <w:rPr>
                <w:rFonts w:hint="eastAsia"/>
                <w:color w:val="auto"/>
                <w:sz w:val="21"/>
                <w:szCs w:val="21"/>
                <w:highlight w:val="none"/>
                <w:shd w:val="clear" w:color="auto" w:fill="auto"/>
                <w:lang w:eastAsia="zh-CN"/>
              </w:rPr>
              <w:t>（</w:t>
            </w:r>
            <w:r>
              <w:rPr>
                <w:rFonts w:hint="eastAsia"/>
                <w:color w:val="auto"/>
                <w:sz w:val="21"/>
                <w:szCs w:val="21"/>
                <w:highlight w:val="none"/>
                <w:shd w:val="clear" w:color="auto" w:fill="auto"/>
                <w:lang w:val="en-US" w:eastAsia="zh-CN"/>
              </w:rPr>
              <w:t>2</w:t>
            </w:r>
            <w:r>
              <w:rPr>
                <w:rFonts w:hint="eastAsia"/>
                <w:color w:val="auto"/>
                <w:sz w:val="21"/>
                <w:szCs w:val="21"/>
                <w:highlight w:val="none"/>
                <w:shd w:val="clear" w:color="auto" w:fill="auto"/>
                <w:lang w:eastAsia="zh-CN"/>
              </w:rPr>
              <w:t>）</w:t>
            </w:r>
            <w:r>
              <w:rPr>
                <w:color w:val="auto"/>
                <w:sz w:val="21"/>
                <w:szCs w:val="21"/>
                <w:highlight w:val="none"/>
                <w:shd w:val="clear" w:color="auto" w:fill="auto"/>
              </w:rPr>
              <w:t>主要人员：</w:t>
            </w:r>
            <w:r>
              <w:rPr>
                <w:rFonts w:hint="eastAsia"/>
                <w:color w:val="auto"/>
                <w:sz w:val="21"/>
                <w:szCs w:val="21"/>
                <w:highlight w:val="none"/>
                <w:shd w:val="clear" w:color="auto" w:fill="auto"/>
                <w:lang w:val="en-US" w:eastAsia="zh-CN"/>
              </w:rPr>
              <w:t>30</w:t>
            </w:r>
            <w:r>
              <w:rPr>
                <w:color w:val="auto"/>
                <w:sz w:val="21"/>
                <w:szCs w:val="21"/>
                <w:highlight w:val="none"/>
                <w:shd w:val="clear" w:color="auto" w:fill="auto"/>
              </w:rPr>
              <w:t>分</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color w:val="auto"/>
                <w:sz w:val="21"/>
                <w:szCs w:val="21"/>
                <w:highlight w:val="none"/>
                <w:shd w:val="clear" w:color="auto" w:fill="auto"/>
                <w:lang w:val="en-US" w:eastAsia="zh-CN"/>
              </w:rPr>
            </w:pPr>
            <w:r>
              <w:rPr>
                <w:rFonts w:hint="eastAsia"/>
                <w:color w:val="auto"/>
                <w:sz w:val="21"/>
                <w:szCs w:val="21"/>
                <w:highlight w:val="none"/>
                <w:shd w:val="clear" w:color="auto" w:fill="auto"/>
                <w:lang w:val="en-US" w:eastAsia="zh-CN"/>
              </w:rPr>
              <w:t>（3）其他因素：</w:t>
            </w:r>
          </w:p>
          <w:p>
            <w:pPr>
              <w:keepNext w:val="0"/>
              <w:keepLines w:val="0"/>
              <w:pageBreakBefore w:val="0"/>
              <w:widowControl w:val="0"/>
              <w:kinsoku/>
              <w:wordWrap/>
              <w:overflowPunct/>
              <w:topLinePunct w:val="0"/>
              <w:autoSpaceDE/>
              <w:autoSpaceDN/>
              <w:bidi w:val="0"/>
              <w:adjustRightInd/>
              <w:snapToGrid/>
              <w:spacing w:line="360" w:lineRule="exact"/>
              <w:ind w:left="480" w:leftChars="200" w:firstLine="0" w:firstLineChars="0"/>
              <w:textAlignment w:val="auto"/>
              <w:rPr>
                <w:rFonts w:hint="default"/>
                <w:color w:val="auto"/>
                <w:sz w:val="21"/>
                <w:szCs w:val="21"/>
                <w:highlight w:val="none"/>
                <w:shd w:val="clear" w:color="auto" w:fill="auto"/>
                <w:lang w:val="en-US" w:eastAsia="zh-CN"/>
              </w:rPr>
            </w:pPr>
            <w:r>
              <w:rPr>
                <w:rFonts w:hint="eastAsia"/>
                <w:color w:val="auto"/>
                <w:sz w:val="21"/>
                <w:szCs w:val="21"/>
                <w:highlight w:val="none"/>
                <w:shd w:val="clear" w:color="auto" w:fill="auto"/>
                <w:lang w:val="en-US" w:eastAsia="zh-CN"/>
              </w:rPr>
              <w:t>企业业绩：22分</w:t>
            </w:r>
          </w:p>
          <w:p>
            <w:pPr>
              <w:keepNext w:val="0"/>
              <w:keepLines w:val="0"/>
              <w:pageBreakBefore w:val="0"/>
              <w:widowControl w:val="0"/>
              <w:kinsoku/>
              <w:wordWrap/>
              <w:overflowPunct/>
              <w:topLinePunct w:val="0"/>
              <w:autoSpaceDE/>
              <w:autoSpaceDN/>
              <w:bidi w:val="0"/>
              <w:adjustRightInd/>
              <w:snapToGrid/>
              <w:spacing w:line="360" w:lineRule="exact"/>
              <w:ind w:left="480" w:leftChars="200" w:firstLine="0" w:firstLineChars="0"/>
              <w:textAlignment w:val="auto"/>
              <w:rPr>
                <w:rFonts w:hint="eastAsia"/>
                <w:color w:val="auto"/>
                <w:sz w:val="21"/>
                <w:szCs w:val="21"/>
                <w:highlight w:val="none"/>
                <w:shd w:val="clear" w:color="auto" w:fill="auto"/>
              </w:rPr>
            </w:pPr>
            <w:r>
              <w:rPr>
                <w:rFonts w:hint="eastAsia"/>
                <w:color w:val="auto"/>
                <w:sz w:val="21"/>
                <w:szCs w:val="21"/>
                <w:highlight w:val="none"/>
                <w:shd w:val="clear" w:color="auto" w:fill="auto"/>
                <w:lang w:val="en-US" w:eastAsia="zh-CN"/>
              </w:rPr>
              <w:t>履约信誉：3</w:t>
            </w:r>
            <w:r>
              <w:rPr>
                <w:rFonts w:hint="eastAsia"/>
                <w:color w:val="auto"/>
                <w:sz w:val="21"/>
                <w:szCs w:val="21"/>
                <w:highlight w:val="none"/>
                <w:shd w:val="clear" w:color="auto" w:fill="auto"/>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gridAfter w:val="1"/>
          <w:wBefore w:w="80" w:type="dxa"/>
          <w:wAfter w:w="80" w:type="dxa"/>
          <w:trHeight w:val="643" w:hRule="atLeast"/>
        </w:trPr>
        <w:tc>
          <w:tcPr>
            <w:tcW w:w="1025" w:type="dxa"/>
            <w:gridSpan w:val="2"/>
            <w:tcBorders>
              <w:top w:val="single" w:color="auto" w:sz="4" w:space="0"/>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color w:val="auto"/>
                <w:sz w:val="21"/>
                <w:szCs w:val="21"/>
                <w:highlight w:val="none"/>
                <w:shd w:val="clear" w:color="auto" w:fill="auto"/>
              </w:rPr>
            </w:pPr>
            <w:r>
              <w:rPr>
                <w:color w:val="auto"/>
                <w:sz w:val="21"/>
                <w:szCs w:val="21"/>
                <w:highlight w:val="none"/>
                <w:shd w:val="clear" w:color="auto" w:fill="auto"/>
              </w:rPr>
              <w:t>2.2.3</w:t>
            </w:r>
          </w:p>
        </w:tc>
        <w:tc>
          <w:tcPr>
            <w:tcW w:w="2625" w:type="dxa"/>
            <w:gridSpan w:val="2"/>
            <w:tcBorders>
              <w:top w:val="single" w:color="auto" w:sz="4" w:space="0"/>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color w:val="auto"/>
                <w:sz w:val="21"/>
                <w:szCs w:val="21"/>
                <w:highlight w:val="none"/>
                <w:shd w:val="clear" w:color="auto" w:fill="auto"/>
              </w:rPr>
            </w:pPr>
            <w:r>
              <w:rPr>
                <w:color w:val="auto"/>
                <w:sz w:val="21"/>
                <w:szCs w:val="21"/>
                <w:highlight w:val="none"/>
                <w:shd w:val="clear" w:color="auto" w:fill="auto"/>
              </w:rPr>
              <w:t>第二个信封详细评审标准</w:t>
            </w:r>
          </w:p>
        </w:tc>
        <w:tc>
          <w:tcPr>
            <w:tcW w:w="5081" w:type="dxa"/>
            <w:tcBorders>
              <w:top w:val="single" w:color="auto" w:sz="4" w:space="0"/>
              <w:left w:val="single" w:color="auto" w:sz="4" w:space="0"/>
              <w:right w:val="single" w:color="auto" w:sz="4" w:space="0"/>
            </w:tcBorders>
            <w:noWrap w:val="0"/>
            <w:tcMar>
              <w:left w:w="28" w:type="dxa"/>
              <w:right w:w="28" w:type="dxa"/>
            </w:tcMar>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color w:val="auto"/>
                <w:sz w:val="21"/>
                <w:szCs w:val="21"/>
                <w:highlight w:val="none"/>
                <w:shd w:val="clear" w:color="auto" w:fill="auto"/>
              </w:rPr>
            </w:pPr>
            <w:r>
              <w:rPr>
                <w:color w:val="auto"/>
                <w:sz w:val="21"/>
                <w:szCs w:val="21"/>
                <w:highlight w:val="none"/>
                <w:shd w:val="clear" w:color="auto" w:fill="auto"/>
              </w:rPr>
              <w:t>评标价计算公式：</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color w:val="auto"/>
                <w:sz w:val="21"/>
                <w:szCs w:val="21"/>
                <w:highlight w:val="none"/>
                <w:shd w:val="clear" w:color="auto" w:fill="auto"/>
              </w:rPr>
            </w:pPr>
            <w:r>
              <w:rPr>
                <w:color w:val="auto"/>
                <w:sz w:val="21"/>
                <w:szCs w:val="21"/>
                <w:highlight w:val="none"/>
                <w:shd w:val="clear" w:color="auto" w:fill="auto"/>
              </w:rPr>
              <w:t xml:space="preserve">评标价＝投标报价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gridAfter w:val="1"/>
          <w:wBefore w:w="80" w:type="dxa"/>
          <w:wAfter w:w="80" w:type="dxa"/>
          <w:trHeight w:val="1472" w:hRule="atLeast"/>
        </w:trPr>
        <w:tc>
          <w:tcPr>
            <w:tcW w:w="1025" w:type="dxa"/>
            <w:gridSpan w:val="2"/>
            <w:tcBorders>
              <w:top w:val="single" w:color="auto" w:sz="4" w:space="0"/>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color w:val="auto"/>
                <w:sz w:val="21"/>
                <w:szCs w:val="21"/>
                <w:highlight w:val="none"/>
                <w:shd w:val="clear" w:color="auto" w:fill="auto"/>
              </w:rPr>
            </w:pPr>
            <w:r>
              <w:rPr>
                <w:color w:val="auto"/>
                <w:sz w:val="21"/>
                <w:szCs w:val="21"/>
                <w:highlight w:val="none"/>
                <w:shd w:val="clear" w:color="auto" w:fill="auto"/>
              </w:rPr>
              <w:t>3.2.4</w:t>
            </w:r>
          </w:p>
        </w:tc>
        <w:tc>
          <w:tcPr>
            <w:tcW w:w="2625" w:type="dxa"/>
            <w:gridSpan w:val="2"/>
            <w:tcBorders>
              <w:top w:val="single" w:color="auto" w:sz="4" w:space="0"/>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color w:val="auto"/>
                <w:sz w:val="21"/>
                <w:szCs w:val="21"/>
                <w:highlight w:val="none"/>
                <w:shd w:val="clear" w:color="auto" w:fill="auto"/>
              </w:rPr>
            </w:pPr>
            <w:r>
              <w:rPr>
                <w:color w:val="auto"/>
                <w:sz w:val="21"/>
                <w:szCs w:val="21"/>
                <w:highlight w:val="none"/>
                <w:shd w:val="clear" w:color="auto" w:fill="auto"/>
              </w:rPr>
              <w:t>通过第一个信封详细评审的投标人数量</w:t>
            </w:r>
          </w:p>
        </w:tc>
        <w:tc>
          <w:tcPr>
            <w:tcW w:w="5081" w:type="dxa"/>
            <w:tcBorders>
              <w:top w:val="single" w:color="auto" w:sz="4" w:space="0"/>
              <w:left w:val="single" w:color="auto" w:sz="4" w:space="0"/>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color w:val="auto"/>
                <w:sz w:val="21"/>
                <w:szCs w:val="21"/>
                <w:highlight w:val="none"/>
                <w:shd w:val="clear" w:color="auto" w:fill="auto"/>
              </w:rPr>
            </w:pPr>
            <w:r>
              <w:rPr>
                <w:rFonts w:hint="eastAsia"/>
                <w:color w:val="auto"/>
                <w:sz w:val="21"/>
                <w:szCs w:val="21"/>
                <w:highlight w:val="none"/>
                <w:shd w:val="clear" w:color="auto" w:fill="auto"/>
              </w:rPr>
              <w:t>按照投标人的商务和技术得分由高到低排序，选择前3名通过详细评审；为保证招标工作的顺利开展，招标人在第二信封开标现场将不对投标人未通过第一信封详细评审的原因作任何的解释和说明，具体原因招标人将会按照《公路工程建设项目招标投标管理办法》第“第五十三条”的规定</w:t>
            </w:r>
            <w:r>
              <w:rPr>
                <w:rFonts w:hint="eastAsia"/>
                <w:color w:val="auto"/>
                <w:sz w:val="21"/>
                <w:szCs w:val="21"/>
                <w:highlight w:val="none"/>
                <w:shd w:val="clear" w:color="auto" w:fill="auto"/>
                <w:lang w:val="en-US" w:eastAsia="zh-CN"/>
              </w:rPr>
              <w:t>在相关</w:t>
            </w:r>
            <w:r>
              <w:rPr>
                <w:rFonts w:hint="eastAsia"/>
                <w:color w:val="auto"/>
                <w:sz w:val="21"/>
                <w:szCs w:val="21"/>
                <w:highlight w:val="none"/>
                <w:shd w:val="clear" w:color="auto" w:fill="auto"/>
              </w:rPr>
              <w:t>网站上进行公示。</w:t>
            </w:r>
          </w:p>
        </w:tc>
      </w:tr>
    </w:tbl>
    <w:p>
      <w:pPr>
        <w:jc w:val="right"/>
        <w:rPr>
          <w:color w:val="auto"/>
          <w:highlight w:val="none"/>
          <w:shd w:val="clear" w:color="auto" w:fill="auto"/>
        </w:rPr>
      </w:pPr>
      <w:r>
        <w:rPr>
          <w:color w:val="auto"/>
          <w:highlight w:val="none"/>
          <w:shd w:val="clear" w:color="auto" w:fill="auto"/>
        </w:rPr>
        <w:br w:type="page"/>
      </w:r>
      <w:r>
        <w:rPr>
          <w:rFonts w:hint="eastAsia"/>
          <w:color w:val="auto"/>
          <w:highlight w:val="none"/>
          <w:shd w:val="clear" w:color="auto" w:fill="auto"/>
        </w:rPr>
        <w:t>续上表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442"/>
        <w:gridCol w:w="552"/>
        <w:gridCol w:w="925"/>
        <w:gridCol w:w="1394"/>
        <w:gridCol w:w="610"/>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654" w:type="dxa"/>
            <w:gridSpan w:val="6"/>
            <w:tcBorders>
              <w:top w:val="single" w:color="auto" w:sz="4" w:space="0"/>
            </w:tcBorders>
            <w:noWrap w:val="0"/>
            <w:tcMar>
              <w:left w:w="28" w:type="dxa"/>
              <w:right w:w="28" w:type="dxa"/>
            </w:tcMar>
            <w:vAlign w:val="top"/>
          </w:tcPr>
          <w:p>
            <w:pPr>
              <w:keepNext w:val="0"/>
              <w:keepLines w:val="0"/>
              <w:pageBreakBefore w:val="0"/>
              <w:kinsoku/>
              <w:wordWrap/>
              <w:topLinePunct w:val="0"/>
              <w:bidi w:val="0"/>
              <w:adjustRightInd/>
              <w:snapToGrid/>
              <w:spacing w:line="360" w:lineRule="exact"/>
              <w:ind w:left="0" w:leftChars="0" w:right="0" w:rightChars="0" w:firstLine="0" w:firstLineChars="0"/>
              <w:jc w:val="center"/>
              <w:textAlignment w:val="auto"/>
              <w:rPr>
                <w:b/>
                <w:color w:val="auto"/>
                <w:sz w:val="21"/>
                <w:szCs w:val="21"/>
                <w:highlight w:val="none"/>
                <w:shd w:val="clear" w:color="auto" w:fill="auto"/>
              </w:rPr>
            </w:pPr>
            <w:r>
              <w:rPr>
                <w:b/>
                <w:color w:val="auto"/>
                <w:sz w:val="21"/>
                <w:szCs w:val="21"/>
                <w:highlight w:val="none"/>
                <w:shd w:val="clear" w:color="auto" w:fill="auto"/>
              </w:rPr>
              <w:t>评分因素与权重分值</w:t>
            </w:r>
          </w:p>
        </w:tc>
        <w:tc>
          <w:tcPr>
            <w:tcW w:w="4077" w:type="dxa"/>
            <w:vMerge w:val="restart"/>
            <w:tcBorders>
              <w:top w:val="single" w:color="auto" w:sz="4" w:space="0"/>
            </w:tcBorders>
            <w:noWrap w:val="0"/>
            <w:tcMar>
              <w:left w:w="28" w:type="dxa"/>
              <w:right w:w="28" w:type="dxa"/>
            </w:tcMar>
            <w:vAlign w:val="center"/>
          </w:tcPr>
          <w:p>
            <w:pPr>
              <w:keepNext w:val="0"/>
              <w:keepLines w:val="0"/>
              <w:pageBreakBefore w:val="0"/>
              <w:kinsoku/>
              <w:wordWrap/>
              <w:topLinePunct w:val="0"/>
              <w:bidi w:val="0"/>
              <w:adjustRightInd/>
              <w:snapToGrid/>
              <w:spacing w:line="360" w:lineRule="exact"/>
              <w:ind w:left="0" w:leftChars="0" w:right="0" w:rightChars="0" w:firstLine="0" w:firstLineChars="0"/>
              <w:jc w:val="center"/>
              <w:textAlignment w:val="auto"/>
              <w:rPr>
                <w:b/>
                <w:color w:val="auto"/>
                <w:sz w:val="21"/>
                <w:szCs w:val="21"/>
                <w:highlight w:val="none"/>
                <w:shd w:val="clear" w:color="auto" w:fill="auto"/>
              </w:rPr>
            </w:pPr>
            <w:r>
              <w:rPr>
                <w:b/>
                <w:color w:val="auto"/>
                <w:sz w:val="21"/>
                <w:szCs w:val="21"/>
                <w:highlight w:val="none"/>
                <w:shd w:val="clear" w:color="auto" w:fill="auto"/>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31" w:type="dxa"/>
            <w:noWrap w:val="0"/>
            <w:tcMar>
              <w:left w:w="28" w:type="dxa"/>
              <w:right w:w="28" w:type="dxa"/>
            </w:tcMar>
            <w:vAlign w:val="center"/>
          </w:tcPr>
          <w:p>
            <w:pPr>
              <w:keepNext w:val="0"/>
              <w:keepLines w:val="0"/>
              <w:pageBreakBefore w:val="0"/>
              <w:kinsoku/>
              <w:wordWrap/>
              <w:topLinePunct w:val="0"/>
              <w:bidi w:val="0"/>
              <w:adjustRightInd/>
              <w:snapToGrid/>
              <w:spacing w:line="360" w:lineRule="exact"/>
              <w:ind w:left="0" w:leftChars="0" w:right="0" w:rightChars="0" w:firstLine="0" w:firstLineChars="0"/>
              <w:jc w:val="center"/>
              <w:textAlignment w:val="auto"/>
              <w:rPr>
                <w:b/>
                <w:color w:val="auto"/>
                <w:sz w:val="21"/>
                <w:szCs w:val="21"/>
                <w:highlight w:val="none"/>
                <w:shd w:val="clear" w:color="auto" w:fill="auto"/>
              </w:rPr>
            </w:pPr>
            <w:r>
              <w:rPr>
                <w:b/>
                <w:color w:val="auto"/>
                <w:sz w:val="21"/>
                <w:szCs w:val="21"/>
                <w:highlight w:val="none"/>
                <w:shd w:val="clear" w:color="auto" w:fill="auto"/>
              </w:rPr>
              <w:t>条款号</w:t>
            </w:r>
          </w:p>
        </w:tc>
        <w:tc>
          <w:tcPr>
            <w:tcW w:w="994" w:type="dxa"/>
            <w:gridSpan w:val="2"/>
            <w:noWrap w:val="0"/>
            <w:tcMar>
              <w:left w:w="28" w:type="dxa"/>
              <w:right w:w="28" w:type="dxa"/>
            </w:tcMar>
            <w:vAlign w:val="center"/>
          </w:tcPr>
          <w:p>
            <w:pPr>
              <w:keepNext w:val="0"/>
              <w:keepLines w:val="0"/>
              <w:pageBreakBefore w:val="0"/>
              <w:kinsoku/>
              <w:wordWrap/>
              <w:topLinePunct w:val="0"/>
              <w:bidi w:val="0"/>
              <w:adjustRightInd/>
              <w:snapToGrid/>
              <w:spacing w:line="360" w:lineRule="exact"/>
              <w:ind w:left="0" w:leftChars="0" w:right="0" w:rightChars="0" w:firstLine="0" w:firstLineChars="0"/>
              <w:jc w:val="center"/>
              <w:textAlignment w:val="auto"/>
              <w:rPr>
                <w:b/>
                <w:color w:val="auto"/>
                <w:sz w:val="21"/>
                <w:szCs w:val="21"/>
                <w:highlight w:val="none"/>
                <w:shd w:val="clear" w:color="auto" w:fill="auto"/>
              </w:rPr>
            </w:pPr>
            <w:r>
              <w:rPr>
                <w:b/>
                <w:color w:val="auto"/>
                <w:sz w:val="21"/>
                <w:szCs w:val="21"/>
                <w:highlight w:val="none"/>
                <w:shd w:val="clear" w:color="auto" w:fill="auto"/>
              </w:rPr>
              <w:t>评分因素</w:t>
            </w:r>
          </w:p>
        </w:tc>
        <w:tc>
          <w:tcPr>
            <w:tcW w:w="925" w:type="dxa"/>
            <w:noWrap w:val="0"/>
            <w:tcMar>
              <w:left w:w="28" w:type="dxa"/>
              <w:right w:w="28" w:type="dxa"/>
            </w:tcMar>
            <w:vAlign w:val="center"/>
          </w:tcPr>
          <w:p>
            <w:pPr>
              <w:keepNext w:val="0"/>
              <w:keepLines w:val="0"/>
              <w:pageBreakBefore w:val="0"/>
              <w:kinsoku/>
              <w:wordWrap/>
              <w:topLinePunct w:val="0"/>
              <w:bidi w:val="0"/>
              <w:adjustRightInd/>
              <w:snapToGrid/>
              <w:spacing w:line="360" w:lineRule="exact"/>
              <w:ind w:left="0" w:leftChars="0" w:right="0" w:rightChars="0" w:firstLine="0" w:firstLineChars="0"/>
              <w:jc w:val="center"/>
              <w:textAlignment w:val="auto"/>
              <w:rPr>
                <w:b/>
                <w:color w:val="auto"/>
                <w:sz w:val="21"/>
                <w:szCs w:val="21"/>
                <w:highlight w:val="none"/>
                <w:shd w:val="clear" w:color="auto" w:fill="auto"/>
              </w:rPr>
            </w:pPr>
            <w:r>
              <w:rPr>
                <w:b/>
                <w:color w:val="auto"/>
                <w:sz w:val="21"/>
                <w:szCs w:val="21"/>
                <w:highlight w:val="none"/>
                <w:shd w:val="clear" w:color="auto" w:fill="auto"/>
              </w:rPr>
              <w:t>评分因素</w:t>
            </w:r>
          </w:p>
          <w:p>
            <w:pPr>
              <w:keepNext w:val="0"/>
              <w:keepLines w:val="0"/>
              <w:pageBreakBefore w:val="0"/>
              <w:kinsoku/>
              <w:wordWrap/>
              <w:topLinePunct w:val="0"/>
              <w:bidi w:val="0"/>
              <w:adjustRightInd/>
              <w:snapToGrid/>
              <w:spacing w:line="360" w:lineRule="exact"/>
              <w:ind w:left="0" w:leftChars="0" w:right="0" w:rightChars="0" w:firstLine="0" w:firstLineChars="0"/>
              <w:jc w:val="center"/>
              <w:textAlignment w:val="auto"/>
              <w:rPr>
                <w:b/>
                <w:color w:val="auto"/>
                <w:sz w:val="21"/>
                <w:szCs w:val="21"/>
                <w:highlight w:val="none"/>
                <w:shd w:val="clear" w:color="auto" w:fill="auto"/>
              </w:rPr>
            </w:pPr>
            <w:r>
              <w:rPr>
                <w:b/>
                <w:color w:val="auto"/>
                <w:sz w:val="21"/>
                <w:szCs w:val="21"/>
                <w:highlight w:val="none"/>
                <w:shd w:val="clear" w:color="auto" w:fill="auto"/>
              </w:rPr>
              <w:t>权重分值</w:t>
            </w:r>
          </w:p>
        </w:tc>
        <w:tc>
          <w:tcPr>
            <w:tcW w:w="1394" w:type="dxa"/>
            <w:noWrap w:val="0"/>
            <w:tcMar>
              <w:left w:w="28" w:type="dxa"/>
              <w:right w:w="28" w:type="dxa"/>
            </w:tcMar>
            <w:vAlign w:val="center"/>
          </w:tcPr>
          <w:p>
            <w:pPr>
              <w:keepNext w:val="0"/>
              <w:keepLines w:val="0"/>
              <w:pageBreakBefore w:val="0"/>
              <w:kinsoku/>
              <w:wordWrap/>
              <w:topLinePunct w:val="0"/>
              <w:bidi w:val="0"/>
              <w:adjustRightInd/>
              <w:snapToGrid/>
              <w:spacing w:line="360" w:lineRule="exact"/>
              <w:ind w:left="0" w:leftChars="0" w:right="0" w:rightChars="0" w:firstLine="0" w:firstLineChars="0"/>
              <w:jc w:val="center"/>
              <w:textAlignment w:val="auto"/>
              <w:rPr>
                <w:b/>
                <w:color w:val="auto"/>
                <w:sz w:val="21"/>
                <w:szCs w:val="21"/>
                <w:highlight w:val="none"/>
                <w:shd w:val="clear" w:color="auto" w:fill="auto"/>
              </w:rPr>
            </w:pPr>
            <w:r>
              <w:rPr>
                <w:b/>
                <w:color w:val="auto"/>
                <w:sz w:val="21"/>
                <w:szCs w:val="21"/>
                <w:highlight w:val="none"/>
                <w:shd w:val="clear" w:color="auto" w:fill="auto"/>
              </w:rPr>
              <w:t>各评分因素细分项</w:t>
            </w:r>
          </w:p>
        </w:tc>
        <w:tc>
          <w:tcPr>
            <w:tcW w:w="610" w:type="dxa"/>
            <w:noWrap w:val="0"/>
            <w:tcMar>
              <w:left w:w="28" w:type="dxa"/>
              <w:right w:w="28" w:type="dxa"/>
            </w:tcMar>
            <w:vAlign w:val="center"/>
          </w:tcPr>
          <w:p>
            <w:pPr>
              <w:keepNext w:val="0"/>
              <w:keepLines w:val="0"/>
              <w:pageBreakBefore w:val="0"/>
              <w:kinsoku/>
              <w:wordWrap/>
              <w:topLinePunct w:val="0"/>
              <w:bidi w:val="0"/>
              <w:adjustRightInd/>
              <w:snapToGrid/>
              <w:spacing w:line="360" w:lineRule="exact"/>
              <w:ind w:left="0" w:leftChars="0" w:right="0" w:rightChars="0" w:firstLine="0" w:firstLineChars="0"/>
              <w:jc w:val="center"/>
              <w:textAlignment w:val="auto"/>
              <w:rPr>
                <w:b/>
                <w:color w:val="auto"/>
                <w:sz w:val="21"/>
                <w:szCs w:val="21"/>
                <w:highlight w:val="none"/>
                <w:shd w:val="clear" w:color="auto" w:fill="auto"/>
              </w:rPr>
            </w:pPr>
            <w:r>
              <w:rPr>
                <w:b/>
                <w:color w:val="auto"/>
                <w:sz w:val="21"/>
                <w:szCs w:val="21"/>
                <w:highlight w:val="none"/>
                <w:shd w:val="clear" w:color="auto" w:fill="auto"/>
              </w:rPr>
              <w:t>分       值</w:t>
            </w:r>
          </w:p>
        </w:tc>
        <w:tc>
          <w:tcPr>
            <w:tcW w:w="4077" w:type="dxa"/>
            <w:vMerge w:val="continue"/>
            <w:noWrap w:val="0"/>
            <w:tcMar>
              <w:left w:w="28" w:type="dxa"/>
              <w:right w:w="28" w:type="dxa"/>
            </w:tcMar>
            <w:vAlign w:val="top"/>
          </w:tcPr>
          <w:p>
            <w:pPr>
              <w:keepNext w:val="0"/>
              <w:keepLines w:val="0"/>
              <w:pageBreakBefore w:val="0"/>
              <w:kinsoku/>
              <w:wordWrap/>
              <w:topLinePunct w:val="0"/>
              <w:bidi w:val="0"/>
              <w:adjustRightInd/>
              <w:snapToGrid/>
              <w:spacing w:line="360" w:lineRule="exact"/>
              <w:ind w:left="0" w:leftChars="0" w:right="0" w:rightChars="0" w:firstLine="0" w:firstLineChars="0"/>
              <w:jc w:val="center"/>
              <w:textAlignment w:val="auto"/>
              <w:rPr>
                <w:b/>
                <w:color w:val="auto"/>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1" w:type="dxa"/>
            <w:vMerge w:val="restart"/>
            <w:noWrap w:val="0"/>
            <w:tcMar>
              <w:left w:w="28" w:type="dxa"/>
              <w:right w:w="28" w:type="dxa"/>
            </w:tcMar>
            <w:vAlign w:val="center"/>
          </w:tcPr>
          <w:p>
            <w:pPr>
              <w:keepNext w:val="0"/>
              <w:keepLines w:val="0"/>
              <w:pageBreakBefore w:val="0"/>
              <w:kinsoku/>
              <w:wordWrap/>
              <w:topLinePunct w:val="0"/>
              <w:bidi w:val="0"/>
              <w:adjustRightInd/>
              <w:snapToGrid/>
              <w:spacing w:line="360" w:lineRule="exact"/>
              <w:ind w:left="0" w:leftChars="0" w:right="0" w:rightChars="0" w:firstLine="0" w:firstLineChars="0"/>
              <w:jc w:val="center"/>
              <w:textAlignment w:val="auto"/>
              <w:rPr>
                <w:rFonts w:hint="eastAsia"/>
                <w:color w:val="auto"/>
                <w:sz w:val="21"/>
                <w:szCs w:val="21"/>
                <w:highlight w:val="none"/>
                <w:shd w:val="clear" w:color="auto" w:fill="auto"/>
              </w:rPr>
            </w:pPr>
            <w:r>
              <w:rPr>
                <w:rFonts w:hint="eastAsia"/>
                <w:color w:val="auto"/>
                <w:sz w:val="21"/>
                <w:szCs w:val="21"/>
                <w:highlight w:val="none"/>
                <w:shd w:val="clear" w:color="auto" w:fill="auto"/>
              </w:rPr>
              <w:t>2.2.2（</w:t>
            </w:r>
            <w:r>
              <w:rPr>
                <w:rFonts w:hint="eastAsia"/>
                <w:color w:val="auto"/>
                <w:sz w:val="21"/>
                <w:szCs w:val="21"/>
                <w:highlight w:val="none"/>
                <w:shd w:val="clear" w:color="auto" w:fill="auto"/>
                <w:lang w:val="en-US" w:eastAsia="zh-CN"/>
              </w:rPr>
              <w:t>1</w:t>
            </w:r>
            <w:r>
              <w:rPr>
                <w:rFonts w:hint="eastAsia"/>
                <w:color w:val="auto"/>
                <w:sz w:val="21"/>
                <w:szCs w:val="21"/>
                <w:highlight w:val="none"/>
                <w:shd w:val="clear" w:color="auto" w:fill="auto"/>
              </w:rPr>
              <w:t>）</w:t>
            </w:r>
          </w:p>
        </w:tc>
        <w:tc>
          <w:tcPr>
            <w:tcW w:w="994" w:type="dxa"/>
            <w:gridSpan w:val="2"/>
            <w:vMerge w:val="restart"/>
            <w:noWrap w:val="0"/>
            <w:tcMar>
              <w:left w:w="28" w:type="dxa"/>
              <w:right w:w="28" w:type="dxa"/>
            </w:tcMar>
            <w:vAlign w:val="center"/>
          </w:tcPr>
          <w:p>
            <w:pPr>
              <w:keepNext w:val="0"/>
              <w:keepLines w:val="0"/>
              <w:pageBreakBefore w:val="0"/>
              <w:kinsoku/>
              <w:wordWrap/>
              <w:topLinePunct w:val="0"/>
              <w:bidi w:val="0"/>
              <w:adjustRightInd/>
              <w:snapToGrid/>
              <w:spacing w:line="360" w:lineRule="exact"/>
              <w:ind w:left="0" w:leftChars="0" w:right="0" w:rightChars="0" w:firstLine="0" w:firstLineChars="0"/>
              <w:jc w:val="center"/>
              <w:textAlignment w:val="auto"/>
              <w:rPr>
                <w:color w:val="auto"/>
                <w:sz w:val="21"/>
                <w:szCs w:val="21"/>
                <w:highlight w:val="none"/>
                <w:shd w:val="clear" w:color="auto" w:fill="auto"/>
              </w:rPr>
            </w:pPr>
            <w:r>
              <w:rPr>
                <w:color w:val="auto"/>
                <w:sz w:val="21"/>
                <w:szCs w:val="21"/>
                <w:highlight w:val="none"/>
                <w:shd w:val="clear" w:color="auto" w:fill="auto"/>
              </w:rPr>
              <w:t>施工组织设计</w:t>
            </w:r>
          </w:p>
        </w:tc>
        <w:tc>
          <w:tcPr>
            <w:tcW w:w="925" w:type="dxa"/>
            <w:vMerge w:val="restart"/>
            <w:noWrap w:val="0"/>
            <w:tcMar>
              <w:left w:w="28" w:type="dxa"/>
              <w:right w:w="28" w:type="dxa"/>
            </w:tcMar>
            <w:vAlign w:val="center"/>
          </w:tcPr>
          <w:p>
            <w:pPr>
              <w:keepNext w:val="0"/>
              <w:keepLines w:val="0"/>
              <w:pageBreakBefore w:val="0"/>
              <w:kinsoku/>
              <w:wordWrap/>
              <w:topLinePunct w:val="0"/>
              <w:bidi w:val="0"/>
              <w:adjustRightInd/>
              <w:snapToGrid/>
              <w:spacing w:line="360" w:lineRule="exact"/>
              <w:ind w:left="0" w:leftChars="0" w:right="0" w:rightChars="0" w:firstLine="0" w:firstLineChars="0"/>
              <w:jc w:val="center"/>
              <w:textAlignment w:val="auto"/>
              <w:rPr>
                <w:color w:val="auto"/>
                <w:sz w:val="21"/>
                <w:szCs w:val="21"/>
                <w:highlight w:val="none"/>
                <w:u w:val="single"/>
                <w:shd w:val="clear" w:color="auto" w:fill="auto"/>
              </w:rPr>
            </w:pPr>
            <w:r>
              <w:rPr>
                <w:rFonts w:hint="eastAsia"/>
                <w:color w:val="auto"/>
                <w:sz w:val="21"/>
                <w:szCs w:val="21"/>
                <w:highlight w:val="none"/>
                <w:shd w:val="clear" w:color="auto" w:fill="auto"/>
                <w:lang w:val="en-US" w:eastAsia="zh-CN"/>
              </w:rPr>
              <w:t>45</w:t>
            </w:r>
            <w:r>
              <w:rPr>
                <w:color w:val="auto"/>
                <w:sz w:val="21"/>
                <w:szCs w:val="21"/>
                <w:highlight w:val="none"/>
                <w:shd w:val="clear" w:color="auto" w:fill="auto"/>
              </w:rPr>
              <w:t>分</w:t>
            </w:r>
          </w:p>
        </w:tc>
        <w:tc>
          <w:tcPr>
            <w:tcW w:w="1394" w:type="dxa"/>
            <w:noWrap w:val="0"/>
            <w:tcMar>
              <w:left w:w="28" w:type="dxa"/>
              <w:right w:w="28" w:type="dxa"/>
            </w:tcMar>
            <w:vAlign w:val="center"/>
          </w:tcPr>
          <w:p>
            <w:pPr>
              <w:keepNext w:val="0"/>
              <w:keepLines w:val="0"/>
              <w:pageBreakBefore w:val="0"/>
              <w:kinsoku/>
              <w:wordWrap/>
              <w:topLinePunct w:val="0"/>
              <w:bidi w:val="0"/>
              <w:adjustRightInd/>
              <w:snapToGrid/>
              <w:spacing w:line="360" w:lineRule="exact"/>
              <w:ind w:left="0" w:leftChars="0" w:right="0" w:rightChars="0" w:firstLine="0" w:firstLineChars="0"/>
              <w:textAlignment w:val="auto"/>
              <w:rPr>
                <w:color w:val="auto"/>
                <w:sz w:val="21"/>
                <w:szCs w:val="21"/>
                <w:highlight w:val="none"/>
                <w:shd w:val="clear" w:color="auto" w:fill="auto"/>
              </w:rPr>
            </w:pPr>
            <w:r>
              <w:rPr>
                <w:color w:val="auto"/>
                <w:sz w:val="21"/>
                <w:szCs w:val="21"/>
                <w:highlight w:val="none"/>
                <w:shd w:val="clear" w:color="auto" w:fill="auto"/>
              </w:rPr>
              <w:t>主要工程项目的施工方案、方法与技术措施</w:t>
            </w:r>
          </w:p>
        </w:tc>
        <w:tc>
          <w:tcPr>
            <w:tcW w:w="610" w:type="dxa"/>
            <w:noWrap w:val="0"/>
            <w:tcMar>
              <w:left w:w="28" w:type="dxa"/>
              <w:right w:w="28" w:type="dxa"/>
            </w:tcMar>
            <w:vAlign w:val="center"/>
          </w:tcPr>
          <w:p>
            <w:pPr>
              <w:keepNext w:val="0"/>
              <w:keepLines w:val="0"/>
              <w:pageBreakBefore w:val="0"/>
              <w:kinsoku/>
              <w:wordWrap/>
              <w:topLinePunct w:val="0"/>
              <w:bidi w:val="0"/>
              <w:adjustRightInd/>
              <w:snapToGrid/>
              <w:spacing w:line="360" w:lineRule="exact"/>
              <w:ind w:left="0" w:leftChars="0" w:right="0" w:rightChars="0" w:firstLine="0" w:firstLineChars="0"/>
              <w:jc w:val="center"/>
              <w:textAlignment w:val="auto"/>
              <w:rPr>
                <w:rFonts w:hint="eastAsia"/>
                <w:color w:val="auto"/>
                <w:sz w:val="21"/>
                <w:szCs w:val="21"/>
                <w:highlight w:val="none"/>
                <w:shd w:val="clear" w:color="auto" w:fill="auto"/>
              </w:rPr>
            </w:pPr>
            <w:r>
              <w:rPr>
                <w:rFonts w:hint="eastAsia"/>
                <w:color w:val="auto"/>
                <w:sz w:val="21"/>
                <w:szCs w:val="21"/>
                <w:highlight w:val="none"/>
                <w:shd w:val="clear" w:color="auto" w:fill="auto"/>
              </w:rPr>
              <w:t>1</w:t>
            </w:r>
            <w:r>
              <w:rPr>
                <w:rFonts w:hint="eastAsia"/>
                <w:color w:val="auto"/>
                <w:sz w:val="21"/>
                <w:szCs w:val="21"/>
                <w:highlight w:val="none"/>
                <w:shd w:val="clear" w:color="auto" w:fill="auto"/>
                <w:lang w:val="en-US" w:eastAsia="zh-CN"/>
              </w:rPr>
              <w:t>0</w:t>
            </w:r>
            <w:r>
              <w:rPr>
                <w:rFonts w:hint="eastAsia"/>
                <w:color w:val="auto"/>
                <w:sz w:val="21"/>
                <w:szCs w:val="21"/>
                <w:highlight w:val="none"/>
                <w:shd w:val="clear" w:color="auto" w:fill="auto"/>
              </w:rPr>
              <w:t>分</w:t>
            </w:r>
          </w:p>
        </w:tc>
        <w:tc>
          <w:tcPr>
            <w:tcW w:w="4077" w:type="dxa"/>
            <w:noWrap w:val="0"/>
            <w:tcMar>
              <w:left w:w="28" w:type="dxa"/>
              <w:right w:w="28" w:type="dxa"/>
            </w:tcMar>
            <w:vAlign w:val="top"/>
          </w:tcPr>
          <w:p>
            <w:pPr>
              <w:keepNext w:val="0"/>
              <w:keepLines w:val="0"/>
              <w:pageBreakBefore w:val="0"/>
              <w:kinsoku/>
              <w:wordWrap/>
              <w:topLinePunct w:val="0"/>
              <w:bidi w:val="0"/>
              <w:adjustRightInd/>
              <w:snapToGrid/>
              <w:spacing w:line="360" w:lineRule="exact"/>
              <w:ind w:left="0" w:leftChars="0" w:right="0" w:rightChars="0" w:firstLine="0" w:firstLineChars="0"/>
              <w:textAlignment w:val="auto"/>
              <w:rPr>
                <w:rFonts w:hint="eastAsia"/>
                <w:color w:val="auto"/>
                <w:sz w:val="21"/>
                <w:szCs w:val="21"/>
                <w:highlight w:val="none"/>
                <w:shd w:val="clear" w:color="auto" w:fill="auto"/>
              </w:rPr>
            </w:pPr>
            <w:r>
              <w:rPr>
                <w:rFonts w:hint="eastAsia"/>
                <w:color w:val="auto"/>
                <w:sz w:val="21"/>
                <w:szCs w:val="21"/>
                <w:highlight w:val="none"/>
                <w:shd w:val="clear" w:color="auto" w:fill="auto"/>
              </w:rPr>
              <w:t>可行性，可操作性，先进性：</w:t>
            </w:r>
          </w:p>
          <w:p>
            <w:pPr>
              <w:keepNext w:val="0"/>
              <w:keepLines w:val="0"/>
              <w:pageBreakBefore w:val="0"/>
              <w:kinsoku/>
              <w:wordWrap/>
              <w:topLinePunct w:val="0"/>
              <w:bidi w:val="0"/>
              <w:adjustRightInd/>
              <w:snapToGrid/>
              <w:spacing w:line="360" w:lineRule="exact"/>
              <w:ind w:left="0" w:leftChars="0" w:right="0" w:rightChars="0" w:firstLine="0" w:firstLineChars="0"/>
              <w:textAlignment w:val="auto"/>
              <w:rPr>
                <w:rFonts w:hint="eastAsia"/>
                <w:color w:val="auto"/>
                <w:sz w:val="21"/>
                <w:szCs w:val="21"/>
                <w:highlight w:val="none"/>
                <w:shd w:val="clear" w:color="auto" w:fill="auto"/>
              </w:rPr>
            </w:pPr>
            <w:r>
              <w:rPr>
                <w:rFonts w:hint="eastAsia"/>
                <w:color w:val="auto"/>
                <w:sz w:val="21"/>
                <w:szCs w:val="21"/>
                <w:highlight w:val="none"/>
                <w:shd w:val="clear" w:color="auto" w:fill="auto"/>
              </w:rPr>
              <w:t>好，得</w:t>
            </w:r>
            <w:r>
              <w:rPr>
                <w:rFonts w:hint="eastAsia"/>
                <w:color w:val="auto"/>
                <w:sz w:val="21"/>
                <w:szCs w:val="21"/>
                <w:highlight w:val="none"/>
                <w:shd w:val="clear" w:color="auto" w:fill="auto"/>
                <w:lang w:val="en-US" w:eastAsia="zh-CN"/>
              </w:rPr>
              <w:t>8</w:t>
            </w:r>
            <w:r>
              <w:rPr>
                <w:rFonts w:hint="eastAsia"/>
                <w:color w:val="auto"/>
                <w:sz w:val="21"/>
                <w:szCs w:val="21"/>
                <w:highlight w:val="none"/>
                <w:shd w:val="clear" w:color="auto" w:fill="auto"/>
              </w:rPr>
              <w:t>～</w:t>
            </w:r>
            <w:r>
              <w:rPr>
                <w:rFonts w:hint="eastAsia"/>
                <w:color w:val="auto"/>
                <w:sz w:val="21"/>
                <w:szCs w:val="21"/>
                <w:highlight w:val="none"/>
                <w:shd w:val="clear" w:color="auto" w:fill="auto"/>
                <w:lang w:val="en-US" w:eastAsia="zh-CN"/>
              </w:rPr>
              <w:t>10</w:t>
            </w:r>
            <w:r>
              <w:rPr>
                <w:rFonts w:hint="eastAsia"/>
                <w:color w:val="auto"/>
                <w:sz w:val="21"/>
                <w:szCs w:val="21"/>
                <w:highlight w:val="none"/>
                <w:shd w:val="clear" w:color="auto" w:fill="auto"/>
              </w:rPr>
              <w:t>分；</w:t>
            </w:r>
          </w:p>
          <w:p>
            <w:pPr>
              <w:keepNext w:val="0"/>
              <w:keepLines w:val="0"/>
              <w:pageBreakBefore w:val="0"/>
              <w:kinsoku/>
              <w:wordWrap/>
              <w:topLinePunct w:val="0"/>
              <w:bidi w:val="0"/>
              <w:adjustRightInd/>
              <w:snapToGrid/>
              <w:spacing w:line="360" w:lineRule="exact"/>
              <w:ind w:left="0" w:leftChars="0" w:right="0" w:rightChars="0" w:firstLine="0" w:firstLineChars="0"/>
              <w:textAlignment w:val="auto"/>
              <w:rPr>
                <w:rFonts w:hint="eastAsia"/>
                <w:color w:val="auto"/>
                <w:sz w:val="21"/>
                <w:szCs w:val="21"/>
                <w:highlight w:val="none"/>
                <w:shd w:val="clear" w:color="auto" w:fill="auto"/>
              </w:rPr>
            </w:pPr>
            <w:r>
              <w:rPr>
                <w:rFonts w:hint="eastAsia"/>
                <w:color w:val="auto"/>
                <w:sz w:val="21"/>
                <w:szCs w:val="21"/>
                <w:highlight w:val="none"/>
                <w:shd w:val="clear" w:color="auto" w:fill="auto"/>
              </w:rPr>
              <w:t>较好，得</w:t>
            </w:r>
            <w:r>
              <w:rPr>
                <w:rFonts w:hint="eastAsia"/>
                <w:color w:val="auto"/>
                <w:sz w:val="21"/>
                <w:szCs w:val="21"/>
                <w:highlight w:val="none"/>
                <w:shd w:val="clear" w:color="auto" w:fill="auto"/>
                <w:lang w:val="en-US" w:eastAsia="zh-CN"/>
              </w:rPr>
              <w:t>7</w:t>
            </w:r>
            <w:r>
              <w:rPr>
                <w:rFonts w:hint="eastAsia"/>
                <w:color w:val="auto"/>
                <w:sz w:val="21"/>
                <w:szCs w:val="21"/>
                <w:highlight w:val="none"/>
                <w:shd w:val="clear" w:color="auto" w:fill="auto"/>
              </w:rPr>
              <w:t>～</w:t>
            </w:r>
            <w:r>
              <w:rPr>
                <w:rFonts w:hint="eastAsia"/>
                <w:color w:val="auto"/>
                <w:sz w:val="21"/>
                <w:szCs w:val="21"/>
                <w:highlight w:val="none"/>
                <w:shd w:val="clear" w:color="auto" w:fill="auto"/>
                <w:lang w:val="en-US" w:eastAsia="zh-CN"/>
              </w:rPr>
              <w:t>8</w:t>
            </w:r>
            <w:r>
              <w:rPr>
                <w:rFonts w:hint="eastAsia"/>
                <w:color w:val="auto"/>
                <w:sz w:val="21"/>
                <w:szCs w:val="21"/>
                <w:highlight w:val="none"/>
                <w:shd w:val="clear" w:color="auto" w:fill="auto"/>
              </w:rPr>
              <w:t>分；</w:t>
            </w:r>
          </w:p>
          <w:p>
            <w:pPr>
              <w:keepNext w:val="0"/>
              <w:keepLines w:val="0"/>
              <w:pageBreakBefore w:val="0"/>
              <w:kinsoku/>
              <w:wordWrap/>
              <w:topLinePunct w:val="0"/>
              <w:bidi w:val="0"/>
              <w:adjustRightInd/>
              <w:snapToGrid/>
              <w:spacing w:line="360" w:lineRule="exact"/>
              <w:ind w:left="0" w:leftChars="0" w:right="0" w:rightChars="0" w:firstLine="0" w:firstLineChars="0"/>
              <w:textAlignment w:val="auto"/>
              <w:rPr>
                <w:rFonts w:hint="eastAsia"/>
                <w:color w:val="auto"/>
                <w:sz w:val="21"/>
                <w:szCs w:val="21"/>
                <w:highlight w:val="none"/>
                <w:shd w:val="clear" w:color="auto" w:fill="auto"/>
              </w:rPr>
            </w:pPr>
            <w:r>
              <w:rPr>
                <w:rFonts w:hint="eastAsia"/>
                <w:color w:val="auto"/>
                <w:sz w:val="21"/>
                <w:szCs w:val="21"/>
                <w:highlight w:val="none"/>
                <w:shd w:val="clear" w:color="auto" w:fill="auto"/>
              </w:rPr>
              <w:t>一般，得</w:t>
            </w:r>
            <w:r>
              <w:rPr>
                <w:rFonts w:hint="eastAsia"/>
                <w:color w:val="auto"/>
                <w:sz w:val="21"/>
                <w:szCs w:val="21"/>
                <w:highlight w:val="none"/>
                <w:shd w:val="clear" w:color="auto" w:fill="auto"/>
                <w:lang w:val="en-US" w:eastAsia="zh-CN"/>
              </w:rPr>
              <w:t>6</w:t>
            </w:r>
            <w:r>
              <w:rPr>
                <w:rFonts w:hint="eastAsia"/>
                <w:color w:val="auto"/>
                <w:sz w:val="21"/>
                <w:szCs w:val="21"/>
                <w:highlight w:val="none"/>
                <w:shd w:val="clear" w:color="auto" w:fill="auto"/>
              </w:rPr>
              <w:t>～</w:t>
            </w:r>
            <w:r>
              <w:rPr>
                <w:rFonts w:hint="eastAsia"/>
                <w:color w:val="auto"/>
                <w:sz w:val="21"/>
                <w:szCs w:val="21"/>
                <w:highlight w:val="none"/>
                <w:shd w:val="clear" w:color="auto" w:fill="auto"/>
                <w:lang w:val="en-US" w:eastAsia="zh-CN"/>
              </w:rPr>
              <w:t>7</w:t>
            </w:r>
            <w:r>
              <w:rPr>
                <w:rFonts w:hint="eastAsia"/>
                <w:color w:val="auto"/>
                <w:sz w:val="21"/>
                <w:szCs w:val="21"/>
                <w:highlight w:val="none"/>
                <w:shd w:val="clear" w:color="auto" w:fil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Merge w:val="continue"/>
            <w:noWrap w:val="0"/>
            <w:tcMar>
              <w:left w:w="28" w:type="dxa"/>
              <w:right w:w="28" w:type="dxa"/>
            </w:tcMar>
            <w:vAlign w:val="top"/>
          </w:tcPr>
          <w:p>
            <w:pPr>
              <w:keepNext w:val="0"/>
              <w:keepLines w:val="0"/>
              <w:pageBreakBefore w:val="0"/>
              <w:kinsoku/>
              <w:wordWrap/>
              <w:topLinePunct w:val="0"/>
              <w:bidi w:val="0"/>
              <w:adjustRightInd/>
              <w:snapToGrid/>
              <w:spacing w:line="360" w:lineRule="exact"/>
              <w:ind w:left="0" w:leftChars="0" w:right="0" w:rightChars="0" w:firstLine="0" w:firstLineChars="0"/>
              <w:jc w:val="center"/>
              <w:textAlignment w:val="auto"/>
              <w:rPr>
                <w:color w:val="auto"/>
                <w:sz w:val="21"/>
                <w:szCs w:val="21"/>
                <w:highlight w:val="none"/>
                <w:shd w:val="clear" w:color="auto" w:fill="auto"/>
              </w:rPr>
            </w:pPr>
          </w:p>
        </w:tc>
        <w:tc>
          <w:tcPr>
            <w:tcW w:w="994" w:type="dxa"/>
            <w:gridSpan w:val="2"/>
            <w:vMerge w:val="continue"/>
            <w:noWrap w:val="0"/>
            <w:tcMar>
              <w:left w:w="28" w:type="dxa"/>
              <w:right w:w="28" w:type="dxa"/>
            </w:tcMar>
            <w:vAlign w:val="top"/>
          </w:tcPr>
          <w:p>
            <w:pPr>
              <w:keepNext w:val="0"/>
              <w:keepLines w:val="0"/>
              <w:pageBreakBefore w:val="0"/>
              <w:kinsoku/>
              <w:wordWrap/>
              <w:topLinePunct w:val="0"/>
              <w:bidi w:val="0"/>
              <w:adjustRightInd/>
              <w:snapToGrid/>
              <w:spacing w:line="360" w:lineRule="exact"/>
              <w:ind w:left="0" w:leftChars="0" w:right="0" w:rightChars="0" w:firstLine="0" w:firstLineChars="0"/>
              <w:jc w:val="center"/>
              <w:textAlignment w:val="auto"/>
              <w:rPr>
                <w:color w:val="auto"/>
                <w:sz w:val="21"/>
                <w:szCs w:val="21"/>
                <w:highlight w:val="none"/>
                <w:shd w:val="clear" w:color="auto" w:fill="auto"/>
              </w:rPr>
            </w:pPr>
          </w:p>
        </w:tc>
        <w:tc>
          <w:tcPr>
            <w:tcW w:w="925" w:type="dxa"/>
            <w:vMerge w:val="continue"/>
            <w:noWrap w:val="0"/>
            <w:tcMar>
              <w:left w:w="28" w:type="dxa"/>
              <w:right w:w="28" w:type="dxa"/>
            </w:tcMar>
            <w:vAlign w:val="top"/>
          </w:tcPr>
          <w:p>
            <w:pPr>
              <w:keepNext w:val="0"/>
              <w:keepLines w:val="0"/>
              <w:pageBreakBefore w:val="0"/>
              <w:kinsoku/>
              <w:wordWrap/>
              <w:topLinePunct w:val="0"/>
              <w:bidi w:val="0"/>
              <w:adjustRightInd/>
              <w:snapToGrid/>
              <w:spacing w:line="360" w:lineRule="exact"/>
              <w:ind w:left="0" w:leftChars="0" w:right="0" w:rightChars="0" w:firstLine="0" w:firstLineChars="0"/>
              <w:jc w:val="right"/>
              <w:textAlignment w:val="auto"/>
              <w:rPr>
                <w:color w:val="auto"/>
                <w:sz w:val="21"/>
                <w:szCs w:val="21"/>
                <w:highlight w:val="none"/>
                <w:u w:val="single"/>
                <w:shd w:val="clear" w:color="auto" w:fill="auto"/>
              </w:rPr>
            </w:pPr>
          </w:p>
        </w:tc>
        <w:tc>
          <w:tcPr>
            <w:tcW w:w="1394" w:type="dxa"/>
            <w:noWrap w:val="0"/>
            <w:tcMar>
              <w:left w:w="28" w:type="dxa"/>
              <w:right w:w="28" w:type="dxa"/>
            </w:tcMar>
            <w:vAlign w:val="center"/>
          </w:tcPr>
          <w:p>
            <w:pPr>
              <w:keepNext w:val="0"/>
              <w:keepLines w:val="0"/>
              <w:pageBreakBefore w:val="0"/>
              <w:kinsoku/>
              <w:wordWrap/>
              <w:topLinePunct w:val="0"/>
              <w:bidi w:val="0"/>
              <w:adjustRightInd/>
              <w:snapToGrid/>
              <w:spacing w:line="360" w:lineRule="exact"/>
              <w:ind w:left="0" w:leftChars="0" w:right="0" w:rightChars="0" w:firstLine="0" w:firstLineChars="0"/>
              <w:textAlignment w:val="auto"/>
              <w:rPr>
                <w:color w:val="auto"/>
                <w:sz w:val="21"/>
                <w:szCs w:val="21"/>
                <w:highlight w:val="none"/>
                <w:shd w:val="clear" w:color="auto" w:fill="auto"/>
              </w:rPr>
            </w:pPr>
            <w:r>
              <w:rPr>
                <w:color w:val="auto"/>
                <w:sz w:val="21"/>
                <w:szCs w:val="21"/>
                <w:highlight w:val="none"/>
                <w:shd w:val="clear" w:color="auto" w:fill="auto"/>
              </w:rPr>
              <w:t>工期保证体系及保证措施</w:t>
            </w:r>
          </w:p>
        </w:tc>
        <w:tc>
          <w:tcPr>
            <w:tcW w:w="610" w:type="dxa"/>
            <w:noWrap w:val="0"/>
            <w:tcMar>
              <w:left w:w="28" w:type="dxa"/>
              <w:right w:w="28" w:type="dxa"/>
            </w:tcMar>
            <w:vAlign w:val="center"/>
          </w:tcPr>
          <w:p>
            <w:pPr>
              <w:keepNext w:val="0"/>
              <w:keepLines w:val="0"/>
              <w:pageBreakBefore w:val="0"/>
              <w:kinsoku/>
              <w:wordWrap/>
              <w:topLinePunct w:val="0"/>
              <w:bidi w:val="0"/>
              <w:adjustRightInd/>
              <w:snapToGrid/>
              <w:spacing w:line="360" w:lineRule="exact"/>
              <w:ind w:left="0" w:leftChars="0" w:right="0" w:rightChars="0" w:firstLine="0" w:firstLineChars="0"/>
              <w:jc w:val="center"/>
              <w:textAlignment w:val="auto"/>
              <w:rPr>
                <w:rFonts w:hint="eastAsia"/>
                <w:color w:val="auto"/>
                <w:sz w:val="21"/>
                <w:szCs w:val="21"/>
                <w:highlight w:val="none"/>
                <w:u w:val="single"/>
                <w:shd w:val="clear" w:color="auto" w:fill="auto"/>
              </w:rPr>
            </w:pPr>
            <w:r>
              <w:rPr>
                <w:rFonts w:hint="eastAsia"/>
                <w:color w:val="auto"/>
                <w:sz w:val="21"/>
                <w:szCs w:val="21"/>
                <w:highlight w:val="none"/>
                <w:u w:val="none"/>
                <w:shd w:val="clear" w:color="auto" w:fill="auto"/>
              </w:rPr>
              <w:t>10分</w:t>
            </w:r>
          </w:p>
        </w:tc>
        <w:tc>
          <w:tcPr>
            <w:tcW w:w="4077" w:type="dxa"/>
            <w:noWrap w:val="0"/>
            <w:tcMar>
              <w:left w:w="28" w:type="dxa"/>
              <w:right w:w="28" w:type="dxa"/>
            </w:tcMar>
            <w:vAlign w:val="top"/>
          </w:tcPr>
          <w:p>
            <w:pPr>
              <w:keepNext w:val="0"/>
              <w:keepLines w:val="0"/>
              <w:pageBreakBefore w:val="0"/>
              <w:kinsoku/>
              <w:wordWrap/>
              <w:topLinePunct w:val="0"/>
              <w:bidi w:val="0"/>
              <w:adjustRightInd/>
              <w:snapToGrid/>
              <w:spacing w:line="360" w:lineRule="exact"/>
              <w:ind w:left="0" w:leftChars="0" w:right="0" w:rightChars="0" w:firstLine="0" w:firstLineChars="0"/>
              <w:textAlignment w:val="auto"/>
              <w:rPr>
                <w:color w:val="auto"/>
                <w:sz w:val="21"/>
                <w:szCs w:val="21"/>
                <w:highlight w:val="none"/>
                <w:shd w:val="clear" w:color="auto" w:fill="auto"/>
              </w:rPr>
            </w:pPr>
            <w:r>
              <w:rPr>
                <w:rFonts w:hint="eastAsia"/>
                <w:color w:val="auto"/>
                <w:sz w:val="21"/>
                <w:szCs w:val="21"/>
                <w:highlight w:val="none"/>
                <w:shd w:val="clear" w:color="auto" w:fill="auto"/>
              </w:rPr>
              <w:t>完善程度，合理性，可行性：</w:t>
            </w:r>
          </w:p>
          <w:p>
            <w:pPr>
              <w:keepNext w:val="0"/>
              <w:keepLines w:val="0"/>
              <w:pageBreakBefore w:val="0"/>
              <w:kinsoku/>
              <w:wordWrap/>
              <w:topLinePunct w:val="0"/>
              <w:bidi w:val="0"/>
              <w:adjustRightInd/>
              <w:snapToGrid/>
              <w:spacing w:line="360" w:lineRule="exact"/>
              <w:ind w:left="0" w:leftChars="0" w:right="0" w:rightChars="0" w:firstLine="0" w:firstLineChars="0"/>
              <w:textAlignment w:val="auto"/>
              <w:rPr>
                <w:rFonts w:hint="eastAsia"/>
                <w:color w:val="auto"/>
                <w:sz w:val="21"/>
                <w:szCs w:val="21"/>
                <w:highlight w:val="none"/>
                <w:shd w:val="clear" w:color="auto" w:fill="auto"/>
              </w:rPr>
            </w:pPr>
            <w:r>
              <w:rPr>
                <w:rFonts w:hint="eastAsia"/>
                <w:color w:val="auto"/>
                <w:sz w:val="21"/>
                <w:szCs w:val="21"/>
                <w:highlight w:val="none"/>
                <w:shd w:val="clear" w:color="auto" w:fill="auto"/>
              </w:rPr>
              <w:t>好，得</w:t>
            </w:r>
            <w:r>
              <w:rPr>
                <w:rFonts w:hint="eastAsia"/>
                <w:color w:val="auto"/>
                <w:sz w:val="21"/>
                <w:szCs w:val="21"/>
                <w:highlight w:val="none"/>
                <w:shd w:val="clear" w:color="auto" w:fill="auto"/>
                <w:lang w:val="en-US" w:eastAsia="zh-CN"/>
              </w:rPr>
              <w:t>8</w:t>
            </w:r>
            <w:r>
              <w:rPr>
                <w:rFonts w:hint="eastAsia"/>
                <w:color w:val="auto"/>
                <w:sz w:val="21"/>
                <w:szCs w:val="21"/>
                <w:highlight w:val="none"/>
                <w:shd w:val="clear" w:color="auto" w:fill="auto"/>
              </w:rPr>
              <w:t>～</w:t>
            </w:r>
            <w:r>
              <w:rPr>
                <w:rFonts w:hint="eastAsia"/>
                <w:color w:val="auto"/>
                <w:sz w:val="21"/>
                <w:szCs w:val="21"/>
                <w:highlight w:val="none"/>
                <w:shd w:val="clear" w:color="auto" w:fill="auto"/>
                <w:lang w:val="en-US" w:eastAsia="zh-CN"/>
              </w:rPr>
              <w:t>10</w:t>
            </w:r>
            <w:r>
              <w:rPr>
                <w:rFonts w:hint="eastAsia"/>
                <w:color w:val="auto"/>
                <w:sz w:val="21"/>
                <w:szCs w:val="21"/>
                <w:highlight w:val="none"/>
                <w:shd w:val="clear" w:color="auto" w:fill="auto"/>
              </w:rPr>
              <w:t>分；</w:t>
            </w:r>
          </w:p>
          <w:p>
            <w:pPr>
              <w:keepNext w:val="0"/>
              <w:keepLines w:val="0"/>
              <w:pageBreakBefore w:val="0"/>
              <w:kinsoku/>
              <w:wordWrap/>
              <w:topLinePunct w:val="0"/>
              <w:bidi w:val="0"/>
              <w:adjustRightInd/>
              <w:snapToGrid/>
              <w:spacing w:line="360" w:lineRule="exact"/>
              <w:ind w:left="0" w:leftChars="0" w:right="0" w:rightChars="0" w:firstLine="0" w:firstLineChars="0"/>
              <w:textAlignment w:val="auto"/>
              <w:rPr>
                <w:rFonts w:hint="eastAsia"/>
                <w:color w:val="auto"/>
                <w:sz w:val="21"/>
                <w:szCs w:val="21"/>
                <w:highlight w:val="none"/>
                <w:shd w:val="clear" w:color="auto" w:fill="auto"/>
              </w:rPr>
            </w:pPr>
            <w:r>
              <w:rPr>
                <w:rFonts w:hint="eastAsia"/>
                <w:color w:val="auto"/>
                <w:sz w:val="21"/>
                <w:szCs w:val="21"/>
                <w:highlight w:val="none"/>
                <w:shd w:val="clear" w:color="auto" w:fill="auto"/>
              </w:rPr>
              <w:t>较好，得</w:t>
            </w:r>
            <w:r>
              <w:rPr>
                <w:rFonts w:hint="eastAsia"/>
                <w:color w:val="auto"/>
                <w:sz w:val="21"/>
                <w:szCs w:val="21"/>
                <w:highlight w:val="none"/>
                <w:shd w:val="clear" w:color="auto" w:fill="auto"/>
                <w:lang w:val="en-US" w:eastAsia="zh-CN"/>
              </w:rPr>
              <w:t>7</w:t>
            </w:r>
            <w:r>
              <w:rPr>
                <w:rFonts w:hint="eastAsia"/>
                <w:color w:val="auto"/>
                <w:sz w:val="21"/>
                <w:szCs w:val="21"/>
                <w:highlight w:val="none"/>
                <w:shd w:val="clear" w:color="auto" w:fill="auto"/>
              </w:rPr>
              <w:t>～</w:t>
            </w:r>
            <w:r>
              <w:rPr>
                <w:rFonts w:hint="eastAsia"/>
                <w:color w:val="auto"/>
                <w:sz w:val="21"/>
                <w:szCs w:val="21"/>
                <w:highlight w:val="none"/>
                <w:shd w:val="clear" w:color="auto" w:fill="auto"/>
                <w:lang w:val="en-US" w:eastAsia="zh-CN"/>
              </w:rPr>
              <w:t>8</w:t>
            </w:r>
            <w:r>
              <w:rPr>
                <w:rFonts w:hint="eastAsia"/>
                <w:color w:val="auto"/>
                <w:sz w:val="21"/>
                <w:szCs w:val="21"/>
                <w:highlight w:val="none"/>
                <w:shd w:val="clear" w:color="auto" w:fill="auto"/>
              </w:rPr>
              <w:t>分；</w:t>
            </w:r>
          </w:p>
          <w:p>
            <w:pPr>
              <w:keepNext w:val="0"/>
              <w:keepLines w:val="0"/>
              <w:pageBreakBefore w:val="0"/>
              <w:kinsoku/>
              <w:wordWrap/>
              <w:topLinePunct w:val="0"/>
              <w:bidi w:val="0"/>
              <w:adjustRightInd/>
              <w:snapToGrid/>
              <w:spacing w:line="360" w:lineRule="exact"/>
              <w:ind w:left="0" w:leftChars="0" w:right="0" w:rightChars="0" w:firstLine="0" w:firstLineChars="0"/>
              <w:textAlignment w:val="auto"/>
              <w:rPr>
                <w:color w:val="auto"/>
                <w:sz w:val="21"/>
                <w:szCs w:val="21"/>
                <w:highlight w:val="none"/>
                <w:shd w:val="clear" w:color="auto" w:fill="auto"/>
              </w:rPr>
            </w:pPr>
            <w:r>
              <w:rPr>
                <w:rFonts w:hint="eastAsia"/>
                <w:color w:val="auto"/>
                <w:sz w:val="21"/>
                <w:szCs w:val="21"/>
                <w:highlight w:val="none"/>
                <w:shd w:val="clear" w:color="auto" w:fill="auto"/>
              </w:rPr>
              <w:t>一般，得</w:t>
            </w:r>
            <w:r>
              <w:rPr>
                <w:rFonts w:hint="eastAsia"/>
                <w:color w:val="auto"/>
                <w:sz w:val="21"/>
                <w:szCs w:val="21"/>
                <w:highlight w:val="none"/>
                <w:shd w:val="clear" w:color="auto" w:fill="auto"/>
                <w:lang w:val="en-US" w:eastAsia="zh-CN"/>
              </w:rPr>
              <w:t>6</w:t>
            </w:r>
            <w:r>
              <w:rPr>
                <w:rFonts w:hint="eastAsia"/>
                <w:color w:val="auto"/>
                <w:sz w:val="21"/>
                <w:szCs w:val="21"/>
                <w:highlight w:val="none"/>
                <w:shd w:val="clear" w:color="auto" w:fill="auto"/>
              </w:rPr>
              <w:t>～</w:t>
            </w:r>
            <w:r>
              <w:rPr>
                <w:rFonts w:hint="eastAsia"/>
                <w:color w:val="auto"/>
                <w:sz w:val="21"/>
                <w:szCs w:val="21"/>
                <w:highlight w:val="none"/>
                <w:shd w:val="clear" w:color="auto" w:fill="auto"/>
                <w:lang w:val="en-US" w:eastAsia="zh-CN"/>
              </w:rPr>
              <w:t>7</w:t>
            </w:r>
            <w:r>
              <w:rPr>
                <w:rFonts w:hint="eastAsia"/>
                <w:color w:val="auto"/>
                <w:sz w:val="21"/>
                <w:szCs w:val="21"/>
                <w:highlight w:val="none"/>
                <w:shd w:val="clear" w:color="auto" w:fil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Merge w:val="continue"/>
            <w:noWrap w:val="0"/>
            <w:tcMar>
              <w:left w:w="28" w:type="dxa"/>
              <w:right w:w="28" w:type="dxa"/>
            </w:tcMar>
            <w:vAlign w:val="top"/>
          </w:tcPr>
          <w:p>
            <w:pPr>
              <w:keepNext w:val="0"/>
              <w:keepLines w:val="0"/>
              <w:pageBreakBefore w:val="0"/>
              <w:kinsoku/>
              <w:wordWrap/>
              <w:topLinePunct w:val="0"/>
              <w:bidi w:val="0"/>
              <w:adjustRightInd/>
              <w:snapToGrid/>
              <w:spacing w:line="360" w:lineRule="exact"/>
              <w:ind w:left="0" w:leftChars="0" w:right="0" w:rightChars="0" w:firstLine="0" w:firstLineChars="0"/>
              <w:jc w:val="center"/>
              <w:textAlignment w:val="auto"/>
              <w:rPr>
                <w:color w:val="auto"/>
                <w:sz w:val="21"/>
                <w:szCs w:val="21"/>
                <w:highlight w:val="none"/>
                <w:shd w:val="clear" w:color="auto" w:fill="auto"/>
              </w:rPr>
            </w:pPr>
          </w:p>
        </w:tc>
        <w:tc>
          <w:tcPr>
            <w:tcW w:w="994" w:type="dxa"/>
            <w:gridSpan w:val="2"/>
            <w:vMerge w:val="continue"/>
            <w:noWrap w:val="0"/>
            <w:tcMar>
              <w:left w:w="28" w:type="dxa"/>
              <w:right w:w="28" w:type="dxa"/>
            </w:tcMar>
            <w:vAlign w:val="top"/>
          </w:tcPr>
          <w:p>
            <w:pPr>
              <w:keepNext w:val="0"/>
              <w:keepLines w:val="0"/>
              <w:pageBreakBefore w:val="0"/>
              <w:kinsoku/>
              <w:wordWrap/>
              <w:topLinePunct w:val="0"/>
              <w:bidi w:val="0"/>
              <w:adjustRightInd/>
              <w:snapToGrid/>
              <w:spacing w:line="360" w:lineRule="exact"/>
              <w:ind w:left="0" w:leftChars="0" w:right="0" w:rightChars="0" w:firstLine="0" w:firstLineChars="0"/>
              <w:jc w:val="center"/>
              <w:textAlignment w:val="auto"/>
              <w:rPr>
                <w:color w:val="auto"/>
                <w:sz w:val="21"/>
                <w:szCs w:val="21"/>
                <w:highlight w:val="none"/>
                <w:shd w:val="clear" w:color="auto" w:fill="auto"/>
              </w:rPr>
            </w:pPr>
          </w:p>
        </w:tc>
        <w:tc>
          <w:tcPr>
            <w:tcW w:w="925" w:type="dxa"/>
            <w:vMerge w:val="continue"/>
            <w:noWrap w:val="0"/>
            <w:tcMar>
              <w:left w:w="28" w:type="dxa"/>
              <w:right w:w="28" w:type="dxa"/>
            </w:tcMar>
            <w:vAlign w:val="top"/>
          </w:tcPr>
          <w:p>
            <w:pPr>
              <w:keepNext w:val="0"/>
              <w:keepLines w:val="0"/>
              <w:pageBreakBefore w:val="0"/>
              <w:kinsoku/>
              <w:wordWrap/>
              <w:topLinePunct w:val="0"/>
              <w:bidi w:val="0"/>
              <w:adjustRightInd/>
              <w:snapToGrid/>
              <w:spacing w:line="360" w:lineRule="exact"/>
              <w:ind w:left="0" w:leftChars="0" w:right="0" w:rightChars="0" w:firstLine="0" w:firstLineChars="0"/>
              <w:jc w:val="right"/>
              <w:textAlignment w:val="auto"/>
              <w:rPr>
                <w:rFonts w:eastAsia="隶书"/>
                <w:b/>
                <w:color w:val="auto"/>
                <w:sz w:val="21"/>
                <w:szCs w:val="21"/>
                <w:highlight w:val="none"/>
                <w:shd w:val="clear" w:color="auto" w:fill="auto"/>
              </w:rPr>
            </w:pPr>
          </w:p>
        </w:tc>
        <w:tc>
          <w:tcPr>
            <w:tcW w:w="1394" w:type="dxa"/>
            <w:noWrap w:val="0"/>
            <w:tcMar>
              <w:left w:w="28" w:type="dxa"/>
              <w:right w:w="28" w:type="dxa"/>
            </w:tcMar>
            <w:vAlign w:val="center"/>
          </w:tcPr>
          <w:p>
            <w:pPr>
              <w:keepNext w:val="0"/>
              <w:keepLines w:val="0"/>
              <w:pageBreakBefore w:val="0"/>
              <w:kinsoku/>
              <w:wordWrap/>
              <w:topLinePunct w:val="0"/>
              <w:bidi w:val="0"/>
              <w:adjustRightInd/>
              <w:snapToGrid/>
              <w:spacing w:line="360" w:lineRule="exact"/>
              <w:ind w:left="0" w:leftChars="0" w:right="0" w:rightChars="0" w:firstLine="0" w:firstLineChars="0"/>
              <w:textAlignment w:val="auto"/>
              <w:rPr>
                <w:color w:val="auto"/>
                <w:sz w:val="21"/>
                <w:szCs w:val="21"/>
                <w:highlight w:val="none"/>
                <w:shd w:val="clear" w:color="auto" w:fill="auto"/>
              </w:rPr>
            </w:pPr>
            <w:r>
              <w:rPr>
                <w:color w:val="auto"/>
                <w:sz w:val="21"/>
                <w:szCs w:val="21"/>
                <w:highlight w:val="none"/>
                <w:shd w:val="clear" w:color="auto" w:fill="auto"/>
              </w:rPr>
              <w:t>工程质量管理体系及保证措施</w:t>
            </w:r>
          </w:p>
        </w:tc>
        <w:tc>
          <w:tcPr>
            <w:tcW w:w="610" w:type="dxa"/>
            <w:noWrap w:val="0"/>
            <w:tcMar>
              <w:left w:w="28" w:type="dxa"/>
              <w:right w:w="28" w:type="dxa"/>
            </w:tcMar>
            <w:vAlign w:val="center"/>
          </w:tcPr>
          <w:p>
            <w:pPr>
              <w:keepNext w:val="0"/>
              <w:keepLines w:val="0"/>
              <w:pageBreakBefore w:val="0"/>
              <w:kinsoku/>
              <w:wordWrap/>
              <w:topLinePunct w:val="0"/>
              <w:bidi w:val="0"/>
              <w:adjustRightInd/>
              <w:snapToGrid/>
              <w:spacing w:line="360" w:lineRule="exact"/>
              <w:ind w:left="0" w:leftChars="0" w:right="0" w:rightChars="0" w:firstLine="0" w:firstLineChars="0"/>
              <w:jc w:val="center"/>
              <w:textAlignment w:val="auto"/>
              <w:rPr>
                <w:color w:val="auto"/>
                <w:sz w:val="21"/>
                <w:szCs w:val="21"/>
                <w:highlight w:val="none"/>
                <w:shd w:val="clear" w:color="auto" w:fill="auto"/>
              </w:rPr>
            </w:pPr>
            <w:r>
              <w:rPr>
                <w:rFonts w:hint="eastAsia"/>
                <w:color w:val="auto"/>
                <w:sz w:val="21"/>
                <w:szCs w:val="21"/>
                <w:highlight w:val="none"/>
                <w:shd w:val="clear" w:color="auto" w:fill="auto"/>
              </w:rPr>
              <w:t>1</w:t>
            </w:r>
            <w:r>
              <w:rPr>
                <w:rFonts w:hint="eastAsia"/>
                <w:color w:val="auto"/>
                <w:sz w:val="21"/>
                <w:szCs w:val="21"/>
                <w:highlight w:val="none"/>
                <w:shd w:val="clear" w:color="auto" w:fill="auto"/>
                <w:lang w:val="en-US" w:eastAsia="zh-CN"/>
              </w:rPr>
              <w:t>0</w:t>
            </w:r>
            <w:r>
              <w:rPr>
                <w:rFonts w:hint="eastAsia"/>
                <w:color w:val="auto"/>
                <w:sz w:val="21"/>
                <w:szCs w:val="21"/>
                <w:highlight w:val="none"/>
                <w:shd w:val="clear" w:color="auto" w:fill="auto"/>
              </w:rPr>
              <w:t>分</w:t>
            </w:r>
          </w:p>
        </w:tc>
        <w:tc>
          <w:tcPr>
            <w:tcW w:w="4077" w:type="dxa"/>
            <w:noWrap w:val="0"/>
            <w:tcMar>
              <w:left w:w="28" w:type="dxa"/>
              <w:right w:w="28" w:type="dxa"/>
            </w:tcMar>
            <w:vAlign w:val="center"/>
          </w:tcPr>
          <w:p>
            <w:pPr>
              <w:keepNext w:val="0"/>
              <w:keepLines w:val="0"/>
              <w:pageBreakBefore w:val="0"/>
              <w:kinsoku/>
              <w:wordWrap/>
              <w:topLinePunct w:val="0"/>
              <w:bidi w:val="0"/>
              <w:adjustRightInd/>
              <w:snapToGrid/>
              <w:spacing w:line="360" w:lineRule="exact"/>
              <w:ind w:left="0" w:leftChars="0" w:right="0" w:rightChars="0" w:firstLine="0" w:firstLineChars="0"/>
              <w:textAlignment w:val="auto"/>
              <w:rPr>
                <w:rFonts w:hint="eastAsia"/>
                <w:color w:val="auto"/>
                <w:sz w:val="21"/>
                <w:szCs w:val="21"/>
                <w:highlight w:val="none"/>
                <w:shd w:val="clear" w:color="auto" w:fill="auto"/>
              </w:rPr>
            </w:pPr>
            <w:r>
              <w:rPr>
                <w:rFonts w:hint="eastAsia"/>
                <w:color w:val="auto"/>
                <w:sz w:val="21"/>
                <w:szCs w:val="21"/>
                <w:highlight w:val="none"/>
                <w:shd w:val="clear" w:color="auto" w:fill="auto"/>
              </w:rPr>
              <w:t>可行性，可操作性，先进性：</w:t>
            </w:r>
          </w:p>
          <w:p>
            <w:pPr>
              <w:keepNext w:val="0"/>
              <w:keepLines w:val="0"/>
              <w:pageBreakBefore w:val="0"/>
              <w:kinsoku/>
              <w:wordWrap/>
              <w:topLinePunct w:val="0"/>
              <w:bidi w:val="0"/>
              <w:adjustRightInd/>
              <w:snapToGrid/>
              <w:spacing w:line="360" w:lineRule="exact"/>
              <w:ind w:left="0" w:leftChars="0" w:right="0" w:rightChars="0" w:firstLine="0" w:firstLineChars="0"/>
              <w:textAlignment w:val="auto"/>
              <w:rPr>
                <w:rFonts w:hint="eastAsia"/>
                <w:color w:val="auto"/>
                <w:sz w:val="21"/>
                <w:szCs w:val="21"/>
                <w:highlight w:val="none"/>
                <w:shd w:val="clear" w:color="auto" w:fill="auto"/>
              </w:rPr>
            </w:pPr>
            <w:r>
              <w:rPr>
                <w:rFonts w:hint="eastAsia"/>
                <w:color w:val="auto"/>
                <w:sz w:val="21"/>
                <w:szCs w:val="21"/>
                <w:highlight w:val="none"/>
                <w:shd w:val="clear" w:color="auto" w:fill="auto"/>
              </w:rPr>
              <w:t>好，得</w:t>
            </w:r>
            <w:r>
              <w:rPr>
                <w:rFonts w:hint="eastAsia"/>
                <w:color w:val="auto"/>
                <w:sz w:val="21"/>
                <w:szCs w:val="21"/>
                <w:highlight w:val="none"/>
                <w:shd w:val="clear" w:color="auto" w:fill="auto"/>
                <w:lang w:val="en-US" w:eastAsia="zh-CN"/>
              </w:rPr>
              <w:t>8</w:t>
            </w:r>
            <w:r>
              <w:rPr>
                <w:rFonts w:hint="eastAsia"/>
                <w:color w:val="auto"/>
                <w:sz w:val="21"/>
                <w:szCs w:val="21"/>
                <w:highlight w:val="none"/>
                <w:shd w:val="clear" w:color="auto" w:fill="auto"/>
              </w:rPr>
              <w:t>～</w:t>
            </w:r>
            <w:r>
              <w:rPr>
                <w:rFonts w:hint="eastAsia"/>
                <w:color w:val="auto"/>
                <w:sz w:val="21"/>
                <w:szCs w:val="21"/>
                <w:highlight w:val="none"/>
                <w:shd w:val="clear" w:color="auto" w:fill="auto"/>
                <w:lang w:val="en-US" w:eastAsia="zh-CN"/>
              </w:rPr>
              <w:t>10</w:t>
            </w:r>
            <w:r>
              <w:rPr>
                <w:rFonts w:hint="eastAsia"/>
                <w:color w:val="auto"/>
                <w:sz w:val="21"/>
                <w:szCs w:val="21"/>
                <w:highlight w:val="none"/>
                <w:shd w:val="clear" w:color="auto" w:fill="auto"/>
              </w:rPr>
              <w:t>分；</w:t>
            </w:r>
          </w:p>
          <w:p>
            <w:pPr>
              <w:keepNext w:val="0"/>
              <w:keepLines w:val="0"/>
              <w:pageBreakBefore w:val="0"/>
              <w:kinsoku/>
              <w:wordWrap/>
              <w:topLinePunct w:val="0"/>
              <w:bidi w:val="0"/>
              <w:adjustRightInd/>
              <w:snapToGrid/>
              <w:spacing w:line="360" w:lineRule="exact"/>
              <w:ind w:left="0" w:leftChars="0" w:right="0" w:rightChars="0" w:firstLine="0" w:firstLineChars="0"/>
              <w:textAlignment w:val="auto"/>
              <w:rPr>
                <w:rFonts w:hint="eastAsia"/>
                <w:color w:val="auto"/>
                <w:sz w:val="21"/>
                <w:szCs w:val="21"/>
                <w:highlight w:val="none"/>
                <w:shd w:val="clear" w:color="auto" w:fill="auto"/>
              </w:rPr>
            </w:pPr>
            <w:r>
              <w:rPr>
                <w:rFonts w:hint="eastAsia"/>
                <w:color w:val="auto"/>
                <w:sz w:val="21"/>
                <w:szCs w:val="21"/>
                <w:highlight w:val="none"/>
                <w:shd w:val="clear" w:color="auto" w:fill="auto"/>
              </w:rPr>
              <w:t>较好，得</w:t>
            </w:r>
            <w:r>
              <w:rPr>
                <w:rFonts w:hint="eastAsia"/>
                <w:color w:val="auto"/>
                <w:sz w:val="21"/>
                <w:szCs w:val="21"/>
                <w:highlight w:val="none"/>
                <w:shd w:val="clear" w:color="auto" w:fill="auto"/>
                <w:lang w:val="en-US" w:eastAsia="zh-CN"/>
              </w:rPr>
              <w:t>7</w:t>
            </w:r>
            <w:r>
              <w:rPr>
                <w:rFonts w:hint="eastAsia"/>
                <w:color w:val="auto"/>
                <w:sz w:val="21"/>
                <w:szCs w:val="21"/>
                <w:highlight w:val="none"/>
                <w:shd w:val="clear" w:color="auto" w:fill="auto"/>
              </w:rPr>
              <w:t>～</w:t>
            </w:r>
            <w:r>
              <w:rPr>
                <w:rFonts w:hint="eastAsia"/>
                <w:color w:val="auto"/>
                <w:sz w:val="21"/>
                <w:szCs w:val="21"/>
                <w:highlight w:val="none"/>
                <w:shd w:val="clear" w:color="auto" w:fill="auto"/>
                <w:lang w:val="en-US" w:eastAsia="zh-CN"/>
              </w:rPr>
              <w:t>8</w:t>
            </w:r>
            <w:r>
              <w:rPr>
                <w:rFonts w:hint="eastAsia"/>
                <w:color w:val="auto"/>
                <w:sz w:val="21"/>
                <w:szCs w:val="21"/>
                <w:highlight w:val="none"/>
                <w:shd w:val="clear" w:color="auto" w:fill="auto"/>
              </w:rPr>
              <w:t>分；</w:t>
            </w:r>
          </w:p>
          <w:p>
            <w:pPr>
              <w:keepNext w:val="0"/>
              <w:keepLines w:val="0"/>
              <w:pageBreakBefore w:val="0"/>
              <w:kinsoku/>
              <w:wordWrap/>
              <w:topLinePunct w:val="0"/>
              <w:bidi w:val="0"/>
              <w:adjustRightInd/>
              <w:snapToGrid/>
              <w:spacing w:line="360" w:lineRule="exact"/>
              <w:ind w:left="0" w:leftChars="0" w:right="0" w:rightChars="0" w:firstLine="0" w:firstLineChars="0"/>
              <w:textAlignment w:val="auto"/>
              <w:rPr>
                <w:rFonts w:hint="eastAsia"/>
                <w:color w:val="auto"/>
                <w:sz w:val="21"/>
                <w:szCs w:val="21"/>
                <w:highlight w:val="none"/>
                <w:shd w:val="clear" w:color="auto" w:fill="auto"/>
              </w:rPr>
            </w:pPr>
            <w:r>
              <w:rPr>
                <w:rFonts w:hint="eastAsia"/>
                <w:color w:val="auto"/>
                <w:sz w:val="21"/>
                <w:szCs w:val="21"/>
                <w:highlight w:val="none"/>
                <w:shd w:val="clear" w:color="auto" w:fill="auto"/>
              </w:rPr>
              <w:t>一般，得</w:t>
            </w:r>
            <w:r>
              <w:rPr>
                <w:rFonts w:hint="eastAsia"/>
                <w:color w:val="auto"/>
                <w:sz w:val="21"/>
                <w:szCs w:val="21"/>
                <w:highlight w:val="none"/>
                <w:shd w:val="clear" w:color="auto" w:fill="auto"/>
                <w:lang w:val="en-US" w:eastAsia="zh-CN"/>
              </w:rPr>
              <w:t>6</w:t>
            </w:r>
            <w:r>
              <w:rPr>
                <w:rFonts w:hint="eastAsia"/>
                <w:color w:val="auto"/>
                <w:sz w:val="21"/>
                <w:szCs w:val="21"/>
                <w:highlight w:val="none"/>
                <w:shd w:val="clear" w:color="auto" w:fill="auto"/>
              </w:rPr>
              <w:t>～</w:t>
            </w:r>
            <w:r>
              <w:rPr>
                <w:rFonts w:hint="eastAsia"/>
                <w:color w:val="auto"/>
                <w:sz w:val="21"/>
                <w:szCs w:val="21"/>
                <w:highlight w:val="none"/>
                <w:shd w:val="clear" w:color="auto" w:fill="auto"/>
                <w:lang w:val="en-US" w:eastAsia="zh-CN"/>
              </w:rPr>
              <w:t>7</w:t>
            </w:r>
            <w:r>
              <w:rPr>
                <w:rFonts w:hint="eastAsia"/>
                <w:color w:val="auto"/>
                <w:sz w:val="21"/>
                <w:szCs w:val="21"/>
                <w:highlight w:val="none"/>
                <w:shd w:val="clear" w:color="auto" w:fil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Merge w:val="continue"/>
            <w:noWrap w:val="0"/>
            <w:tcMar>
              <w:left w:w="28" w:type="dxa"/>
              <w:right w:w="28" w:type="dxa"/>
            </w:tcMar>
            <w:vAlign w:val="top"/>
          </w:tcPr>
          <w:p>
            <w:pPr>
              <w:keepNext w:val="0"/>
              <w:keepLines w:val="0"/>
              <w:pageBreakBefore w:val="0"/>
              <w:kinsoku/>
              <w:wordWrap/>
              <w:topLinePunct w:val="0"/>
              <w:bidi w:val="0"/>
              <w:adjustRightInd/>
              <w:snapToGrid/>
              <w:spacing w:line="360" w:lineRule="exact"/>
              <w:ind w:left="0" w:leftChars="0" w:right="0" w:rightChars="0" w:firstLine="0" w:firstLineChars="0"/>
              <w:jc w:val="center"/>
              <w:textAlignment w:val="auto"/>
              <w:rPr>
                <w:color w:val="auto"/>
                <w:sz w:val="21"/>
                <w:szCs w:val="21"/>
                <w:highlight w:val="none"/>
                <w:shd w:val="clear" w:color="auto" w:fill="auto"/>
              </w:rPr>
            </w:pPr>
          </w:p>
        </w:tc>
        <w:tc>
          <w:tcPr>
            <w:tcW w:w="994" w:type="dxa"/>
            <w:gridSpan w:val="2"/>
            <w:vMerge w:val="continue"/>
            <w:noWrap w:val="0"/>
            <w:tcMar>
              <w:left w:w="28" w:type="dxa"/>
              <w:right w:w="28" w:type="dxa"/>
            </w:tcMar>
            <w:vAlign w:val="top"/>
          </w:tcPr>
          <w:p>
            <w:pPr>
              <w:keepNext w:val="0"/>
              <w:keepLines w:val="0"/>
              <w:pageBreakBefore w:val="0"/>
              <w:kinsoku/>
              <w:wordWrap/>
              <w:topLinePunct w:val="0"/>
              <w:bidi w:val="0"/>
              <w:adjustRightInd/>
              <w:snapToGrid/>
              <w:spacing w:line="360" w:lineRule="exact"/>
              <w:ind w:left="0" w:leftChars="0" w:right="0" w:rightChars="0" w:firstLine="0" w:firstLineChars="0"/>
              <w:jc w:val="center"/>
              <w:textAlignment w:val="auto"/>
              <w:rPr>
                <w:color w:val="auto"/>
                <w:sz w:val="21"/>
                <w:szCs w:val="21"/>
                <w:highlight w:val="none"/>
                <w:shd w:val="clear" w:color="auto" w:fill="auto"/>
              </w:rPr>
            </w:pPr>
          </w:p>
        </w:tc>
        <w:tc>
          <w:tcPr>
            <w:tcW w:w="925" w:type="dxa"/>
            <w:vMerge w:val="continue"/>
            <w:noWrap w:val="0"/>
            <w:tcMar>
              <w:left w:w="28" w:type="dxa"/>
              <w:right w:w="28" w:type="dxa"/>
            </w:tcMar>
            <w:vAlign w:val="top"/>
          </w:tcPr>
          <w:p>
            <w:pPr>
              <w:keepNext w:val="0"/>
              <w:keepLines w:val="0"/>
              <w:pageBreakBefore w:val="0"/>
              <w:kinsoku/>
              <w:wordWrap/>
              <w:topLinePunct w:val="0"/>
              <w:bidi w:val="0"/>
              <w:adjustRightInd/>
              <w:snapToGrid/>
              <w:spacing w:line="360" w:lineRule="exact"/>
              <w:ind w:left="0" w:leftChars="0" w:right="0" w:rightChars="0" w:firstLine="0" w:firstLineChars="0"/>
              <w:jc w:val="right"/>
              <w:textAlignment w:val="auto"/>
              <w:rPr>
                <w:rFonts w:eastAsia="隶书"/>
                <w:b/>
                <w:color w:val="auto"/>
                <w:sz w:val="21"/>
                <w:szCs w:val="21"/>
                <w:highlight w:val="none"/>
                <w:shd w:val="clear" w:color="auto" w:fill="auto"/>
              </w:rPr>
            </w:pPr>
          </w:p>
        </w:tc>
        <w:tc>
          <w:tcPr>
            <w:tcW w:w="1394" w:type="dxa"/>
            <w:noWrap w:val="0"/>
            <w:tcMar>
              <w:left w:w="28" w:type="dxa"/>
              <w:right w:w="28" w:type="dxa"/>
            </w:tcMar>
            <w:vAlign w:val="center"/>
          </w:tcPr>
          <w:p>
            <w:pPr>
              <w:keepNext w:val="0"/>
              <w:keepLines w:val="0"/>
              <w:pageBreakBefore w:val="0"/>
              <w:kinsoku/>
              <w:wordWrap/>
              <w:topLinePunct w:val="0"/>
              <w:bidi w:val="0"/>
              <w:adjustRightInd/>
              <w:snapToGrid/>
              <w:spacing w:line="360" w:lineRule="exact"/>
              <w:ind w:left="0" w:leftChars="0" w:right="0" w:rightChars="0" w:firstLine="0" w:firstLineChars="0"/>
              <w:textAlignment w:val="auto"/>
              <w:rPr>
                <w:rFonts w:hint="eastAsia" w:ascii="Times New Roman" w:hAnsi="Times New Roman" w:eastAsia="宋体" w:cs="Times New Roman"/>
                <w:color w:val="auto"/>
                <w:sz w:val="21"/>
                <w:szCs w:val="21"/>
                <w:highlight w:val="none"/>
                <w:shd w:val="clear" w:color="auto" w:fill="auto"/>
              </w:rPr>
            </w:pPr>
            <w:r>
              <w:rPr>
                <w:rFonts w:hint="eastAsia" w:ascii="Times New Roman" w:hAnsi="Times New Roman" w:eastAsia="宋体" w:cs="Times New Roman"/>
                <w:color w:val="auto"/>
                <w:sz w:val="21"/>
                <w:szCs w:val="21"/>
                <w:highlight w:val="none"/>
                <w:shd w:val="clear" w:color="auto" w:fill="auto"/>
              </w:rPr>
              <w:t>安全生产管理、文明施工保证体系及保证措施</w:t>
            </w:r>
          </w:p>
        </w:tc>
        <w:tc>
          <w:tcPr>
            <w:tcW w:w="610" w:type="dxa"/>
            <w:noWrap w:val="0"/>
            <w:tcMar>
              <w:left w:w="28" w:type="dxa"/>
              <w:right w:w="28" w:type="dxa"/>
            </w:tcMar>
            <w:vAlign w:val="center"/>
          </w:tcPr>
          <w:p>
            <w:pPr>
              <w:keepNext w:val="0"/>
              <w:keepLines w:val="0"/>
              <w:pageBreakBefore w:val="0"/>
              <w:kinsoku/>
              <w:wordWrap/>
              <w:topLinePunct w:val="0"/>
              <w:bidi w:val="0"/>
              <w:adjustRightInd/>
              <w:snapToGrid/>
              <w:spacing w:line="360" w:lineRule="exact"/>
              <w:ind w:left="0" w:leftChars="0" w:right="0" w:rightChars="0" w:firstLine="0" w:firstLineChars="0"/>
              <w:jc w:val="center"/>
              <w:textAlignment w:val="auto"/>
              <w:rPr>
                <w:rFonts w:hint="eastAsia" w:ascii="Times New Roman" w:hAnsi="Times New Roman" w:eastAsia="宋体" w:cs="Times New Roman"/>
                <w:color w:val="auto"/>
                <w:sz w:val="21"/>
                <w:szCs w:val="21"/>
                <w:highlight w:val="none"/>
                <w:u w:val="none"/>
                <w:shd w:val="clear" w:color="auto" w:fill="auto"/>
              </w:rPr>
            </w:pPr>
            <w:r>
              <w:rPr>
                <w:rFonts w:hint="eastAsia" w:ascii="Times New Roman" w:hAnsi="Times New Roman" w:eastAsia="宋体" w:cs="Times New Roman"/>
                <w:color w:val="auto"/>
                <w:sz w:val="21"/>
                <w:szCs w:val="21"/>
                <w:highlight w:val="none"/>
                <w:u w:val="none"/>
                <w:shd w:val="clear" w:color="auto" w:fill="auto"/>
                <w:lang w:val="en-US" w:eastAsia="zh-CN"/>
              </w:rPr>
              <w:t>10</w:t>
            </w:r>
            <w:r>
              <w:rPr>
                <w:rFonts w:hint="eastAsia" w:ascii="Times New Roman" w:hAnsi="Times New Roman" w:eastAsia="宋体" w:cs="Times New Roman"/>
                <w:color w:val="auto"/>
                <w:sz w:val="21"/>
                <w:szCs w:val="21"/>
                <w:highlight w:val="none"/>
                <w:u w:val="none"/>
                <w:shd w:val="clear" w:color="auto" w:fill="auto"/>
              </w:rPr>
              <w:t>分</w:t>
            </w:r>
          </w:p>
        </w:tc>
        <w:tc>
          <w:tcPr>
            <w:tcW w:w="4077" w:type="dxa"/>
            <w:noWrap w:val="0"/>
            <w:tcMar>
              <w:left w:w="28" w:type="dxa"/>
              <w:right w:w="28" w:type="dxa"/>
            </w:tcMar>
            <w:vAlign w:val="center"/>
          </w:tcPr>
          <w:p>
            <w:pPr>
              <w:keepNext w:val="0"/>
              <w:keepLines w:val="0"/>
              <w:pageBreakBefore w:val="0"/>
              <w:kinsoku/>
              <w:wordWrap/>
              <w:topLinePunct w:val="0"/>
              <w:bidi w:val="0"/>
              <w:adjustRightInd/>
              <w:snapToGrid/>
              <w:spacing w:line="360" w:lineRule="exact"/>
              <w:ind w:left="0" w:leftChars="0" w:right="0" w:rightChars="0" w:firstLine="0" w:firstLineChars="0"/>
              <w:textAlignment w:val="auto"/>
              <w:rPr>
                <w:rFonts w:hint="eastAsia" w:ascii="Times New Roman" w:hAnsi="Times New Roman" w:eastAsia="宋体" w:cs="Times New Roman"/>
                <w:color w:val="auto"/>
                <w:sz w:val="21"/>
                <w:szCs w:val="21"/>
                <w:highlight w:val="none"/>
                <w:shd w:val="clear" w:color="auto" w:fill="auto"/>
              </w:rPr>
            </w:pPr>
            <w:r>
              <w:rPr>
                <w:rFonts w:hint="eastAsia" w:ascii="Times New Roman" w:hAnsi="Times New Roman" w:eastAsia="宋体" w:cs="Times New Roman"/>
                <w:color w:val="auto"/>
                <w:sz w:val="21"/>
                <w:szCs w:val="21"/>
                <w:highlight w:val="none"/>
                <w:shd w:val="clear" w:color="auto" w:fill="auto"/>
              </w:rPr>
              <w:t>严谨程度，是否得力：</w:t>
            </w:r>
          </w:p>
          <w:p>
            <w:pPr>
              <w:keepNext w:val="0"/>
              <w:keepLines w:val="0"/>
              <w:pageBreakBefore w:val="0"/>
              <w:kinsoku/>
              <w:wordWrap/>
              <w:topLinePunct w:val="0"/>
              <w:bidi w:val="0"/>
              <w:adjustRightInd/>
              <w:snapToGrid/>
              <w:spacing w:line="360" w:lineRule="exact"/>
              <w:ind w:left="0" w:leftChars="0" w:right="0" w:rightChars="0" w:firstLine="0" w:firstLineChars="0"/>
              <w:textAlignment w:val="auto"/>
              <w:rPr>
                <w:rFonts w:hint="eastAsia" w:ascii="Times New Roman" w:hAnsi="Times New Roman" w:eastAsia="宋体" w:cs="Times New Roman"/>
                <w:color w:val="auto"/>
                <w:sz w:val="21"/>
                <w:szCs w:val="21"/>
                <w:highlight w:val="none"/>
                <w:shd w:val="clear" w:color="auto" w:fill="auto"/>
              </w:rPr>
            </w:pPr>
            <w:r>
              <w:rPr>
                <w:rFonts w:hint="eastAsia" w:ascii="Times New Roman" w:hAnsi="Times New Roman" w:eastAsia="宋体" w:cs="Times New Roman"/>
                <w:color w:val="auto"/>
                <w:sz w:val="21"/>
                <w:szCs w:val="21"/>
                <w:highlight w:val="none"/>
                <w:shd w:val="clear" w:color="auto" w:fill="auto"/>
              </w:rPr>
              <w:t>好，得</w:t>
            </w:r>
            <w:r>
              <w:rPr>
                <w:rFonts w:hint="eastAsia" w:ascii="Times New Roman" w:hAnsi="Times New Roman" w:eastAsia="宋体" w:cs="Times New Roman"/>
                <w:color w:val="auto"/>
                <w:sz w:val="21"/>
                <w:szCs w:val="21"/>
                <w:highlight w:val="none"/>
                <w:shd w:val="clear" w:color="auto" w:fill="auto"/>
                <w:lang w:val="en-US" w:eastAsia="zh-CN"/>
              </w:rPr>
              <w:t>8</w:t>
            </w:r>
            <w:r>
              <w:rPr>
                <w:rFonts w:hint="eastAsia" w:ascii="Times New Roman" w:hAnsi="Times New Roman" w:eastAsia="宋体" w:cs="Times New Roman"/>
                <w:color w:val="auto"/>
                <w:sz w:val="21"/>
                <w:szCs w:val="21"/>
                <w:highlight w:val="none"/>
                <w:shd w:val="clear" w:color="auto" w:fill="auto"/>
              </w:rPr>
              <w:t>～</w:t>
            </w:r>
            <w:r>
              <w:rPr>
                <w:rFonts w:hint="eastAsia" w:ascii="Times New Roman" w:hAnsi="Times New Roman" w:eastAsia="宋体" w:cs="Times New Roman"/>
                <w:color w:val="auto"/>
                <w:sz w:val="21"/>
                <w:szCs w:val="21"/>
                <w:highlight w:val="none"/>
                <w:shd w:val="clear" w:color="auto" w:fill="auto"/>
                <w:lang w:val="en-US" w:eastAsia="zh-CN"/>
              </w:rPr>
              <w:t>10</w:t>
            </w:r>
            <w:r>
              <w:rPr>
                <w:rFonts w:hint="eastAsia" w:ascii="Times New Roman" w:hAnsi="Times New Roman" w:eastAsia="宋体" w:cs="Times New Roman"/>
                <w:color w:val="auto"/>
                <w:sz w:val="21"/>
                <w:szCs w:val="21"/>
                <w:highlight w:val="none"/>
                <w:shd w:val="clear" w:color="auto" w:fill="auto"/>
              </w:rPr>
              <w:t>分；</w:t>
            </w:r>
          </w:p>
          <w:p>
            <w:pPr>
              <w:keepNext w:val="0"/>
              <w:keepLines w:val="0"/>
              <w:pageBreakBefore w:val="0"/>
              <w:kinsoku/>
              <w:wordWrap/>
              <w:topLinePunct w:val="0"/>
              <w:bidi w:val="0"/>
              <w:adjustRightInd/>
              <w:snapToGrid/>
              <w:spacing w:line="360" w:lineRule="exact"/>
              <w:ind w:left="0" w:leftChars="0" w:right="0" w:rightChars="0" w:firstLine="0" w:firstLineChars="0"/>
              <w:textAlignment w:val="auto"/>
              <w:rPr>
                <w:rFonts w:hint="eastAsia" w:ascii="Times New Roman" w:hAnsi="Times New Roman" w:eastAsia="宋体" w:cs="Times New Roman"/>
                <w:color w:val="auto"/>
                <w:sz w:val="21"/>
                <w:szCs w:val="21"/>
                <w:highlight w:val="none"/>
                <w:shd w:val="clear" w:color="auto" w:fill="auto"/>
              </w:rPr>
            </w:pPr>
            <w:r>
              <w:rPr>
                <w:rFonts w:hint="eastAsia" w:ascii="Times New Roman" w:hAnsi="Times New Roman" w:eastAsia="宋体" w:cs="Times New Roman"/>
                <w:color w:val="auto"/>
                <w:sz w:val="21"/>
                <w:szCs w:val="21"/>
                <w:highlight w:val="none"/>
                <w:shd w:val="clear" w:color="auto" w:fill="auto"/>
              </w:rPr>
              <w:t>较好，得</w:t>
            </w:r>
            <w:r>
              <w:rPr>
                <w:rFonts w:hint="eastAsia" w:ascii="Times New Roman" w:hAnsi="Times New Roman" w:eastAsia="宋体" w:cs="Times New Roman"/>
                <w:color w:val="auto"/>
                <w:sz w:val="21"/>
                <w:szCs w:val="21"/>
                <w:highlight w:val="none"/>
                <w:shd w:val="clear" w:color="auto" w:fill="auto"/>
                <w:lang w:val="en-US" w:eastAsia="zh-CN"/>
              </w:rPr>
              <w:t>7</w:t>
            </w:r>
            <w:r>
              <w:rPr>
                <w:rFonts w:hint="eastAsia" w:ascii="Times New Roman" w:hAnsi="Times New Roman" w:eastAsia="宋体" w:cs="Times New Roman"/>
                <w:color w:val="auto"/>
                <w:sz w:val="21"/>
                <w:szCs w:val="21"/>
                <w:highlight w:val="none"/>
                <w:shd w:val="clear" w:color="auto" w:fill="auto"/>
              </w:rPr>
              <w:t>～</w:t>
            </w:r>
            <w:r>
              <w:rPr>
                <w:rFonts w:hint="eastAsia" w:ascii="Times New Roman" w:hAnsi="Times New Roman" w:eastAsia="宋体" w:cs="Times New Roman"/>
                <w:color w:val="auto"/>
                <w:sz w:val="21"/>
                <w:szCs w:val="21"/>
                <w:highlight w:val="none"/>
                <w:shd w:val="clear" w:color="auto" w:fill="auto"/>
                <w:lang w:val="en-US" w:eastAsia="zh-CN"/>
              </w:rPr>
              <w:t>8</w:t>
            </w:r>
            <w:r>
              <w:rPr>
                <w:rFonts w:hint="eastAsia" w:ascii="Times New Roman" w:hAnsi="Times New Roman" w:eastAsia="宋体" w:cs="Times New Roman"/>
                <w:color w:val="auto"/>
                <w:sz w:val="21"/>
                <w:szCs w:val="21"/>
                <w:highlight w:val="none"/>
                <w:shd w:val="clear" w:color="auto" w:fill="auto"/>
              </w:rPr>
              <w:t>分；</w:t>
            </w:r>
          </w:p>
          <w:p>
            <w:pPr>
              <w:keepNext w:val="0"/>
              <w:keepLines w:val="0"/>
              <w:pageBreakBefore w:val="0"/>
              <w:kinsoku/>
              <w:wordWrap/>
              <w:topLinePunct w:val="0"/>
              <w:bidi w:val="0"/>
              <w:adjustRightInd/>
              <w:snapToGrid/>
              <w:spacing w:line="360" w:lineRule="exact"/>
              <w:ind w:left="0" w:leftChars="0" w:right="0" w:rightChars="0" w:firstLine="0" w:firstLineChars="0"/>
              <w:textAlignment w:val="auto"/>
              <w:rPr>
                <w:rFonts w:hint="eastAsia" w:ascii="Times New Roman" w:hAnsi="Times New Roman" w:eastAsia="宋体" w:cs="Times New Roman"/>
                <w:color w:val="auto"/>
                <w:sz w:val="21"/>
                <w:szCs w:val="21"/>
                <w:highlight w:val="none"/>
                <w:shd w:val="clear" w:color="auto" w:fill="auto"/>
              </w:rPr>
            </w:pPr>
            <w:r>
              <w:rPr>
                <w:rFonts w:hint="eastAsia" w:ascii="Times New Roman" w:hAnsi="Times New Roman" w:eastAsia="宋体" w:cs="Times New Roman"/>
                <w:color w:val="auto"/>
                <w:sz w:val="21"/>
                <w:szCs w:val="21"/>
                <w:highlight w:val="none"/>
                <w:shd w:val="clear" w:color="auto" w:fill="auto"/>
              </w:rPr>
              <w:t>一般，得</w:t>
            </w:r>
            <w:r>
              <w:rPr>
                <w:rFonts w:hint="eastAsia" w:ascii="Times New Roman" w:hAnsi="Times New Roman" w:eastAsia="宋体" w:cs="Times New Roman"/>
                <w:color w:val="auto"/>
                <w:sz w:val="21"/>
                <w:szCs w:val="21"/>
                <w:highlight w:val="none"/>
                <w:shd w:val="clear" w:color="auto" w:fill="auto"/>
                <w:lang w:val="en-US" w:eastAsia="zh-CN"/>
              </w:rPr>
              <w:t>6</w:t>
            </w:r>
            <w:r>
              <w:rPr>
                <w:rFonts w:hint="eastAsia" w:ascii="Times New Roman" w:hAnsi="Times New Roman" w:eastAsia="宋体" w:cs="Times New Roman"/>
                <w:color w:val="auto"/>
                <w:sz w:val="21"/>
                <w:szCs w:val="21"/>
                <w:highlight w:val="none"/>
                <w:shd w:val="clear" w:color="auto" w:fill="auto"/>
              </w:rPr>
              <w:t>～</w:t>
            </w:r>
            <w:r>
              <w:rPr>
                <w:rFonts w:hint="eastAsia" w:ascii="Times New Roman" w:hAnsi="Times New Roman" w:eastAsia="宋体" w:cs="Times New Roman"/>
                <w:color w:val="auto"/>
                <w:sz w:val="21"/>
                <w:szCs w:val="21"/>
                <w:highlight w:val="none"/>
                <w:shd w:val="clear" w:color="auto" w:fill="auto"/>
                <w:lang w:val="en-US" w:eastAsia="zh-CN"/>
              </w:rPr>
              <w:t>7</w:t>
            </w:r>
            <w:r>
              <w:rPr>
                <w:rFonts w:hint="eastAsia" w:ascii="Times New Roman" w:hAnsi="Times New Roman" w:eastAsia="宋体" w:cs="Times New Roman"/>
                <w:color w:val="auto"/>
                <w:sz w:val="21"/>
                <w:szCs w:val="21"/>
                <w:highlight w:val="none"/>
                <w:shd w:val="clear" w:color="auto" w:fil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31" w:type="dxa"/>
            <w:vMerge w:val="continue"/>
            <w:noWrap w:val="0"/>
            <w:tcMar>
              <w:left w:w="28" w:type="dxa"/>
              <w:right w:w="28" w:type="dxa"/>
            </w:tcMar>
            <w:vAlign w:val="top"/>
          </w:tcPr>
          <w:p>
            <w:pPr>
              <w:keepNext w:val="0"/>
              <w:keepLines w:val="0"/>
              <w:pageBreakBefore w:val="0"/>
              <w:kinsoku/>
              <w:wordWrap/>
              <w:topLinePunct w:val="0"/>
              <w:bidi w:val="0"/>
              <w:adjustRightInd/>
              <w:snapToGrid/>
              <w:spacing w:line="360" w:lineRule="exact"/>
              <w:ind w:left="0" w:leftChars="0" w:right="0" w:rightChars="0" w:firstLine="0" w:firstLineChars="0"/>
              <w:textAlignment w:val="auto"/>
              <w:rPr>
                <w:color w:val="auto"/>
                <w:sz w:val="21"/>
                <w:szCs w:val="21"/>
                <w:highlight w:val="none"/>
                <w:shd w:val="clear" w:color="auto" w:fill="auto"/>
              </w:rPr>
            </w:pPr>
          </w:p>
        </w:tc>
        <w:tc>
          <w:tcPr>
            <w:tcW w:w="994" w:type="dxa"/>
            <w:gridSpan w:val="2"/>
            <w:vMerge w:val="continue"/>
            <w:noWrap w:val="0"/>
            <w:tcMar>
              <w:left w:w="28" w:type="dxa"/>
              <w:right w:w="28" w:type="dxa"/>
            </w:tcMar>
            <w:vAlign w:val="top"/>
          </w:tcPr>
          <w:p>
            <w:pPr>
              <w:keepNext w:val="0"/>
              <w:keepLines w:val="0"/>
              <w:pageBreakBefore w:val="0"/>
              <w:kinsoku/>
              <w:wordWrap/>
              <w:topLinePunct w:val="0"/>
              <w:bidi w:val="0"/>
              <w:adjustRightInd/>
              <w:snapToGrid/>
              <w:spacing w:line="360" w:lineRule="exact"/>
              <w:ind w:left="0" w:leftChars="0" w:right="0" w:rightChars="0" w:firstLine="0" w:firstLineChars="0"/>
              <w:textAlignment w:val="auto"/>
              <w:rPr>
                <w:color w:val="auto"/>
                <w:sz w:val="21"/>
                <w:szCs w:val="21"/>
                <w:highlight w:val="none"/>
                <w:shd w:val="clear" w:color="auto" w:fill="auto"/>
              </w:rPr>
            </w:pPr>
          </w:p>
        </w:tc>
        <w:tc>
          <w:tcPr>
            <w:tcW w:w="925" w:type="dxa"/>
            <w:vMerge w:val="continue"/>
            <w:noWrap w:val="0"/>
            <w:tcMar>
              <w:left w:w="28" w:type="dxa"/>
              <w:right w:w="28" w:type="dxa"/>
            </w:tcMar>
            <w:vAlign w:val="top"/>
          </w:tcPr>
          <w:p>
            <w:pPr>
              <w:keepNext w:val="0"/>
              <w:keepLines w:val="0"/>
              <w:pageBreakBefore w:val="0"/>
              <w:kinsoku/>
              <w:wordWrap/>
              <w:topLinePunct w:val="0"/>
              <w:bidi w:val="0"/>
              <w:adjustRightInd/>
              <w:snapToGrid/>
              <w:spacing w:line="360" w:lineRule="exact"/>
              <w:ind w:left="0" w:leftChars="0" w:right="0" w:rightChars="0" w:firstLine="0" w:firstLineChars="0"/>
              <w:textAlignment w:val="auto"/>
              <w:rPr>
                <w:color w:val="auto"/>
                <w:sz w:val="21"/>
                <w:szCs w:val="21"/>
                <w:highlight w:val="none"/>
                <w:shd w:val="clear" w:color="auto" w:fill="auto"/>
              </w:rPr>
            </w:pPr>
          </w:p>
        </w:tc>
        <w:tc>
          <w:tcPr>
            <w:tcW w:w="1394" w:type="dxa"/>
            <w:noWrap w:val="0"/>
            <w:tcMar>
              <w:left w:w="28" w:type="dxa"/>
              <w:right w:w="28" w:type="dxa"/>
            </w:tcMar>
            <w:vAlign w:val="center"/>
          </w:tcPr>
          <w:p>
            <w:pPr>
              <w:keepNext w:val="0"/>
              <w:keepLines w:val="0"/>
              <w:pageBreakBefore w:val="0"/>
              <w:kinsoku/>
              <w:wordWrap/>
              <w:topLinePunct w:val="0"/>
              <w:bidi w:val="0"/>
              <w:adjustRightInd/>
              <w:snapToGrid/>
              <w:spacing w:line="360" w:lineRule="exact"/>
              <w:ind w:left="0" w:leftChars="0" w:right="0" w:rightChars="0" w:firstLine="0" w:firstLineChars="0"/>
              <w:textAlignment w:val="auto"/>
              <w:rPr>
                <w:rFonts w:hint="eastAsia" w:ascii="Times New Roman" w:hAnsi="Times New Roman" w:eastAsia="宋体" w:cs="Times New Roman"/>
                <w:color w:val="auto"/>
                <w:sz w:val="21"/>
                <w:szCs w:val="21"/>
                <w:highlight w:val="none"/>
                <w:shd w:val="clear" w:color="auto" w:fill="auto"/>
              </w:rPr>
            </w:pPr>
            <w:r>
              <w:rPr>
                <w:rFonts w:hint="eastAsia" w:ascii="Times New Roman" w:hAnsi="Times New Roman" w:eastAsia="宋体" w:cs="Times New Roman"/>
                <w:color w:val="auto"/>
                <w:sz w:val="21"/>
                <w:szCs w:val="21"/>
                <w:highlight w:val="none"/>
                <w:shd w:val="clear" w:color="auto" w:fill="auto"/>
              </w:rPr>
              <w:t>项目风险预测与防范，事故应急预案</w:t>
            </w:r>
          </w:p>
        </w:tc>
        <w:tc>
          <w:tcPr>
            <w:tcW w:w="610" w:type="dxa"/>
            <w:noWrap w:val="0"/>
            <w:tcMar>
              <w:left w:w="28" w:type="dxa"/>
              <w:right w:w="28" w:type="dxa"/>
            </w:tcMar>
            <w:vAlign w:val="center"/>
          </w:tcPr>
          <w:p>
            <w:pPr>
              <w:keepNext w:val="0"/>
              <w:keepLines w:val="0"/>
              <w:pageBreakBefore w:val="0"/>
              <w:kinsoku/>
              <w:wordWrap/>
              <w:topLinePunct w:val="0"/>
              <w:bidi w:val="0"/>
              <w:adjustRightInd/>
              <w:snapToGrid/>
              <w:spacing w:line="360" w:lineRule="exact"/>
              <w:ind w:left="0" w:leftChars="0" w:right="0" w:rightChars="0" w:firstLine="0" w:firstLineChars="0"/>
              <w:jc w:val="center"/>
              <w:textAlignment w:val="auto"/>
              <w:rPr>
                <w:rFonts w:hint="eastAsia" w:ascii="Times New Roman" w:hAnsi="Times New Roman" w:eastAsia="宋体" w:cs="Times New Roman"/>
                <w:color w:val="auto"/>
                <w:sz w:val="21"/>
                <w:szCs w:val="21"/>
                <w:highlight w:val="none"/>
                <w:shd w:val="clear" w:color="auto" w:fill="auto"/>
              </w:rPr>
            </w:pPr>
            <w:r>
              <w:rPr>
                <w:rFonts w:hint="eastAsia" w:ascii="Times New Roman" w:hAnsi="Times New Roman" w:eastAsia="宋体" w:cs="Times New Roman"/>
                <w:color w:val="auto"/>
                <w:sz w:val="21"/>
                <w:szCs w:val="21"/>
                <w:highlight w:val="none"/>
                <w:shd w:val="clear" w:color="auto" w:fill="auto"/>
                <w:lang w:val="en-US" w:eastAsia="zh-CN"/>
              </w:rPr>
              <w:t>5</w:t>
            </w:r>
            <w:r>
              <w:rPr>
                <w:rFonts w:hint="eastAsia" w:ascii="Times New Roman" w:hAnsi="Times New Roman" w:eastAsia="宋体" w:cs="Times New Roman"/>
                <w:color w:val="auto"/>
                <w:sz w:val="21"/>
                <w:szCs w:val="21"/>
                <w:highlight w:val="none"/>
                <w:shd w:val="clear" w:color="auto" w:fill="auto"/>
              </w:rPr>
              <w:t>分</w:t>
            </w:r>
          </w:p>
        </w:tc>
        <w:tc>
          <w:tcPr>
            <w:tcW w:w="4077" w:type="dxa"/>
            <w:noWrap w:val="0"/>
            <w:tcMar>
              <w:left w:w="28" w:type="dxa"/>
              <w:right w:w="28" w:type="dxa"/>
            </w:tcMar>
            <w:vAlign w:val="center"/>
          </w:tcPr>
          <w:p>
            <w:pPr>
              <w:keepNext w:val="0"/>
              <w:keepLines w:val="0"/>
              <w:pageBreakBefore w:val="0"/>
              <w:kinsoku/>
              <w:wordWrap/>
              <w:topLinePunct w:val="0"/>
              <w:bidi w:val="0"/>
              <w:adjustRightInd/>
              <w:snapToGrid/>
              <w:spacing w:line="360" w:lineRule="exact"/>
              <w:ind w:left="0" w:leftChars="0" w:right="0" w:rightChars="0" w:firstLine="0" w:firstLineChars="0"/>
              <w:textAlignment w:val="auto"/>
              <w:rPr>
                <w:rFonts w:hint="eastAsia" w:ascii="Times New Roman" w:hAnsi="Times New Roman" w:eastAsia="宋体" w:cs="Times New Roman"/>
                <w:color w:val="auto"/>
                <w:sz w:val="21"/>
                <w:szCs w:val="21"/>
                <w:highlight w:val="none"/>
                <w:shd w:val="clear" w:color="auto" w:fill="auto"/>
                <w:lang w:val="en-US" w:eastAsia="zh-CN"/>
              </w:rPr>
            </w:pPr>
            <w:r>
              <w:rPr>
                <w:rFonts w:hint="eastAsia" w:ascii="Times New Roman" w:hAnsi="Times New Roman" w:eastAsia="宋体" w:cs="Times New Roman"/>
                <w:color w:val="auto"/>
                <w:sz w:val="21"/>
                <w:szCs w:val="21"/>
                <w:highlight w:val="none"/>
                <w:shd w:val="clear" w:color="auto" w:fill="auto"/>
                <w:lang w:val="en-US" w:eastAsia="zh-CN"/>
              </w:rPr>
              <w:t>可行性、合理性：</w:t>
            </w:r>
          </w:p>
          <w:p>
            <w:pPr>
              <w:keepNext w:val="0"/>
              <w:keepLines w:val="0"/>
              <w:pageBreakBefore w:val="0"/>
              <w:kinsoku/>
              <w:wordWrap/>
              <w:topLinePunct w:val="0"/>
              <w:bidi w:val="0"/>
              <w:adjustRightInd/>
              <w:snapToGrid/>
              <w:spacing w:line="360" w:lineRule="exact"/>
              <w:ind w:left="0" w:leftChars="0" w:right="0" w:rightChars="0" w:firstLine="0" w:firstLineChars="0"/>
              <w:textAlignment w:val="auto"/>
              <w:rPr>
                <w:rFonts w:hint="eastAsia" w:ascii="Times New Roman" w:hAnsi="Times New Roman" w:eastAsia="宋体" w:cs="Times New Roman"/>
                <w:color w:val="auto"/>
                <w:sz w:val="21"/>
                <w:szCs w:val="21"/>
                <w:highlight w:val="none"/>
                <w:shd w:val="clear" w:color="auto" w:fill="auto"/>
              </w:rPr>
            </w:pPr>
            <w:r>
              <w:rPr>
                <w:rFonts w:hint="eastAsia" w:ascii="Times New Roman" w:hAnsi="Times New Roman" w:eastAsia="宋体" w:cs="Times New Roman"/>
                <w:color w:val="auto"/>
                <w:sz w:val="21"/>
                <w:szCs w:val="21"/>
                <w:highlight w:val="none"/>
                <w:shd w:val="clear" w:color="auto" w:fill="auto"/>
              </w:rPr>
              <w:t>好，得</w:t>
            </w:r>
            <w:r>
              <w:rPr>
                <w:rFonts w:hint="eastAsia" w:ascii="Times New Roman" w:hAnsi="Times New Roman" w:eastAsia="宋体" w:cs="Times New Roman"/>
                <w:color w:val="auto"/>
                <w:sz w:val="21"/>
                <w:szCs w:val="21"/>
                <w:highlight w:val="none"/>
                <w:shd w:val="clear" w:color="auto" w:fill="auto"/>
                <w:lang w:val="en-US" w:eastAsia="zh-CN"/>
              </w:rPr>
              <w:t>4</w:t>
            </w:r>
            <w:r>
              <w:rPr>
                <w:rFonts w:hint="eastAsia" w:ascii="Times New Roman" w:hAnsi="Times New Roman" w:eastAsia="宋体" w:cs="Times New Roman"/>
                <w:color w:val="auto"/>
                <w:sz w:val="21"/>
                <w:szCs w:val="21"/>
                <w:highlight w:val="none"/>
                <w:shd w:val="clear" w:color="auto" w:fill="auto"/>
              </w:rPr>
              <w:t>～</w:t>
            </w:r>
            <w:r>
              <w:rPr>
                <w:rFonts w:hint="eastAsia" w:ascii="Times New Roman" w:hAnsi="Times New Roman" w:eastAsia="宋体" w:cs="Times New Roman"/>
                <w:color w:val="auto"/>
                <w:sz w:val="21"/>
                <w:szCs w:val="21"/>
                <w:highlight w:val="none"/>
                <w:shd w:val="clear" w:color="auto" w:fill="auto"/>
                <w:lang w:val="en-US" w:eastAsia="zh-CN"/>
              </w:rPr>
              <w:t>5</w:t>
            </w:r>
            <w:r>
              <w:rPr>
                <w:rFonts w:hint="eastAsia" w:ascii="Times New Roman" w:hAnsi="Times New Roman" w:eastAsia="宋体" w:cs="Times New Roman"/>
                <w:color w:val="auto"/>
                <w:sz w:val="21"/>
                <w:szCs w:val="21"/>
                <w:highlight w:val="none"/>
                <w:shd w:val="clear" w:color="auto" w:fill="auto"/>
              </w:rPr>
              <w:t>分；</w:t>
            </w:r>
          </w:p>
          <w:p>
            <w:pPr>
              <w:keepNext w:val="0"/>
              <w:keepLines w:val="0"/>
              <w:pageBreakBefore w:val="0"/>
              <w:kinsoku/>
              <w:wordWrap/>
              <w:topLinePunct w:val="0"/>
              <w:bidi w:val="0"/>
              <w:adjustRightInd/>
              <w:snapToGrid/>
              <w:spacing w:line="360" w:lineRule="exact"/>
              <w:ind w:left="0" w:leftChars="0" w:right="0" w:rightChars="0" w:firstLine="0" w:firstLineChars="0"/>
              <w:textAlignment w:val="auto"/>
              <w:rPr>
                <w:rFonts w:hint="eastAsia" w:ascii="Times New Roman" w:hAnsi="Times New Roman" w:eastAsia="宋体" w:cs="Times New Roman"/>
                <w:color w:val="auto"/>
                <w:sz w:val="21"/>
                <w:szCs w:val="21"/>
                <w:highlight w:val="none"/>
                <w:shd w:val="clear" w:color="auto" w:fill="auto"/>
              </w:rPr>
            </w:pPr>
            <w:r>
              <w:rPr>
                <w:rFonts w:hint="eastAsia" w:ascii="Times New Roman" w:hAnsi="Times New Roman" w:eastAsia="宋体" w:cs="Times New Roman"/>
                <w:color w:val="auto"/>
                <w:sz w:val="21"/>
                <w:szCs w:val="21"/>
                <w:highlight w:val="none"/>
                <w:shd w:val="clear" w:color="auto" w:fill="auto"/>
              </w:rPr>
              <w:t>较好，得</w:t>
            </w:r>
            <w:r>
              <w:rPr>
                <w:rFonts w:hint="eastAsia" w:ascii="Times New Roman" w:hAnsi="Times New Roman" w:eastAsia="宋体" w:cs="Times New Roman"/>
                <w:color w:val="auto"/>
                <w:sz w:val="21"/>
                <w:szCs w:val="21"/>
                <w:highlight w:val="none"/>
                <w:shd w:val="clear" w:color="auto" w:fill="auto"/>
                <w:lang w:val="en-US" w:eastAsia="zh-CN"/>
              </w:rPr>
              <w:t>3.5</w:t>
            </w:r>
            <w:r>
              <w:rPr>
                <w:rFonts w:hint="eastAsia" w:ascii="Times New Roman" w:hAnsi="Times New Roman" w:eastAsia="宋体" w:cs="Times New Roman"/>
                <w:color w:val="auto"/>
                <w:sz w:val="21"/>
                <w:szCs w:val="21"/>
                <w:highlight w:val="none"/>
                <w:shd w:val="clear" w:color="auto" w:fill="auto"/>
              </w:rPr>
              <w:t>～</w:t>
            </w:r>
            <w:r>
              <w:rPr>
                <w:rFonts w:hint="eastAsia" w:ascii="Times New Roman" w:hAnsi="Times New Roman" w:eastAsia="宋体" w:cs="Times New Roman"/>
                <w:color w:val="auto"/>
                <w:sz w:val="21"/>
                <w:szCs w:val="21"/>
                <w:highlight w:val="none"/>
                <w:shd w:val="clear" w:color="auto" w:fill="auto"/>
                <w:lang w:val="en-US" w:eastAsia="zh-CN"/>
              </w:rPr>
              <w:t>4</w:t>
            </w:r>
            <w:r>
              <w:rPr>
                <w:rFonts w:hint="eastAsia" w:ascii="Times New Roman" w:hAnsi="Times New Roman" w:eastAsia="宋体" w:cs="Times New Roman"/>
                <w:color w:val="auto"/>
                <w:sz w:val="21"/>
                <w:szCs w:val="21"/>
                <w:highlight w:val="none"/>
                <w:shd w:val="clear" w:color="auto" w:fill="auto"/>
              </w:rPr>
              <w:t>分；</w:t>
            </w:r>
          </w:p>
          <w:p>
            <w:pPr>
              <w:keepNext w:val="0"/>
              <w:keepLines w:val="0"/>
              <w:pageBreakBefore w:val="0"/>
              <w:kinsoku/>
              <w:wordWrap/>
              <w:topLinePunct w:val="0"/>
              <w:bidi w:val="0"/>
              <w:adjustRightInd/>
              <w:snapToGrid/>
              <w:spacing w:line="360" w:lineRule="exact"/>
              <w:ind w:left="0" w:leftChars="0" w:right="0" w:rightChars="0" w:firstLine="0" w:firstLineChars="0"/>
              <w:textAlignment w:val="auto"/>
              <w:rPr>
                <w:rFonts w:hint="eastAsia" w:ascii="Times New Roman" w:hAnsi="Times New Roman" w:eastAsia="宋体" w:cs="Times New Roman"/>
                <w:color w:val="auto"/>
                <w:sz w:val="21"/>
                <w:szCs w:val="21"/>
                <w:highlight w:val="none"/>
                <w:shd w:val="clear" w:color="auto" w:fill="auto"/>
              </w:rPr>
            </w:pPr>
            <w:r>
              <w:rPr>
                <w:rFonts w:hint="eastAsia" w:ascii="Times New Roman" w:hAnsi="Times New Roman" w:eastAsia="宋体" w:cs="Times New Roman"/>
                <w:color w:val="auto"/>
                <w:sz w:val="21"/>
                <w:szCs w:val="21"/>
                <w:highlight w:val="none"/>
                <w:shd w:val="clear" w:color="auto" w:fill="auto"/>
              </w:rPr>
              <w:t>一般，得</w:t>
            </w:r>
            <w:r>
              <w:rPr>
                <w:rFonts w:hint="eastAsia" w:ascii="Times New Roman" w:hAnsi="Times New Roman" w:eastAsia="宋体" w:cs="Times New Roman"/>
                <w:color w:val="auto"/>
                <w:sz w:val="21"/>
                <w:szCs w:val="21"/>
                <w:highlight w:val="none"/>
                <w:shd w:val="clear" w:color="auto" w:fill="auto"/>
                <w:lang w:val="en-US" w:eastAsia="zh-CN"/>
              </w:rPr>
              <w:t>3</w:t>
            </w:r>
            <w:r>
              <w:rPr>
                <w:rFonts w:hint="eastAsia" w:ascii="Times New Roman" w:hAnsi="Times New Roman" w:eastAsia="宋体" w:cs="Times New Roman"/>
                <w:color w:val="auto"/>
                <w:sz w:val="21"/>
                <w:szCs w:val="21"/>
                <w:highlight w:val="none"/>
                <w:shd w:val="clear" w:color="auto" w:fill="auto"/>
              </w:rPr>
              <w:t>～</w:t>
            </w:r>
            <w:r>
              <w:rPr>
                <w:rFonts w:hint="eastAsia" w:ascii="Times New Roman" w:hAnsi="Times New Roman" w:eastAsia="宋体" w:cs="Times New Roman"/>
                <w:color w:val="auto"/>
                <w:sz w:val="21"/>
                <w:szCs w:val="21"/>
                <w:highlight w:val="none"/>
                <w:shd w:val="clear" w:color="auto" w:fill="auto"/>
                <w:lang w:val="en-US" w:eastAsia="zh-CN"/>
              </w:rPr>
              <w:t>3.5</w:t>
            </w:r>
            <w:r>
              <w:rPr>
                <w:rFonts w:hint="eastAsia" w:ascii="Times New Roman" w:hAnsi="Times New Roman" w:eastAsia="宋体" w:cs="Times New Roman"/>
                <w:color w:val="auto"/>
                <w:sz w:val="21"/>
                <w:szCs w:val="21"/>
                <w:highlight w:val="none"/>
                <w:shd w:val="clear" w:color="auto" w:fil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31" w:type="dxa"/>
            <w:vMerge w:val="restart"/>
            <w:noWrap w:val="0"/>
            <w:tcMar>
              <w:left w:w="28" w:type="dxa"/>
              <w:right w:w="28" w:type="dxa"/>
            </w:tcMar>
            <w:vAlign w:val="center"/>
          </w:tcPr>
          <w:p>
            <w:pPr>
              <w:keepNext w:val="0"/>
              <w:keepLines w:val="0"/>
              <w:pageBreakBefore w:val="0"/>
              <w:kinsoku/>
              <w:wordWrap/>
              <w:topLinePunct w:val="0"/>
              <w:bidi w:val="0"/>
              <w:adjustRightInd/>
              <w:snapToGrid/>
              <w:spacing w:line="360" w:lineRule="exact"/>
              <w:ind w:left="0" w:leftChars="0" w:right="0" w:rightChars="0" w:firstLine="0" w:firstLineChars="0"/>
              <w:jc w:val="center"/>
              <w:textAlignment w:val="auto"/>
              <w:rPr>
                <w:color w:val="auto"/>
                <w:sz w:val="21"/>
                <w:szCs w:val="21"/>
                <w:highlight w:val="none"/>
                <w:shd w:val="clear" w:color="auto" w:fill="auto"/>
              </w:rPr>
            </w:pPr>
            <w:r>
              <w:rPr>
                <w:color w:val="auto"/>
                <w:sz w:val="21"/>
                <w:szCs w:val="21"/>
                <w:highlight w:val="none"/>
                <w:shd w:val="clear" w:color="auto" w:fill="auto"/>
              </w:rPr>
              <w:t>2.2.2（</w:t>
            </w:r>
            <w:r>
              <w:rPr>
                <w:rFonts w:hint="eastAsia"/>
                <w:color w:val="auto"/>
                <w:sz w:val="21"/>
                <w:szCs w:val="21"/>
                <w:highlight w:val="none"/>
                <w:shd w:val="clear" w:color="auto" w:fill="auto"/>
                <w:lang w:val="en-US" w:eastAsia="zh-CN"/>
              </w:rPr>
              <w:t>2</w:t>
            </w:r>
            <w:r>
              <w:rPr>
                <w:color w:val="auto"/>
                <w:sz w:val="21"/>
                <w:szCs w:val="21"/>
                <w:highlight w:val="none"/>
                <w:shd w:val="clear" w:color="auto" w:fill="auto"/>
              </w:rPr>
              <w:t>）</w:t>
            </w:r>
          </w:p>
        </w:tc>
        <w:tc>
          <w:tcPr>
            <w:tcW w:w="994" w:type="dxa"/>
            <w:gridSpan w:val="2"/>
            <w:vMerge w:val="restart"/>
            <w:noWrap w:val="0"/>
            <w:tcMar>
              <w:left w:w="28" w:type="dxa"/>
              <w:right w:w="28" w:type="dxa"/>
            </w:tcMar>
            <w:vAlign w:val="center"/>
          </w:tcPr>
          <w:p>
            <w:pPr>
              <w:keepNext w:val="0"/>
              <w:keepLines w:val="0"/>
              <w:pageBreakBefore w:val="0"/>
              <w:kinsoku/>
              <w:wordWrap/>
              <w:topLinePunct w:val="0"/>
              <w:bidi w:val="0"/>
              <w:adjustRightInd/>
              <w:snapToGrid/>
              <w:spacing w:line="360" w:lineRule="exact"/>
              <w:ind w:left="0" w:leftChars="0" w:right="0" w:rightChars="0" w:firstLine="0" w:firstLineChars="0"/>
              <w:jc w:val="center"/>
              <w:textAlignment w:val="auto"/>
              <w:rPr>
                <w:rFonts w:hint="eastAsia"/>
                <w:color w:val="auto"/>
                <w:sz w:val="21"/>
                <w:szCs w:val="21"/>
                <w:highlight w:val="none"/>
                <w:shd w:val="clear" w:color="auto" w:fill="auto"/>
              </w:rPr>
            </w:pPr>
            <w:r>
              <w:rPr>
                <w:rFonts w:hint="eastAsia"/>
                <w:color w:val="auto"/>
                <w:sz w:val="21"/>
                <w:szCs w:val="21"/>
                <w:highlight w:val="none"/>
                <w:shd w:val="clear" w:color="auto" w:fill="auto"/>
              </w:rPr>
              <w:t>主要人员</w:t>
            </w:r>
          </w:p>
        </w:tc>
        <w:tc>
          <w:tcPr>
            <w:tcW w:w="925" w:type="dxa"/>
            <w:vMerge w:val="restart"/>
            <w:noWrap w:val="0"/>
            <w:tcMar>
              <w:left w:w="28" w:type="dxa"/>
              <w:right w:w="28" w:type="dxa"/>
            </w:tcMar>
            <w:vAlign w:val="center"/>
          </w:tcPr>
          <w:p>
            <w:pPr>
              <w:keepNext w:val="0"/>
              <w:keepLines w:val="0"/>
              <w:pageBreakBefore w:val="0"/>
              <w:kinsoku/>
              <w:wordWrap/>
              <w:topLinePunct w:val="0"/>
              <w:bidi w:val="0"/>
              <w:adjustRightInd/>
              <w:snapToGrid/>
              <w:spacing w:line="360" w:lineRule="exact"/>
              <w:ind w:left="0" w:leftChars="0" w:right="0" w:rightChars="0" w:firstLine="0" w:firstLineChars="0"/>
              <w:jc w:val="center"/>
              <w:textAlignment w:val="auto"/>
              <w:rPr>
                <w:rFonts w:hint="eastAsia"/>
                <w:color w:val="auto"/>
                <w:sz w:val="21"/>
                <w:szCs w:val="21"/>
                <w:highlight w:val="none"/>
                <w:shd w:val="clear" w:color="auto" w:fill="auto"/>
              </w:rPr>
            </w:pPr>
            <w:r>
              <w:rPr>
                <w:rFonts w:hint="eastAsia"/>
                <w:color w:val="auto"/>
                <w:sz w:val="21"/>
                <w:szCs w:val="21"/>
                <w:highlight w:val="none"/>
                <w:shd w:val="clear" w:color="auto" w:fill="auto"/>
                <w:lang w:val="en-US" w:eastAsia="zh-CN"/>
              </w:rPr>
              <w:t>30</w:t>
            </w:r>
            <w:r>
              <w:rPr>
                <w:rFonts w:hint="eastAsia"/>
                <w:color w:val="auto"/>
                <w:sz w:val="21"/>
                <w:szCs w:val="21"/>
                <w:highlight w:val="none"/>
                <w:shd w:val="clear" w:color="auto" w:fill="auto"/>
              </w:rPr>
              <w:t>分</w:t>
            </w:r>
          </w:p>
        </w:tc>
        <w:tc>
          <w:tcPr>
            <w:tcW w:w="1394" w:type="dxa"/>
            <w:noWrap w:val="0"/>
            <w:tcMar>
              <w:left w:w="28" w:type="dxa"/>
              <w:right w:w="28" w:type="dxa"/>
            </w:tcMar>
            <w:vAlign w:val="center"/>
          </w:tcPr>
          <w:p>
            <w:pPr>
              <w:keepNext w:val="0"/>
              <w:keepLines w:val="0"/>
              <w:pageBreakBefore w:val="0"/>
              <w:kinsoku/>
              <w:wordWrap/>
              <w:topLinePunct w:val="0"/>
              <w:bidi w:val="0"/>
              <w:adjustRightInd/>
              <w:snapToGrid/>
              <w:spacing w:line="360" w:lineRule="exact"/>
              <w:ind w:left="0" w:leftChars="0" w:right="0" w:rightChars="0" w:firstLine="0" w:firstLineChars="0"/>
              <w:textAlignment w:val="auto"/>
              <w:rPr>
                <w:color w:val="auto"/>
                <w:sz w:val="21"/>
                <w:szCs w:val="21"/>
                <w:highlight w:val="none"/>
                <w:shd w:val="clear" w:color="auto" w:fill="auto"/>
              </w:rPr>
            </w:pPr>
            <w:r>
              <w:rPr>
                <w:color w:val="auto"/>
                <w:sz w:val="21"/>
                <w:szCs w:val="21"/>
                <w:highlight w:val="none"/>
                <w:shd w:val="clear" w:color="auto" w:fill="auto"/>
              </w:rPr>
              <w:t>项目经理任职资格</w:t>
            </w:r>
          </w:p>
        </w:tc>
        <w:tc>
          <w:tcPr>
            <w:tcW w:w="610" w:type="dxa"/>
            <w:noWrap w:val="0"/>
            <w:tcMar>
              <w:left w:w="28" w:type="dxa"/>
              <w:right w:w="28" w:type="dxa"/>
            </w:tcMar>
            <w:vAlign w:val="center"/>
          </w:tcPr>
          <w:p>
            <w:pPr>
              <w:keepNext w:val="0"/>
              <w:keepLines w:val="0"/>
              <w:pageBreakBefore w:val="0"/>
              <w:numPr>
                <w:ilvl w:val="0"/>
                <w:numId w:val="0"/>
              </w:numPr>
              <w:kinsoku/>
              <w:wordWrap/>
              <w:topLinePunct w:val="0"/>
              <w:bidi w:val="0"/>
              <w:adjustRightInd/>
              <w:snapToGrid/>
              <w:spacing w:line="360" w:lineRule="exact"/>
              <w:ind w:left="0" w:leftChars="0" w:right="0" w:rightChars="0" w:firstLine="0" w:firstLineChars="0"/>
              <w:jc w:val="center"/>
              <w:textAlignment w:val="auto"/>
              <w:rPr>
                <w:color w:val="auto"/>
                <w:sz w:val="21"/>
                <w:szCs w:val="21"/>
                <w:highlight w:val="none"/>
                <w:shd w:val="clear" w:color="auto" w:fill="auto"/>
              </w:rPr>
            </w:pPr>
            <w:r>
              <w:rPr>
                <w:rFonts w:hint="eastAsia"/>
                <w:color w:val="auto"/>
                <w:sz w:val="21"/>
                <w:szCs w:val="21"/>
                <w:highlight w:val="none"/>
                <w:shd w:val="clear" w:color="auto" w:fill="auto"/>
              </w:rPr>
              <w:t>1</w:t>
            </w:r>
            <w:r>
              <w:rPr>
                <w:rFonts w:hint="eastAsia"/>
                <w:color w:val="auto"/>
                <w:sz w:val="21"/>
                <w:szCs w:val="21"/>
                <w:highlight w:val="none"/>
                <w:shd w:val="clear" w:color="auto" w:fill="auto"/>
                <w:lang w:val="en-US" w:eastAsia="zh-CN"/>
              </w:rPr>
              <w:t>5</w:t>
            </w:r>
            <w:r>
              <w:rPr>
                <w:rFonts w:hint="eastAsia"/>
                <w:color w:val="auto"/>
                <w:sz w:val="21"/>
                <w:szCs w:val="21"/>
                <w:highlight w:val="none"/>
                <w:shd w:val="clear" w:color="auto" w:fill="auto"/>
              </w:rPr>
              <w:t>分</w:t>
            </w:r>
          </w:p>
        </w:tc>
        <w:tc>
          <w:tcPr>
            <w:tcW w:w="4077" w:type="dxa"/>
            <w:noWrap w:val="0"/>
            <w:tcMar>
              <w:left w:w="28" w:type="dxa"/>
              <w:right w:w="28" w:type="dxa"/>
            </w:tcMar>
            <w:vAlign w:val="center"/>
          </w:tcPr>
          <w:p>
            <w:pPr>
              <w:keepNext w:val="0"/>
              <w:keepLines w:val="0"/>
              <w:pageBreakBefore w:val="0"/>
              <w:widowControl/>
              <w:kinsoku/>
              <w:wordWrap/>
              <w:topLinePunct w:val="0"/>
              <w:bidi w:val="0"/>
              <w:adjustRightInd/>
              <w:snapToGrid/>
              <w:spacing w:line="360" w:lineRule="exact"/>
              <w:ind w:left="0" w:leftChars="0" w:right="0" w:rightChars="0" w:firstLine="0" w:firstLineChars="0"/>
              <w:textAlignment w:val="auto"/>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满足招标</w:t>
            </w:r>
            <w:r>
              <w:rPr>
                <w:rFonts w:hint="eastAsia" w:ascii="Times New Roman" w:hAnsi="Times New Roman" w:eastAsia="宋体" w:cs="Times New Roman"/>
                <w:color w:val="auto"/>
                <w:sz w:val="21"/>
                <w:szCs w:val="21"/>
                <w:highlight w:val="none"/>
                <w:shd w:val="clear" w:color="auto" w:fill="auto"/>
                <w:lang w:val="en-US" w:eastAsia="zh-CN"/>
              </w:rPr>
              <w:t>文件项目经理</w:t>
            </w:r>
            <w:r>
              <w:rPr>
                <w:rFonts w:hint="default" w:ascii="Times New Roman" w:hAnsi="Times New Roman" w:eastAsia="宋体" w:cs="Times New Roman"/>
                <w:color w:val="auto"/>
                <w:sz w:val="21"/>
                <w:szCs w:val="21"/>
                <w:highlight w:val="none"/>
                <w:shd w:val="clear" w:color="auto" w:fill="auto"/>
                <w:lang w:val="en-US" w:eastAsia="zh-CN"/>
              </w:rPr>
              <w:t>资格审查</w:t>
            </w:r>
            <w:r>
              <w:rPr>
                <w:rFonts w:hint="eastAsia" w:ascii="Times New Roman" w:hAnsi="Times New Roman" w:eastAsia="宋体" w:cs="Times New Roman"/>
                <w:color w:val="auto"/>
                <w:sz w:val="21"/>
                <w:szCs w:val="21"/>
                <w:highlight w:val="none"/>
                <w:shd w:val="clear" w:color="auto" w:fill="auto"/>
                <w:lang w:val="en-US" w:eastAsia="zh-CN"/>
              </w:rPr>
              <w:t>最低</w:t>
            </w:r>
            <w:r>
              <w:rPr>
                <w:rFonts w:hint="default" w:ascii="Times New Roman" w:hAnsi="Times New Roman" w:eastAsia="宋体" w:cs="Times New Roman"/>
                <w:color w:val="auto"/>
                <w:sz w:val="21"/>
                <w:szCs w:val="21"/>
                <w:highlight w:val="none"/>
                <w:shd w:val="clear" w:color="auto" w:fill="auto"/>
                <w:lang w:val="en-US" w:eastAsia="zh-CN"/>
              </w:rPr>
              <w:t>要求，</w:t>
            </w:r>
            <w:r>
              <w:rPr>
                <w:rFonts w:hint="eastAsia" w:ascii="Times New Roman" w:hAnsi="Times New Roman" w:eastAsia="宋体" w:cs="Times New Roman"/>
                <w:color w:val="auto"/>
                <w:sz w:val="21"/>
                <w:szCs w:val="21"/>
                <w:highlight w:val="none"/>
                <w:shd w:val="clear" w:color="auto" w:fill="auto"/>
                <w:lang w:val="en-US" w:eastAsia="zh-CN"/>
              </w:rPr>
              <w:t>得</w:t>
            </w:r>
            <w:r>
              <w:rPr>
                <w:rFonts w:hint="default" w:ascii="Times New Roman" w:hAnsi="Times New Roman" w:eastAsia="宋体" w:cs="Times New Roman"/>
                <w:color w:val="auto"/>
                <w:sz w:val="21"/>
                <w:szCs w:val="21"/>
                <w:highlight w:val="none"/>
                <w:shd w:val="clear" w:color="auto" w:fill="auto"/>
                <w:lang w:val="en-US" w:eastAsia="zh-CN"/>
              </w:rPr>
              <w:t>1</w:t>
            </w:r>
            <w:r>
              <w:rPr>
                <w:rFonts w:hint="eastAsia" w:ascii="Times New Roman" w:hAnsi="Times New Roman" w:eastAsia="宋体" w:cs="Times New Roman"/>
                <w:color w:val="auto"/>
                <w:sz w:val="21"/>
                <w:szCs w:val="21"/>
                <w:highlight w:val="none"/>
                <w:shd w:val="clear" w:color="auto" w:fill="auto"/>
                <w:lang w:val="en-US" w:eastAsia="zh-CN"/>
              </w:rPr>
              <w:t>5</w:t>
            </w:r>
            <w:r>
              <w:rPr>
                <w:rFonts w:hint="default" w:ascii="Times New Roman" w:hAnsi="Times New Roman" w:eastAsia="宋体" w:cs="Times New Roman"/>
                <w:color w:val="auto"/>
                <w:sz w:val="21"/>
                <w:szCs w:val="21"/>
                <w:highlight w:val="none"/>
                <w:shd w:val="clear" w:color="auto" w:fill="auto"/>
                <w:lang w:val="en-US" w:eastAsia="zh-CN"/>
              </w:rPr>
              <w:t>分。</w:t>
            </w:r>
            <w:r>
              <w:rPr>
                <w:rFonts w:hint="eastAsia" w:ascii="Times New Roman" w:hAnsi="Times New Roman" w:eastAsia="宋体" w:cs="Times New Roman"/>
                <w:color w:val="auto"/>
                <w:sz w:val="21"/>
                <w:szCs w:val="21"/>
                <w:highlight w:val="none"/>
                <w:shd w:val="clear" w:color="auto" w:fill="auto"/>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31" w:type="dxa"/>
            <w:vMerge w:val="continue"/>
            <w:noWrap w:val="0"/>
            <w:tcMar>
              <w:left w:w="28" w:type="dxa"/>
              <w:right w:w="28" w:type="dxa"/>
            </w:tcMar>
            <w:vAlign w:val="center"/>
          </w:tcPr>
          <w:p>
            <w:pPr>
              <w:keepNext w:val="0"/>
              <w:keepLines w:val="0"/>
              <w:pageBreakBefore w:val="0"/>
              <w:kinsoku/>
              <w:wordWrap/>
              <w:topLinePunct w:val="0"/>
              <w:bidi w:val="0"/>
              <w:adjustRightInd/>
              <w:snapToGrid/>
              <w:spacing w:line="360" w:lineRule="exact"/>
              <w:ind w:left="0" w:leftChars="0" w:right="0" w:rightChars="0" w:firstLine="0" w:firstLineChars="0"/>
              <w:textAlignment w:val="auto"/>
              <w:rPr>
                <w:color w:val="auto"/>
                <w:sz w:val="21"/>
                <w:szCs w:val="21"/>
                <w:highlight w:val="none"/>
                <w:shd w:val="clear" w:color="auto" w:fill="auto"/>
              </w:rPr>
            </w:pPr>
          </w:p>
        </w:tc>
        <w:tc>
          <w:tcPr>
            <w:tcW w:w="994" w:type="dxa"/>
            <w:gridSpan w:val="2"/>
            <w:vMerge w:val="continue"/>
            <w:noWrap w:val="0"/>
            <w:tcMar>
              <w:left w:w="28" w:type="dxa"/>
              <w:right w:w="28" w:type="dxa"/>
            </w:tcMar>
            <w:vAlign w:val="center"/>
          </w:tcPr>
          <w:p>
            <w:pPr>
              <w:keepNext w:val="0"/>
              <w:keepLines w:val="0"/>
              <w:pageBreakBefore w:val="0"/>
              <w:kinsoku/>
              <w:wordWrap/>
              <w:topLinePunct w:val="0"/>
              <w:bidi w:val="0"/>
              <w:adjustRightInd/>
              <w:snapToGrid/>
              <w:spacing w:line="360" w:lineRule="exact"/>
              <w:ind w:left="0" w:leftChars="0" w:right="0" w:rightChars="0" w:firstLine="0" w:firstLineChars="0"/>
              <w:textAlignment w:val="auto"/>
              <w:rPr>
                <w:color w:val="auto"/>
                <w:sz w:val="21"/>
                <w:szCs w:val="21"/>
                <w:highlight w:val="none"/>
                <w:shd w:val="clear" w:color="auto" w:fill="auto"/>
              </w:rPr>
            </w:pPr>
          </w:p>
        </w:tc>
        <w:tc>
          <w:tcPr>
            <w:tcW w:w="925" w:type="dxa"/>
            <w:vMerge w:val="continue"/>
            <w:noWrap w:val="0"/>
            <w:tcMar>
              <w:left w:w="28" w:type="dxa"/>
              <w:right w:w="28" w:type="dxa"/>
            </w:tcMar>
            <w:vAlign w:val="center"/>
          </w:tcPr>
          <w:p>
            <w:pPr>
              <w:keepNext w:val="0"/>
              <w:keepLines w:val="0"/>
              <w:pageBreakBefore w:val="0"/>
              <w:kinsoku/>
              <w:wordWrap/>
              <w:topLinePunct w:val="0"/>
              <w:bidi w:val="0"/>
              <w:adjustRightInd/>
              <w:snapToGrid/>
              <w:spacing w:line="360" w:lineRule="exact"/>
              <w:ind w:left="0" w:leftChars="0" w:right="0" w:rightChars="0" w:firstLine="0" w:firstLineChars="0"/>
              <w:textAlignment w:val="auto"/>
              <w:rPr>
                <w:color w:val="auto"/>
                <w:sz w:val="21"/>
                <w:szCs w:val="21"/>
                <w:highlight w:val="none"/>
                <w:shd w:val="clear" w:color="auto" w:fill="auto"/>
              </w:rPr>
            </w:pPr>
          </w:p>
        </w:tc>
        <w:tc>
          <w:tcPr>
            <w:tcW w:w="1394" w:type="dxa"/>
            <w:noWrap w:val="0"/>
            <w:tcMar>
              <w:left w:w="28" w:type="dxa"/>
              <w:right w:w="28" w:type="dxa"/>
            </w:tcMar>
            <w:vAlign w:val="center"/>
          </w:tcPr>
          <w:p>
            <w:pPr>
              <w:keepNext w:val="0"/>
              <w:keepLines w:val="0"/>
              <w:pageBreakBefore w:val="0"/>
              <w:kinsoku/>
              <w:wordWrap/>
              <w:topLinePunct w:val="0"/>
              <w:bidi w:val="0"/>
              <w:adjustRightInd/>
              <w:snapToGrid/>
              <w:spacing w:line="360" w:lineRule="exact"/>
              <w:ind w:left="0" w:leftChars="0" w:right="0" w:rightChars="0" w:firstLine="0" w:firstLineChars="0"/>
              <w:textAlignment w:val="auto"/>
              <w:rPr>
                <w:color w:val="auto"/>
                <w:sz w:val="21"/>
                <w:szCs w:val="21"/>
                <w:highlight w:val="none"/>
                <w:shd w:val="clear" w:color="auto" w:fill="auto"/>
              </w:rPr>
            </w:pPr>
            <w:r>
              <w:rPr>
                <w:color w:val="auto"/>
                <w:sz w:val="21"/>
                <w:szCs w:val="21"/>
                <w:highlight w:val="none"/>
                <w:shd w:val="clear" w:color="auto" w:fill="auto"/>
              </w:rPr>
              <w:t>项目</w:t>
            </w:r>
            <w:r>
              <w:rPr>
                <w:rFonts w:hint="eastAsia"/>
                <w:color w:val="auto"/>
                <w:sz w:val="21"/>
                <w:szCs w:val="21"/>
                <w:highlight w:val="none"/>
                <w:shd w:val="clear" w:color="auto" w:fill="auto"/>
                <w:lang w:val="en-US" w:eastAsia="zh-CN"/>
              </w:rPr>
              <w:t>总工</w:t>
            </w:r>
            <w:r>
              <w:rPr>
                <w:color w:val="auto"/>
                <w:sz w:val="21"/>
                <w:szCs w:val="21"/>
                <w:highlight w:val="none"/>
                <w:shd w:val="clear" w:color="auto" w:fill="auto"/>
              </w:rPr>
              <w:t>任职资格</w:t>
            </w:r>
          </w:p>
        </w:tc>
        <w:tc>
          <w:tcPr>
            <w:tcW w:w="610" w:type="dxa"/>
            <w:noWrap w:val="0"/>
            <w:tcMar>
              <w:left w:w="28" w:type="dxa"/>
              <w:right w:w="28" w:type="dxa"/>
            </w:tcMar>
            <w:vAlign w:val="center"/>
          </w:tcPr>
          <w:p>
            <w:pPr>
              <w:keepNext w:val="0"/>
              <w:keepLines w:val="0"/>
              <w:pageBreakBefore w:val="0"/>
              <w:kinsoku/>
              <w:wordWrap/>
              <w:topLinePunct w:val="0"/>
              <w:bidi w:val="0"/>
              <w:adjustRightInd/>
              <w:snapToGrid/>
              <w:spacing w:line="360" w:lineRule="exact"/>
              <w:ind w:left="0" w:leftChars="0" w:right="0" w:rightChars="0" w:firstLine="0" w:firstLineChars="0"/>
              <w:jc w:val="center"/>
              <w:textAlignment w:val="auto"/>
              <w:rPr>
                <w:rFonts w:hint="default" w:eastAsia="宋体"/>
                <w:color w:val="auto"/>
                <w:sz w:val="21"/>
                <w:szCs w:val="21"/>
                <w:highlight w:val="none"/>
                <w:shd w:val="clear" w:color="auto" w:fill="auto"/>
                <w:lang w:val="en-US" w:eastAsia="zh-CN"/>
              </w:rPr>
            </w:pPr>
            <w:r>
              <w:rPr>
                <w:rFonts w:hint="eastAsia"/>
                <w:color w:val="auto"/>
                <w:sz w:val="21"/>
                <w:szCs w:val="21"/>
                <w:highlight w:val="none"/>
                <w:shd w:val="clear" w:color="auto" w:fill="auto"/>
                <w:lang w:val="en-US" w:eastAsia="zh-CN"/>
              </w:rPr>
              <w:t>15分</w:t>
            </w:r>
          </w:p>
        </w:tc>
        <w:tc>
          <w:tcPr>
            <w:tcW w:w="4077" w:type="dxa"/>
            <w:noWrap w:val="0"/>
            <w:tcMar>
              <w:left w:w="28" w:type="dxa"/>
              <w:right w:w="28" w:type="dxa"/>
            </w:tcMar>
            <w:vAlign w:val="center"/>
          </w:tcPr>
          <w:p>
            <w:pPr>
              <w:keepNext w:val="0"/>
              <w:keepLines w:val="0"/>
              <w:pageBreakBefore w:val="0"/>
              <w:widowControl/>
              <w:kinsoku/>
              <w:wordWrap/>
              <w:topLinePunct w:val="0"/>
              <w:bidi w:val="0"/>
              <w:adjustRightInd/>
              <w:snapToGrid/>
              <w:spacing w:line="360" w:lineRule="exact"/>
              <w:ind w:left="0" w:leftChars="0" w:right="0" w:rightChars="0" w:firstLine="0" w:firstLineChars="0"/>
              <w:textAlignment w:val="auto"/>
              <w:rPr>
                <w:rFonts w:hint="eastAsia"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满足招标</w:t>
            </w:r>
            <w:r>
              <w:rPr>
                <w:rFonts w:hint="eastAsia" w:ascii="Times New Roman" w:hAnsi="Times New Roman" w:eastAsia="宋体" w:cs="Times New Roman"/>
                <w:color w:val="auto"/>
                <w:sz w:val="21"/>
                <w:szCs w:val="21"/>
                <w:highlight w:val="none"/>
                <w:shd w:val="clear" w:color="auto" w:fill="auto"/>
                <w:lang w:val="en-US" w:eastAsia="zh-CN"/>
              </w:rPr>
              <w:t>文件项目总工</w:t>
            </w:r>
            <w:r>
              <w:rPr>
                <w:rFonts w:hint="default" w:ascii="Times New Roman" w:hAnsi="Times New Roman" w:eastAsia="宋体" w:cs="Times New Roman"/>
                <w:color w:val="auto"/>
                <w:sz w:val="21"/>
                <w:szCs w:val="21"/>
                <w:highlight w:val="none"/>
                <w:shd w:val="clear" w:color="auto" w:fill="auto"/>
                <w:lang w:val="en-US" w:eastAsia="zh-CN"/>
              </w:rPr>
              <w:t>资格审查</w:t>
            </w:r>
            <w:r>
              <w:rPr>
                <w:rFonts w:hint="eastAsia" w:ascii="Times New Roman" w:hAnsi="Times New Roman" w:eastAsia="宋体" w:cs="Times New Roman"/>
                <w:color w:val="auto"/>
                <w:sz w:val="21"/>
                <w:szCs w:val="21"/>
                <w:highlight w:val="none"/>
                <w:shd w:val="clear" w:color="auto" w:fill="auto"/>
                <w:lang w:val="en-US" w:eastAsia="zh-CN"/>
              </w:rPr>
              <w:t>最低</w:t>
            </w:r>
            <w:r>
              <w:rPr>
                <w:rFonts w:hint="default" w:ascii="Times New Roman" w:hAnsi="Times New Roman" w:eastAsia="宋体" w:cs="Times New Roman"/>
                <w:color w:val="auto"/>
                <w:sz w:val="21"/>
                <w:szCs w:val="21"/>
                <w:highlight w:val="none"/>
                <w:shd w:val="clear" w:color="auto" w:fill="auto"/>
                <w:lang w:val="en-US" w:eastAsia="zh-CN"/>
              </w:rPr>
              <w:t>要求，</w:t>
            </w:r>
            <w:r>
              <w:rPr>
                <w:rFonts w:hint="eastAsia" w:ascii="Times New Roman" w:hAnsi="Times New Roman" w:eastAsia="宋体" w:cs="Times New Roman"/>
                <w:color w:val="auto"/>
                <w:sz w:val="21"/>
                <w:szCs w:val="21"/>
                <w:highlight w:val="none"/>
                <w:shd w:val="clear" w:color="auto" w:fill="auto"/>
                <w:lang w:val="en-US" w:eastAsia="zh-CN"/>
              </w:rPr>
              <w:t>得</w:t>
            </w:r>
            <w:r>
              <w:rPr>
                <w:rFonts w:hint="default" w:ascii="Times New Roman" w:hAnsi="Times New Roman" w:eastAsia="宋体" w:cs="Times New Roman"/>
                <w:color w:val="auto"/>
                <w:sz w:val="21"/>
                <w:szCs w:val="21"/>
                <w:highlight w:val="none"/>
                <w:shd w:val="clear" w:color="auto" w:fill="auto"/>
                <w:lang w:val="en-US" w:eastAsia="zh-CN"/>
              </w:rPr>
              <w:t>1</w:t>
            </w:r>
            <w:r>
              <w:rPr>
                <w:rFonts w:hint="eastAsia" w:ascii="Times New Roman" w:hAnsi="Times New Roman" w:eastAsia="宋体" w:cs="Times New Roman"/>
                <w:color w:val="auto"/>
                <w:sz w:val="21"/>
                <w:szCs w:val="21"/>
                <w:highlight w:val="none"/>
                <w:shd w:val="clear" w:color="auto" w:fill="auto"/>
                <w:lang w:val="en-US" w:eastAsia="zh-CN"/>
              </w:rPr>
              <w:t>5</w:t>
            </w:r>
            <w:r>
              <w:rPr>
                <w:rFonts w:hint="default" w:ascii="Times New Roman" w:hAnsi="Times New Roman" w:eastAsia="宋体" w:cs="Times New Roman"/>
                <w:color w:val="auto"/>
                <w:sz w:val="21"/>
                <w:szCs w:val="21"/>
                <w:highlight w:val="none"/>
                <w:shd w:val="clear" w:color="auto" w:fill="auto"/>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31" w:type="dxa"/>
            <w:vMerge w:val="restart"/>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color w:val="auto"/>
                <w:sz w:val="21"/>
                <w:szCs w:val="21"/>
                <w:highlight w:val="none"/>
                <w:shd w:val="clear" w:color="auto" w:fill="auto"/>
              </w:rPr>
            </w:pPr>
            <w:r>
              <w:rPr>
                <w:color w:val="auto"/>
                <w:sz w:val="21"/>
                <w:szCs w:val="21"/>
                <w:highlight w:val="none"/>
                <w:shd w:val="clear" w:color="auto" w:fill="auto"/>
              </w:rPr>
              <w:t>2.2.2（</w:t>
            </w:r>
            <w:r>
              <w:rPr>
                <w:rFonts w:hint="eastAsia"/>
                <w:color w:val="auto"/>
                <w:sz w:val="21"/>
                <w:szCs w:val="21"/>
                <w:highlight w:val="none"/>
                <w:shd w:val="clear" w:color="auto" w:fill="auto"/>
                <w:lang w:val="en-US" w:eastAsia="zh-CN"/>
              </w:rPr>
              <w:t>3</w:t>
            </w:r>
            <w:r>
              <w:rPr>
                <w:color w:val="auto"/>
                <w:sz w:val="21"/>
                <w:szCs w:val="21"/>
                <w:highlight w:val="none"/>
                <w:shd w:val="clear" w:color="auto" w:fill="auto"/>
              </w:rPr>
              <w:t>）</w:t>
            </w:r>
          </w:p>
        </w:tc>
        <w:tc>
          <w:tcPr>
            <w:tcW w:w="442" w:type="dxa"/>
            <w:vMerge w:val="restart"/>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color w:val="auto"/>
                <w:sz w:val="21"/>
                <w:szCs w:val="21"/>
                <w:highlight w:val="none"/>
                <w:shd w:val="clear" w:color="auto" w:fill="auto"/>
              </w:rPr>
            </w:pPr>
            <w:r>
              <w:rPr>
                <w:color w:val="auto"/>
                <w:sz w:val="21"/>
                <w:szCs w:val="21"/>
                <w:highlight w:val="none"/>
                <w:shd w:val="clear" w:color="auto" w:fill="auto"/>
              </w:rPr>
              <w:t>其他因素</w:t>
            </w:r>
          </w:p>
          <w:p>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color w:val="auto"/>
                <w:sz w:val="21"/>
                <w:szCs w:val="21"/>
                <w:highlight w:val="none"/>
                <w:shd w:val="clear" w:color="auto" w:fill="auto"/>
              </w:rPr>
            </w:pPr>
          </w:p>
        </w:tc>
        <w:tc>
          <w:tcPr>
            <w:tcW w:w="552"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color w:val="auto"/>
                <w:sz w:val="21"/>
                <w:szCs w:val="21"/>
                <w:highlight w:val="none"/>
                <w:shd w:val="clear" w:color="auto" w:fill="auto"/>
              </w:rPr>
            </w:pPr>
            <w:r>
              <w:rPr>
                <w:rFonts w:hint="eastAsia"/>
                <w:color w:val="auto"/>
                <w:sz w:val="21"/>
                <w:szCs w:val="21"/>
                <w:highlight w:val="none"/>
                <w:shd w:val="clear" w:color="auto" w:fill="auto"/>
              </w:rPr>
              <w:t>单位业绩</w:t>
            </w:r>
          </w:p>
        </w:tc>
        <w:tc>
          <w:tcPr>
            <w:tcW w:w="925"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color w:val="auto"/>
                <w:sz w:val="21"/>
                <w:szCs w:val="21"/>
                <w:highlight w:val="none"/>
                <w:shd w:val="clear" w:color="auto" w:fill="auto"/>
              </w:rPr>
            </w:pPr>
            <w:r>
              <w:rPr>
                <w:rFonts w:hint="eastAsia"/>
                <w:color w:val="auto"/>
                <w:sz w:val="21"/>
                <w:szCs w:val="21"/>
                <w:highlight w:val="none"/>
                <w:shd w:val="clear" w:color="auto" w:fill="auto"/>
                <w:lang w:val="en-US" w:eastAsia="zh-CN"/>
              </w:rPr>
              <w:t>22</w:t>
            </w:r>
            <w:r>
              <w:rPr>
                <w:color w:val="auto"/>
                <w:sz w:val="21"/>
                <w:szCs w:val="21"/>
                <w:highlight w:val="none"/>
                <w:shd w:val="clear" w:color="auto" w:fill="auto"/>
              </w:rPr>
              <w:t>分</w:t>
            </w:r>
          </w:p>
        </w:tc>
        <w:tc>
          <w:tcPr>
            <w:tcW w:w="1394"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color w:val="auto"/>
                <w:sz w:val="21"/>
                <w:szCs w:val="21"/>
                <w:highlight w:val="none"/>
                <w:shd w:val="clear" w:color="auto" w:fill="auto"/>
              </w:rPr>
            </w:pPr>
            <w:r>
              <w:rPr>
                <w:rFonts w:hint="eastAsia"/>
                <w:color w:val="auto"/>
                <w:sz w:val="21"/>
                <w:szCs w:val="21"/>
                <w:highlight w:val="none"/>
                <w:shd w:val="clear" w:color="auto" w:fill="auto"/>
              </w:rPr>
              <w:t>单位业绩</w:t>
            </w:r>
          </w:p>
        </w:tc>
        <w:tc>
          <w:tcPr>
            <w:tcW w:w="610" w:type="dxa"/>
            <w:noWrap w:val="0"/>
            <w:tcMar>
              <w:left w:w="28"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Times New Roman" w:hAnsi="Times New Roman" w:eastAsia="宋体" w:cs="Times New Roman"/>
                <w:color w:val="auto"/>
                <w:sz w:val="21"/>
                <w:szCs w:val="21"/>
                <w:highlight w:val="none"/>
                <w:shd w:val="clear" w:color="auto" w:fill="auto"/>
              </w:rPr>
            </w:pPr>
            <w:r>
              <w:rPr>
                <w:rFonts w:hint="eastAsia" w:ascii="Times New Roman" w:hAnsi="Times New Roman" w:eastAsia="宋体" w:cs="Times New Roman"/>
                <w:color w:val="auto"/>
                <w:sz w:val="21"/>
                <w:szCs w:val="21"/>
                <w:highlight w:val="none"/>
                <w:u w:val="none"/>
                <w:shd w:val="clear" w:color="auto" w:fill="auto"/>
                <w:lang w:val="en-US" w:eastAsia="zh-CN"/>
              </w:rPr>
              <w:t>22</w:t>
            </w:r>
            <w:r>
              <w:rPr>
                <w:rFonts w:hint="eastAsia" w:ascii="Times New Roman" w:hAnsi="Times New Roman" w:eastAsia="宋体" w:cs="Times New Roman"/>
                <w:color w:val="auto"/>
                <w:sz w:val="21"/>
                <w:szCs w:val="21"/>
                <w:highlight w:val="none"/>
                <w:shd w:val="clear" w:color="auto" w:fill="auto"/>
              </w:rPr>
              <w:t>分</w:t>
            </w:r>
          </w:p>
        </w:tc>
        <w:tc>
          <w:tcPr>
            <w:tcW w:w="4077" w:type="dxa"/>
            <w:noWrap w:val="0"/>
            <w:tcMar>
              <w:left w:w="28" w:type="dxa"/>
              <w:right w:w="28" w:type="dxa"/>
            </w:tcMar>
            <w:vAlign w:val="center"/>
          </w:tcPr>
          <w:p>
            <w:pPr>
              <w:keepNext w:val="0"/>
              <w:keepLines w:val="0"/>
              <w:pageBreakBefore w:val="0"/>
              <w:widowControl/>
              <w:kinsoku/>
              <w:wordWrap/>
              <w:topLinePunct w:val="0"/>
              <w:bidi w:val="0"/>
              <w:adjustRightInd/>
              <w:snapToGrid/>
              <w:spacing w:line="360" w:lineRule="exact"/>
              <w:ind w:left="0" w:leftChars="0" w:right="0" w:rightChars="0" w:firstLine="0" w:firstLineChars="0"/>
              <w:textAlignment w:val="auto"/>
              <w:rPr>
                <w:rFonts w:hint="default" w:ascii="Times New Roman" w:hAnsi="Times New Roman" w:eastAsia="宋体" w:cs="Times New Roman"/>
                <w:color w:val="auto"/>
                <w:sz w:val="21"/>
                <w:szCs w:val="21"/>
                <w:highlight w:val="none"/>
                <w:shd w:val="clear" w:color="auto" w:fill="auto"/>
              </w:rPr>
            </w:pPr>
            <w:r>
              <w:rPr>
                <w:rFonts w:hint="eastAsia" w:ascii="Times New Roman" w:hAnsi="Times New Roman" w:eastAsia="宋体" w:cs="Times New Roman"/>
                <w:color w:val="auto"/>
                <w:sz w:val="21"/>
                <w:szCs w:val="21"/>
                <w:highlight w:val="none"/>
                <w:shd w:val="clear" w:color="auto" w:fill="auto"/>
                <w:lang w:val="en-US" w:eastAsia="zh-CN"/>
              </w:rPr>
              <w:t>投标人近五年每独立完成过</w:t>
            </w:r>
            <w:r>
              <w:rPr>
                <w:rFonts w:hint="default"/>
                <w:color w:val="auto"/>
                <w:sz w:val="21"/>
                <w:szCs w:val="21"/>
                <w:highlight w:val="none"/>
                <w:shd w:val="clear" w:color="auto" w:fill="auto"/>
                <w:lang w:val="en-US" w:eastAsia="zh-CN"/>
              </w:rPr>
              <w:t>1项</w:t>
            </w:r>
            <w:r>
              <w:rPr>
                <w:rFonts w:hint="eastAsia"/>
                <w:color w:val="auto"/>
                <w:sz w:val="21"/>
                <w:szCs w:val="21"/>
                <w:highlight w:val="none"/>
                <w:shd w:val="clear" w:color="auto" w:fill="auto"/>
                <w:lang w:val="en-US" w:eastAsia="zh-CN"/>
              </w:rPr>
              <w:t>合同额不小于1000万元的</w:t>
            </w:r>
            <w:r>
              <w:rPr>
                <w:rFonts w:hint="eastAsia" w:ascii="Times New Roman" w:hAnsi="Times New Roman" w:eastAsia="宋体" w:cs="Times New Roman"/>
                <w:color w:val="auto"/>
                <w:sz w:val="21"/>
                <w:szCs w:val="21"/>
                <w:highlight w:val="none"/>
                <w:shd w:val="clear" w:color="auto" w:fill="auto"/>
                <w:lang w:val="en-US" w:eastAsia="zh-CN"/>
              </w:rPr>
              <w:t>高速公路</w:t>
            </w:r>
            <w:r>
              <w:rPr>
                <w:rFonts w:hint="eastAsia"/>
                <w:color w:val="auto"/>
                <w:sz w:val="21"/>
                <w:szCs w:val="21"/>
                <w:highlight w:val="none"/>
                <w:shd w:val="clear" w:color="auto" w:fill="auto"/>
                <w:lang w:val="en-US" w:eastAsia="zh-CN"/>
              </w:rPr>
              <w:t>交通安全设施专项工程施工</w:t>
            </w:r>
            <w:r>
              <w:rPr>
                <w:rFonts w:hint="eastAsia" w:ascii="Times New Roman" w:hAnsi="Times New Roman" w:eastAsia="宋体" w:cs="Times New Roman"/>
                <w:color w:val="auto"/>
                <w:sz w:val="21"/>
                <w:szCs w:val="21"/>
                <w:highlight w:val="none"/>
                <w:shd w:val="clear" w:color="auto" w:fill="auto"/>
                <w:lang w:val="en-US" w:eastAsia="zh-CN"/>
              </w:rPr>
              <w:t>业</w:t>
            </w:r>
            <w:bookmarkStart w:id="45" w:name="_GoBack"/>
            <w:bookmarkEnd w:id="45"/>
            <w:r>
              <w:rPr>
                <w:rFonts w:hint="eastAsia" w:ascii="Times New Roman" w:hAnsi="Times New Roman" w:eastAsia="宋体" w:cs="Times New Roman"/>
                <w:color w:val="auto"/>
                <w:sz w:val="21"/>
                <w:szCs w:val="21"/>
                <w:highlight w:val="none"/>
                <w:shd w:val="clear" w:color="auto" w:fill="auto"/>
                <w:lang w:val="en-US" w:eastAsia="zh-CN"/>
              </w:rPr>
              <w:t>绩</w:t>
            </w:r>
            <w:r>
              <w:rPr>
                <w:rFonts w:hint="eastAsia"/>
                <w:color w:val="auto"/>
                <w:sz w:val="21"/>
                <w:szCs w:val="21"/>
                <w:highlight w:val="none"/>
                <w:shd w:val="clear" w:color="auto" w:fill="auto"/>
                <w:lang w:val="en-US" w:eastAsia="zh-CN"/>
              </w:rPr>
              <w:t>（或交安工程建安费</w:t>
            </w:r>
            <w:r>
              <w:rPr>
                <w:rFonts w:hint="default"/>
                <w:color w:val="auto"/>
                <w:sz w:val="21"/>
                <w:szCs w:val="21"/>
                <w:highlight w:val="none"/>
                <w:shd w:val="clear" w:color="auto" w:fill="auto"/>
                <w:lang w:val="en-US" w:eastAsia="zh-CN"/>
              </w:rPr>
              <w:t>大于</w:t>
            </w:r>
            <w:r>
              <w:rPr>
                <w:rFonts w:hint="eastAsia"/>
                <w:color w:val="auto"/>
                <w:sz w:val="21"/>
                <w:szCs w:val="21"/>
                <w:highlight w:val="none"/>
                <w:shd w:val="clear" w:color="auto" w:fill="auto"/>
                <w:lang w:val="en-US" w:eastAsia="zh-CN"/>
              </w:rPr>
              <w:t>1000万</w:t>
            </w:r>
            <w:r>
              <w:rPr>
                <w:rFonts w:hint="default"/>
                <w:color w:val="auto"/>
                <w:sz w:val="21"/>
                <w:szCs w:val="21"/>
                <w:highlight w:val="none"/>
                <w:shd w:val="clear" w:color="auto" w:fill="auto"/>
                <w:lang w:val="en-US" w:eastAsia="zh-CN"/>
              </w:rPr>
              <w:t>元的</w:t>
            </w:r>
            <w:r>
              <w:rPr>
                <w:rFonts w:hint="eastAsia"/>
                <w:color w:val="auto"/>
                <w:sz w:val="21"/>
                <w:szCs w:val="21"/>
                <w:highlight w:val="none"/>
                <w:shd w:val="clear" w:color="auto" w:fill="auto"/>
                <w:lang w:val="en-US" w:eastAsia="zh-CN"/>
              </w:rPr>
              <w:t>高速公路施工总承包业绩）</w:t>
            </w:r>
            <w:r>
              <w:rPr>
                <w:rFonts w:hint="eastAsia" w:ascii="Times New Roman" w:hAnsi="Times New Roman" w:eastAsia="宋体" w:cs="Times New Roman"/>
                <w:color w:val="auto"/>
                <w:sz w:val="21"/>
                <w:szCs w:val="21"/>
                <w:highlight w:val="none"/>
                <w:shd w:val="clear" w:color="auto" w:fill="auto"/>
                <w:lang w:val="en-US" w:eastAsia="zh-CN"/>
              </w:rPr>
              <w:t>，得22分，本项最高得22分。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31" w:type="dxa"/>
            <w:vMerge w:val="continue"/>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color w:val="auto"/>
                <w:sz w:val="21"/>
                <w:szCs w:val="21"/>
                <w:highlight w:val="none"/>
                <w:shd w:val="clear" w:color="auto" w:fill="auto"/>
              </w:rPr>
            </w:pPr>
          </w:p>
        </w:tc>
        <w:tc>
          <w:tcPr>
            <w:tcW w:w="442" w:type="dxa"/>
            <w:vMerge w:val="continue"/>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color w:val="auto"/>
                <w:sz w:val="21"/>
                <w:szCs w:val="21"/>
                <w:highlight w:val="none"/>
                <w:shd w:val="clear" w:color="auto" w:fill="auto"/>
              </w:rPr>
            </w:pPr>
          </w:p>
        </w:tc>
        <w:tc>
          <w:tcPr>
            <w:tcW w:w="552"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eastAsia="宋体"/>
                <w:color w:val="auto"/>
                <w:sz w:val="21"/>
                <w:szCs w:val="21"/>
                <w:highlight w:val="none"/>
                <w:shd w:val="clear" w:color="auto" w:fill="auto"/>
                <w:lang w:val="en-US" w:eastAsia="zh-CN"/>
              </w:rPr>
            </w:pPr>
            <w:r>
              <w:rPr>
                <w:rFonts w:hint="eastAsia"/>
                <w:color w:val="auto"/>
                <w:sz w:val="21"/>
                <w:szCs w:val="21"/>
                <w:highlight w:val="none"/>
                <w:shd w:val="clear" w:color="auto" w:fill="auto"/>
                <w:lang w:val="en-US" w:eastAsia="zh-CN"/>
              </w:rPr>
              <w:t>履约信誉</w:t>
            </w:r>
          </w:p>
        </w:tc>
        <w:tc>
          <w:tcPr>
            <w:tcW w:w="925"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eastAsia="宋体"/>
                <w:color w:val="auto"/>
                <w:sz w:val="21"/>
                <w:szCs w:val="21"/>
                <w:highlight w:val="none"/>
                <w:shd w:val="clear" w:color="auto" w:fill="auto"/>
                <w:lang w:val="en-US" w:eastAsia="zh-CN"/>
              </w:rPr>
            </w:pPr>
            <w:r>
              <w:rPr>
                <w:rFonts w:hint="eastAsia"/>
                <w:color w:val="auto"/>
                <w:sz w:val="21"/>
                <w:szCs w:val="21"/>
                <w:highlight w:val="none"/>
                <w:shd w:val="clear" w:color="auto" w:fill="auto"/>
                <w:lang w:val="en-US" w:eastAsia="zh-CN"/>
              </w:rPr>
              <w:t>3分</w:t>
            </w:r>
          </w:p>
        </w:tc>
        <w:tc>
          <w:tcPr>
            <w:tcW w:w="1394"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eastAsia="宋体"/>
                <w:color w:val="auto"/>
                <w:sz w:val="21"/>
                <w:szCs w:val="21"/>
                <w:highlight w:val="none"/>
                <w:shd w:val="clear" w:color="auto" w:fill="auto"/>
                <w:lang w:val="en-US" w:eastAsia="zh-CN"/>
              </w:rPr>
            </w:pPr>
            <w:r>
              <w:rPr>
                <w:rFonts w:hint="eastAsia"/>
                <w:color w:val="auto"/>
                <w:sz w:val="21"/>
                <w:szCs w:val="21"/>
                <w:highlight w:val="none"/>
                <w:shd w:val="clear" w:color="auto" w:fill="auto"/>
                <w:lang w:val="en-US" w:eastAsia="zh-CN"/>
              </w:rPr>
              <w:t>信用评价等级</w:t>
            </w:r>
          </w:p>
        </w:tc>
        <w:tc>
          <w:tcPr>
            <w:tcW w:w="610"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eastAsia="宋体"/>
                <w:color w:val="auto"/>
                <w:sz w:val="21"/>
                <w:szCs w:val="21"/>
                <w:highlight w:val="none"/>
                <w:shd w:val="clear" w:color="auto" w:fill="auto"/>
                <w:lang w:val="en-US" w:eastAsia="zh-CN"/>
              </w:rPr>
            </w:pPr>
            <w:r>
              <w:rPr>
                <w:rFonts w:hint="eastAsia"/>
                <w:color w:val="auto"/>
                <w:sz w:val="21"/>
                <w:szCs w:val="21"/>
                <w:highlight w:val="none"/>
                <w:shd w:val="clear" w:color="auto" w:fill="auto"/>
                <w:lang w:val="en-US" w:eastAsia="zh-CN"/>
              </w:rPr>
              <w:t>3分</w:t>
            </w:r>
          </w:p>
        </w:tc>
        <w:tc>
          <w:tcPr>
            <w:tcW w:w="4077" w:type="dxa"/>
            <w:noWrap w:val="0"/>
            <w:tcMar>
              <w:left w:w="28" w:type="dxa"/>
              <w:right w:w="28" w:type="dxa"/>
            </w:tcMar>
            <w:vAlign w:val="center"/>
          </w:tcPr>
          <w:p>
            <w:pPr>
              <w:keepNext w:val="0"/>
              <w:keepLines w:val="0"/>
              <w:pageBreakBefore w:val="0"/>
              <w:kinsoku/>
              <w:wordWrap/>
              <w:topLinePunct w:val="0"/>
              <w:bidi w:val="0"/>
              <w:adjustRightInd/>
              <w:snapToGrid/>
              <w:spacing w:line="360" w:lineRule="exact"/>
              <w:ind w:left="0" w:leftChars="0" w:right="0" w:rightChars="0" w:firstLine="0" w:firstLineChars="0"/>
              <w:textAlignment w:val="auto"/>
              <w:rPr>
                <w:rFonts w:hint="default" w:ascii="Calibri" w:hAnsi="Calibri" w:eastAsia="宋体" w:cs="Times New Roman"/>
                <w:color w:val="auto"/>
                <w:sz w:val="21"/>
                <w:szCs w:val="21"/>
                <w:highlight w:val="none"/>
                <w:shd w:val="clear" w:color="auto" w:fill="auto"/>
                <w:lang w:val="en-US" w:eastAsia="zh-CN"/>
              </w:rPr>
            </w:pPr>
            <w:r>
              <w:rPr>
                <w:rFonts w:hint="eastAsia" w:ascii="Calibri" w:hAnsi="Calibri" w:eastAsia="宋体" w:cs="Times New Roman"/>
                <w:color w:val="auto"/>
                <w:sz w:val="21"/>
                <w:szCs w:val="21"/>
                <w:highlight w:val="none"/>
                <w:shd w:val="clear" w:color="auto" w:fill="auto"/>
                <w:lang w:eastAsia="zh-CN"/>
              </w:rPr>
              <w:t>（</w:t>
            </w:r>
            <w:r>
              <w:rPr>
                <w:rFonts w:hint="eastAsia" w:ascii="Calibri" w:hAnsi="Calibri" w:eastAsia="宋体" w:cs="Times New Roman"/>
                <w:color w:val="auto"/>
                <w:sz w:val="21"/>
                <w:szCs w:val="21"/>
                <w:highlight w:val="none"/>
                <w:shd w:val="clear" w:color="auto" w:fill="auto"/>
                <w:lang w:val="en-US" w:eastAsia="zh-CN"/>
              </w:rPr>
              <w:t>1</w:t>
            </w:r>
            <w:r>
              <w:rPr>
                <w:rFonts w:hint="eastAsia" w:ascii="Calibri" w:hAnsi="Calibri" w:eastAsia="宋体" w:cs="Times New Roman"/>
                <w:color w:val="auto"/>
                <w:sz w:val="21"/>
                <w:szCs w:val="21"/>
                <w:highlight w:val="none"/>
                <w:shd w:val="clear" w:color="auto" w:fill="auto"/>
                <w:lang w:eastAsia="zh-CN"/>
              </w:rPr>
              <w:t>）</w:t>
            </w:r>
            <w:r>
              <w:rPr>
                <w:rFonts w:hint="eastAsia" w:ascii="Calibri" w:hAnsi="Calibri" w:eastAsia="宋体" w:cs="Times New Roman"/>
                <w:color w:val="auto"/>
                <w:sz w:val="21"/>
                <w:szCs w:val="21"/>
                <w:highlight w:val="none"/>
                <w:shd w:val="clear" w:color="auto" w:fill="auto"/>
                <w:lang w:val="en-US" w:eastAsia="zh-CN"/>
              </w:rPr>
              <w:t>满足信誉最低资格要求的得1.5分；</w:t>
            </w:r>
          </w:p>
          <w:p>
            <w:pPr>
              <w:keepNext w:val="0"/>
              <w:keepLines w:val="0"/>
              <w:pageBreakBefore w:val="0"/>
              <w:kinsoku/>
              <w:wordWrap/>
              <w:topLinePunct w:val="0"/>
              <w:bidi w:val="0"/>
              <w:adjustRightInd/>
              <w:snapToGrid/>
              <w:spacing w:line="360" w:lineRule="exact"/>
              <w:ind w:left="0" w:leftChars="0" w:right="0" w:rightChars="0" w:firstLine="0" w:firstLineChars="0"/>
              <w:textAlignment w:val="auto"/>
              <w:rPr>
                <w:rFonts w:ascii="宋体" w:hAnsi="宋体" w:eastAsia="宋体" w:cs="Times New Roman"/>
                <w:color w:val="auto"/>
                <w:sz w:val="21"/>
                <w:szCs w:val="21"/>
                <w:highlight w:val="none"/>
                <w:shd w:val="clear" w:color="auto" w:fill="auto"/>
              </w:rPr>
            </w:pPr>
            <w:r>
              <w:rPr>
                <w:rFonts w:hint="eastAsia" w:ascii="Calibri" w:hAnsi="Calibri" w:eastAsia="宋体" w:cs="Times New Roman"/>
                <w:color w:val="auto"/>
                <w:sz w:val="21"/>
                <w:szCs w:val="21"/>
                <w:highlight w:val="none"/>
                <w:shd w:val="clear" w:color="auto" w:fill="auto"/>
                <w:lang w:eastAsia="zh-CN"/>
              </w:rPr>
              <w:t>（</w:t>
            </w:r>
            <w:r>
              <w:rPr>
                <w:rFonts w:hint="eastAsia" w:ascii="Calibri" w:hAnsi="Calibri" w:eastAsia="宋体" w:cs="Times New Roman"/>
                <w:color w:val="auto"/>
                <w:sz w:val="21"/>
                <w:szCs w:val="21"/>
                <w:highlight w:val="none"/>
                <w:shd w:val="clear" w:color="auto" w:fill="auto"/>
                <w:lang w:val="en-US" w:eastAsia="zh-CN"/>
              </w:rPr>
              <w:t>2</w:t>
            </w:r>
            <w:r>
              <w:rPr>
                <w:rFonts w:hint="eastAsia" w:ascii="Calibri" w:hAnsi="Calibri" w:eastAsia="宋体" w:cs="Times New Roman"/>
                <w:color w:val="auto"/>
                <w:sz w:val="21"/>
                <w:szCs w:val="21"/>
                <w:highlight w:val="none"/>
                <w:shd w:val="clear" w:color="auto" w:fill="auto"/>
                <w:lang w:eastAsia="zh-CN"/>
              </w:rPr>
              <w:t>）</w:t>
            </w:r>
            <w:r>
              <w:rPr>
                <w:rFonts w:hint="eastAsia" w:ascii="Calibri" w:hAnsi="Calibri" w:eastAsia="宋体" w:cs="Times New Roman"/>
                <w:color w:val="auto"/>
                <w:sz w:val="21"/>
                <w:szCs w:val="21"/>
                <w:highlight w:val="none"/>
                <w:shd w:val="clear" w:color="auto" w:fill="auto"/>
                <w:lang w:val="en-US" w:eastAsia="zh-CN"/>
              </w:rPr>
              <w:t>在信誉最低资格要去的基础上，</w:t>
            </w:r>
            <w:r>
              <w:rPr>
                <w:rFonts w:hint="eastAsia" w:ascii="Calibri" w:hAnsi="Calibri" w:eastAsia="宋体" w:cs="Times New Roman"/>
                <w:color w:val="auto"/>
                <w:sz w:val="21"/>
                <w:szCs w:val="21"/>
                <w:highlight w:val="none"/>
                <w:shd w:val="clear" w:color="auto" w:fill="auto"/>
              </w:rPr>
              <w:t>投标人最新信用</w:t>
            </w:r>
            <w:r>
              <w:rPr>
                <w:rFonts w:hint="eastAsia" w:ascii="Calibri" w:hAnsi="Calibri" w:eastAsia="宋体" w:cs="Times New Roman"/>
                <w:color w:val="auto"/>
                <w:sz w:val="21"/>
                <w:szCs w:val="21"/>
                <w:highlight w:val="none"/>
                <w:shd w:val="clear" w:color="auto" w:fill="auto"/>
                <w:lang w:val="en-US" w:eastAsia="zh-CN"/>
              </w:rPr>
              <w:t>评价</w:t>
            </w:r>
            <w:r>
              <w:rPr>
                <w:rFonts w:hint="eastAsia" w:ascii="Calibri" w:hAnsi="Calibri" w:eastAsia="宋体" w:cs="Times New Roman"/>
                <w:color w:val="auto"/>
                <w:sz w:val="21"/>
                <w:szCs w:val="21"/>
                <w:highlight w:val="none"/>
                <w:shd w:val="clear" w:color="auto" w:fill="auto"/>
              </w:rPr>
              <w:t>评分</w:t>
            </w:r>
            <w:r>
              <w:rPr>
                <w:rFonts w:hint="eastAsia" w:ascii="宋体" w:hAnsi="宋体" w:eastAsia="宋体" w:cs="Times New Roman"/>
                <w:color w:val="auto"/>
                <w:sz w:val="21"/>
                <w:szCs w:val="21"/>
                <w:highlight w:val="none"/>
                <w:shd w:val="clear" w:color="auto" w:fill="auto"/>
              </w:rPr>
              <w:t>根据下述规定取值：</w:t>
            </w:r>
          </w:p>
          <w:tbl>
            <w:tblPr>
              <w:tblStyle w:val="19"/>
              <w:tblW w:w="3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6"/>
              <w:gridCol w:w="523"/>
              <w:gridCol w:w="527"/>
              <w:gridCol w:w="550"/>
              <w:gridCol w:w="392"/>
              <w:gridCol w:w="666"/>
              <w:gridCol w:w="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jc w:val="center"/>
              </w:trPr>
              <w:tc>
                <w:tcPr>
                  <w:tcW w:w="1149" w:type="dxa"/>
                  <w:gridSpan w:val="2"/>
                  <w:tcBorders>
                    <w:top w:val="single" w:color="auto" w:sz="4" w:space="0"/>
                    <w:left w:val="single" w:color="auto" w:sz="4" w:space="0"/>
                    <w:bottom w:val="single" w:color="auto" w:sz="4" w:space="0"/>
                    <w:right w:val="single" w:color="auto" w:sz="4" w:space="0"/>
                  </w:tcBorders>
                  <w:noWrap w:val="0"/>
                  <w:vAlign w:val="center"/>
                </w:tcPr>
                <w:p>
                  <w:pPr>
                    <w:pStyle w:val="34"/>
                    <w:keepNext w:val="0"/>
                    <w:keepLines w:val="0"/>
                    <w:pageBreakBefore w:val="0"/>
                    <w:kinsoku/>
                    <w:wordWrap/>
                    <w:overflowPunct/>
                    <w:topLinePunct w:val="0"/>
                    <w:bidi w:val="0"/>
                    <w:snapToGrid/>
                    <w:spacing w:line="360" w:lineRule="exact"/>
                    <w:ind w:left="0" w:firstLine="0"/>
                    <w:jc w:val="center"/>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AA</w:t>
                  </w:r>
                </w:p>
              </w:tc>
              <w:tc>
                <w:tcPr>
                  <w:tcW w:w="1077" w:type="dxa"/>
                  <w:gridSpan w:val="2"/>
                  <w:tcBorders>
                    <w:top w:val="single" w:color="auto" w:sz="4" w:space="0"/>
                    <w:left w:val="single" w:color="auto" w:sz="4" w:space="0"/>
                    <w:bottom w:val="single" w:color="auto" w:sz="4" w:space="0"/>
                    <w:right w:val="single" w:color="auto" w:sz="4" w:space="0"/>
                  </w:tcBorders>
                  <w:noWrap w:val="0"/>
                  <w:vAlign w:val="center"/>
                </w:tcPr>
                <w:p>
                  <w:pPr>
                    <w:pStyle w:val="34"/>
                    <w:keepNext w:val="0"/>
                    <w:keepLines w:val="0"/>
                    <w:pageBreakBefore w:val="0"/>
                    <w:kinsoku/>
                    <w:wordWrap/>
                    <w:overflowPunct/>
                    <w:topLinePunct w:val="0"/>
                    <w:bidi w:val="0"/>
                    <w:snapToGrid/>
                    <w:spacing w:line="360" w:lineRule="exact"/>
                    <w:ind w:left="0" w:firstLine="0"/>
                    <w:jc w:val="center"/>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A</w:t>
                  </w:r>
                </w:p>
              </w:tc>
              <w:tc>
                <w:tcPr>
                  <w:tcW w:w="392" w:type="dxa"/>
                  <w:tcBorders>
                    <w:top w:val="single" w:color="auto" w:sz="4" w:space="0"/>
                    <w:left w:val="single" w:color="auto" w:sz="4" w:space="0"/>
                    <w:bottom w:val="single" w:color="auto" w:sz="4" w:space="0"/>
                    <w:right w:val="single" w:color="auto" w:sz="4" w:space="0"/>
                  </w:tcBorders>
                  <w:noWrap w:val="0"/>
                  <w:vAlign w:val="center"/>
                </w:tcPr>
                <w:p>
                  <w:pPr>
                    <w:pStyle w:val="34"/>
                    <w:keepNext w:val="0"/>
                    <w:keepLines w:val="0"/>
                    <w:pageBreakBefore w:val="0"/>
                    <w:kinsoku/>
                    <w:wordWrap/>
                    <w:overflowPunct/>
                    <w:topLinePunct w:val="0"/>
                    <w:bidi w:val="0"/>
                    <w:snapToGrid/>
                    <w:spacing w:line="360" w:lineRule="exact"/>
                    <w:ind w:left="0" w:leftChars="0" w:firstLine="0" w:firstLineChars="0"/>
                    <w:jc w:val="center"/>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B</w:t>
                  </w:r>
                </w:p>
              </w:tc>
              <w:tc>
                <w:tcPr>
                  <w:tcW w:w="1201" w:type="dxa"/>
                  <w:gridSpan w:val="2"/>
                  <w:tcBorders>
                    <w:top w:val="single" w:color="auto" w:sz="4" w:space="0"/>
                    <w:left w:val="single" w:color="auto" w:sz="4" w:space="0"/>
                    <w:bottom w:val="single" w:color="auto" w:sz="4" w:space="0"/>
                    <w:right w:val="single" w:color="auto" w:sz="4" w:space="0"/>
                  </w:tcBorders>
                  <w:noWrap w:val="0"/>
                  <w:vAlign w:val="center"/>
                </w:tcPr>
                <w:p>
                  <w:pPr>
                    <w:pStyle w:val="34"/>
                    <w:keepNext w:val="0"/>
                    <w:keepLines w:val="0"/>
                    <w:pageBreakBefore w:val="0"/>
                    <w:kinsoku/>
                    <w:wordWrap/>
                    <w:overflowPunct/>
                    <w:topLinePunct w:val="0"/>
                    <w:bidi w:val="0"/>
                    <w:snapToGrid/>
                    <w:spacing w:line="360" w:lineRule="exact"/>
                    <w:ind w:left="0" w:firstLine="0"/>
                    <w:jc w:val="center"/>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626" w:type="dxa"/>
                  <w:tcBorders>
                    <w:top w:val="single" w:color="auto" w:sz="4" w:space="0"/>
                    <w:left w:val="single" w:color="auto" w:sz="4" w:space="0"/>
                    <w:bottom w:val="single" w:color="auto" w:sz="4" w:space="0"/>
                    <w:right w:val="single" w:color="auto" w:sz="4" w:space="0"/>
                  </w:tcBorders>
                  <w:noWrap w:val="0"/>
                  <w:vAlign w:val="center"/>
                </w:tcPr>
                <w:p>
                  <w:pPr>
                    <w:pStyle w:val="34"/>
                    <w:keepNext w:val="0"/>
                    <w:keepLines w:val="0"/>
                    <w:pageBreakBefore w:val="0"/>
                    <w:kinsoku/>
                    <w:wordWrap/>
                    <w:overflowPunct/>
                    <w:topLinePunct w:val="0"/>
                    <w:bidi w:val="0"/>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专业</w:t>
                  </w:r>
                </w:p>
                <w:p>
                  <w:pPr>
                    <w:pStyle w:val="34"/>
                    <w:keepNext w:val="0"/>
                    <w:keepLines w:val="0"/>
                    <w:pageBreakBefore w:val="0"/>
                    <w:kinsoku/>
                    <w:wordWrap/>
                    <w:overflowPunct/>
                    <w:topLinePunct w:val="0"/>
                    <w:bidi w:val="0"/>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评价</w:t>
                  </w:r>
                </w:p>
              </w:tc>
              <w:tc>
                <w:tcPr>
                  <w:tcW w:w="523" w:type="dxa"/>
                  <w:tcBorders>
                    <w:top w:val="single" w:color="auto" w:sz="4" w:space="0"/>
                    <w:left w:val="single" w:color="auto" w:sz="4" w:space="0"/>
                    <w:bottom w:val="single" w:color="auto" w:sz="4" w:space="0"/>
                    <w:right w:val="single" w:color="auto" w:sz="4" w:space="0"/>
                  </w:tcBorders>
                  <w:noWrap w:val="0"/>
                  <w:vAlign w:val="center"/>
                </w:tcPr>
                <w:p>
                  <w:pPr>
                    <w:pStyle w:val="34"/>
                    <w:keepNext w:val="0"/>
                    <w:keepLines w:val="0"/>
                    <w:pageBreakBefore w:val="0"/>
                    <w:kinsoku/>
                    <w:wordWrap/>
                    <w:overflowPunct/>
                    <w:topLinePunct w:val="0"/>
                    <w:bidi w:val="0"/>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综合</w:t>
                  </w:r>
                </w:p>
                <w:p>
                  <w:pPr>
                    <w:pStyle w:val="34"/>
                    <w:keepNext w:val="0"/>
                    <w:keepLines w:val="0"/>
                    <w:pageBreakBefore w:val="0"/>
                    <w:kinsoku/>
                    <w:wordWrap/>
                    <w:overflowPunct/>
                    <w:topLinePunct w:val="0"/>
                    <w:bidi w:val="0"/>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评价</w:t>
                  </w:r>
                </w:p>
              </w:tc>
              <w:tc>
                <w:tcPr>
                  <w:tcW w:w="527" w:type="dxa"/>
                  <w:tcBorders>
                    <w:top w:val="single" w:color="auto" w:sz="4" w:space="0"/>
                    <w:left w:val="single" w:color="auto" w:sz="4" w:space="0"/>
                    <w:bottom w:val="single" w:color="auto" w:sz="4" w:space="0"/>
                    <w:right w:val="single" w:color="auto" w:sz="4" w:space="0"/>
                  </w:tcBorders>
                  <w:noWrap w:val="0"/>
                  <w:vAlign w:val="center"/>
                </w:tcPr>
                <w:p>
                  <w:pPr>
                    <w:pStyle w:val="34"/>
                    <w:keepNext w:val="0"/>
                    <w:keepLines w:val="0"/>
                    <w:pageBreakBefore w:val="0"/>
                    <w:kinsoku/>
                    <w:wordWrap/>
                    <w:overflowPunct/>
                    <w:topLinePunct w:val="0"/>
                    <w:bidi w:val="0"/>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专业</w:t>
                  </w:r>
                </w:p>
                <w:p>
                  <w:pPr>
                    <w:pStyle w:val="34"/>
                    <w:keepNext w:val="0"/>
                    <w:keepLines w:val="0"/>
                    <w:pageBreakBefore w:val="0"/>
                    <w:kinsoku/>
                    <w:wordWrap/>
                    <w:overflowPunct/>
                    <w:topLinePunct w:val="0"/>
                    <w:bidi w:val="0"/>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评价</w:t>
                  </w:r>
                </w:p>
              </w:tc>
              <w:tc>
                <w:tcPr>
                  <w:tcW w:w="550" w:type="dxa"/>
                  <w:tcBorders>
                    <w:top w:val="single" w:color="auto" w:sz="4" w:space="0"/>
                    <w:left w:val="single" w:color="auto" w:sz="4" w:space="0"/>
                    <w:bottom w:val="single" w:color="auto" w:sz="4" w:space="0"/>
                    <w:right w:val="single" w:color="auto" w:sz="4" w:space="0"/>
                  </w:tcBorders>
                  <w:noWrap w:val="0"/>
                  <w:vAlign w:val="center"/>
                </w:tcPr>
                <w:p>
                  <w:pPr>
                    <w:pStyle w:val="34"/>
                    <w:keepNext w:val="0"/>
                    <w:keepLines w:val="0"/>
                    <w:pageBreakBefore w:val="0"/>
                    <w:kinsoku/>
                    <w:wordWrap/>
                    <w:overflowPunct/>
                    <w:topLinePunct w:val="0"/>
                    <w:bidi w:val="0"/>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综合</w:t>
                  </w:r>
                </w:p>
                <w:p>
                  <w:pPr>
                    <w:pStyle w:val="34"/>
                    <w:keepNext w:val="0"/>
                    <w:keepLines w:val="0"/>
                    <w:pageBreakBefore w:val="0"/>
                    <w:kinsoku/>
                    <w:wordWrap/>
                    <w:overflowPunct/>
                    <w:topLinePunct w:val="0"/>
                    <w:bidi w:val="0"/>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评价</w:t>
                  </w:r>
                </w:p>
              </w:tc>
              <w:tc>
                <w:tcPr>
                  <w:tcW w:w="392" w:type="dxa"/>
                  <w:tcBorders>
                    <w:top w:val="single" w:color="auto" w:sz="4" w:space="0"/>
                    <w:left w:val="single" w:color="auto" w:sz="4" w:space="0"/>
                    <w:bottom w:val="single" w:color="auto" w:sz="4" w:space="0"/>
                    <w:right w:val="single" w:color="auto" w:sz="4" w:space="0"/>
                  </w:tcBorders>
                  <w:noWrap w:val="0"/>
                  <w:vAlign w:val="center"/>
                </w:tcPr>
                <w:p>
                  <w:pPr>
                    <w:pStyle w:val="34"/>
                    <w:keepNext w:val="0"/>
                    <w:keepLines w:val="0"/>
                    <w:pageBreakBefore w:val="0"/>
                    <w:kinsoku/>
                    <w:wordWrap/>
                    <w:overflowPunct/>
                    <w:topLinePunct w:val="0"/>
                    <w:bidi w:val="0"/>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c>
                <w:tcPr>
                  <w:tcW w:w="666" w:type="dxa"/>
                  <w:tcBorders>
                    <w:top w:val="single" w:color="auto" w:sz="4" w:space="0"/>
                    <w:left w:val="single" w:color="auto" w:sz="4" w:space="0"/>
                    <w:bottom w:val="single" w:color="auto" w:sz="4" w:space="0"/>
                    <w:right w:val="single" w:color="auto" w:sz="4" w:space="0"/>
                  </w:tcBorders>
                  <w:noWrap w:val="0"/>
                  <w:vAlign w:val="center"/>
                </w:tcPr>
                <w:p>
                  <w:pPr>
                    <w:pStyle w:val="34"/>
                    <w:keepNext w:val="0"/>
                    <w:keepLines w:val="0"/>
                    <w:pageBreakBefore w:val="0"/>
                    <w:kinsoku/>
                    <w:wordWrap/>
                    <w:overflowPunct/>
                    <w:topLinePunct w:val="0"/>
                    <w:bidi w:val="0"/>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专业</w:t>
                  </w:r>
                </w:p>
                <w:p>
                  <w:pPr>
                    <w:pStyle w:val="34"/>
                    <w:keepNext w:val="0"/>
                    <w:keepLines w:val="0"/>
                    <w:pageBreakBefore w:val="0"/>
                    <w:kinsoku/>
                    <w:wordWrap/>
                    <w:overflowPunct/>
                    <w:topLinePunct w:val="0"/>
                    <w:bidi w:val="0"/>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评价</w:t>
                  </w:r>
                </w:p>
              </w:tc>
              <w:tc>
                <w:tcPr>
                  <w:tcW w:w="535" w:type="dxa"/>
                  <w:tcBorders>
                    <w:top w:val="single" w:color="auto" w:sz="4" w:space="0"/>
                    <w:left w:val="single" w:color="auto" w:sz="4" w:space="0"/>
                    <w:bottom w:val="single" w:color="auto" w:sz="4" w:space="0"/>
                    <w:right w:val="single" w:color="auto" w:sz="4" w:space="0"/>
                  </w:tcBorders>
                  <w:noWrap w:val="0"/>
                  <w:vAlign w:val="center"/>
                </w:tcPr>
                <w:p>
                  <w:pPr>
                    <w:pStyle w:val="34"/>
                    <w:keepNext w:val="0"/>
                    <w:keepLines w:val="0"/>
                    <w:pageBreakBefore w:val="0"/>
                    <w:kinsoku/>
                    <w:wordWrap/>
                    <w:overflowPunct/>
                    <w:topLinePunct w:val="0"/>
                    <w:bidi w:val="0"/>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综合</w:t>
                  </w:r>
                </w:p>
                <w:p>
                  <w:pPr>
                    <w:pStyle w:val="34"/>
                    <w:keepNext w:val="0"/>
                    <w:keepLines w:val="0"/>
                    <w:pageBreakBefore w:val="0"/>
                    <w:kinsoku/>
                    <w:wordWrap/>
                    <w:overflowPunct/>
                    <w:topLinePunct w:val="0"/>
                    <w:bidi w:val="0"/>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8" w:hRule="exact"/>
                <w:jc w:val="center"/>
              </w:trPr>
              <w:tc>
                <w:tcPr>
                  <w:tcW w:w="626" w:type="dxa"/>
                  <w:tcBorders>
                    <w:top w:val="single" w:color="auto" w:sz="4" w:space="0"/>
                    <w:left w:val="single" w:color="auto" w:sz="4" w:space="0"/>
                    <w:bottom w:val="single" w:color="auto" w:sz="4" w:space="0"/>
                    <w:right w:val="single" w:color="auto" w:sz="4" w:space="0"/>
                  </w:tcBorders>
                  <w:noWrap w:val="0"/>
                  <w:vAlign w:val="center"/>
                </w:tcPr>
                <w:p>
                  <w:pPr>
                    <w:pStyle w:val="34"/>
                    <w:keepNext w:val="0"/>
                    <w:keepLines w:val="0"/>
                    <w:pageBreakBefore w:val="0"/>
                    <w:kinsoku/>
                    <w:wordWrap/>
                    <w:overflowPunct/>
                    <w:topLinePunct w:val="0"/>
                    <w:bidi w:val="0"/>
                    <w:snapToGrid/>
                    <w:spacing w:line="360" w:lineRule="exact"/>
                    <w:ind w:left="0" w:leftChars="0" w:firstLine="0" w:firstLineChars="0"/>
                    <w:jc w:val="both"/>
                    <w:textAlignment w:val="auto"/>
                    <w:rPr>
                      <w:rFonts w:hint="default"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rPr>
                    <w:t>+</w:t>
                  </w:r>
                  <w:r>
                    <w:rPr>
                      <w:rFonts w:hint="eastAsia" w:ascii="宋体" w:hAnsi="宋体" w:eastAsia="宋体" w:cs="宋体"/>
                      <w:bCs/>
                      <w:color w:val="auto"/>
                      <w:sz w:val="18"/>
                      <w:szCs w:val="18"/>
                      <w:highlight w:val="none"/>
                      <w:lang w:val="en-US" w:eastAsia="zh-CN"/>
                    </w:rPr>
                    <w:t>1.5</w:t>
                  </w:r>
                </w:p>
              </w:tc>
              <w:tc>
                <w:tcPr>
                  <w:tcW w:w="523" w:type="dxa"/>
                  <w:tcBorders>
                    <w:top w:val="single" w:color="auto" w:sz="4" w:space="0"/>
                    <w:left w:val="single" w:color="auto" w:sz="4" w:space="0"/>
                    <w:bottom w:val="single" w:color="auto" w:sz="4" w:space="0"/>
                    <w:right w:val="single" w:color="auto" w:sz="4" w:space="0"/>
                  </w:tcBorders>
                  <w:noWrap w:val="0"/>
                  <w:vAlign w:val="center"/>
                </w:tcPr>
                <w:p>
                  <w:pPr>
                    <w:pStyle w:val="34"/>
                    <w:keepNext w:val="0"/>
                    <w:keepLines w:val="0"/>
                    <w:pageBreakBefore w:val="0"/>
                    <w:kinsoku/>
                    <w:wordWrap/>
                    <w:overflowPunct/>
                    <w:topLinePunct w:val="0"/>
                    <w:bidi w:val="0"/>
                    <w:snapToGrid/>
                    <w:spacing w:line="360" w:lineRule="exact"/>
                    <w:ind w:left="0" w:leftChars="0" w:firstLine="0" w:firstLineChars="0"/>
                    <w:jc w:val="both"/>
                    <w:textAlignment w:val="auto"/>
                    <w:rPr>
                      <w:rFonts w:hint="default"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rPr>
                    <w:t>+</w:t>
                  </w:r>
                  <w:r>
                    <w:rPr>
                      <w:rFonts w:hint="eastAsia" w:ascii="宋体" w:hAnsi="宋体" w:eastAsia="宋体" w:cs="宋体"/>
                      <w:bCs/>
                      <w:color w:val="auto"/>
                      <w:sz w:val="18"/>
                      <w:szCs w:val="18"/>
                      <w:highlight w:val="none"/>
                      <w:lang w:val="en-US" w:eastAsia="zh-CN"/>
                    </w:rPr>
                    <w:t>0.8</w:t>
                  </w:r>
                </w:p>
              </w:tc>
              <w:tc>
                <w:tcPr>
                  <w:tcW w:w="527" w:type="dxa"/>
                  <w:tcBorders>
                    <w:top w:val="single" w:color="auto" w:sz="4" w:space="0"/>
                    <w:left w:val="single" w:color="auto" w:sz="4" w:space="0"/>
                    <w:bottom w:val="single" w:color="auto" w:sz="4" w:space="0"/>
                    <w:right w:val="single" w:color="auto" w:sz="4" w:space="0"/>
                  </w:tcBorders>
                  <w:noWrap w:val="0"/>
                  <w:vAlign w:val="center"/>
                </w:tcPr>
                <w:p>
                  <w:pPr>
                    <w:pStyle w:val="34"/>
                    <w:keepNext w:val="0"/>
                    <w:keepLines w:val="0"/>
                    <w:pageBreakBefore w:val="0"/>
                    <w:kinsoku/>
                    <w:wordWrap/>
                    <w:overflowPunct/>
                    <w:topLinePunct w:val="0"/>
                    <w:bidi w:val="0"/>
                    <w:snapToGrid/>
                    <w:spacing w:line="360" w:lineRule="exact"/>
                    <w:ind w:left="0" w:leftChars="0" w:firstLine="0" w:firstLineChars="0"/>
                    <w:jc w:val="both"/>
                    <w:textAlignment w:val="auto"/>
                    <w:rPr>
                      <w:rFonts w:hint="default"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rPr>
                    <w:t>+</w:t>
                  </w:r>
                  <w:r>
                    <w:rPr>
                      <w:rFonts w:hint="eastAsia" w:ascii="宋体" w:hAnsi="宋体" w:eastAsia="宋体" w:cs="宋体"/>
                      <w:bCs/>
                      <w:color w:val="auto"/>
                      <w:sz w:val="18"/>
                      <w:szCs w:val="18"/>
                      <w:highlight w:val="none"/>
                      <w:lang w:val="en-US" w:eastAsia="zh-CN"/>
                    </w:rPr>
                    <w:t>0.8</w:t>
                  </w:r>
                </w:p>
              </w:tc>
              <w:tc>
                <w:tcPr>
                  <w:tcW w:w="550" w:type="dxa"/>
                  <w:tcBorders>
                    <w:top w:val="single" w:color="auto" w:sz="4" w:space="0"/>
                    <w:left w:val="single" w:color="auto" w:sz="4" w:space="0"/>
                    <w:bottom w:val="single" w:color="auto" w:sz="4" w:space="0"/>
                    <w:right w:val="single" w:color="auto" w:sz="4" w:space="0"/>
                  </w:tcBorders>
                  <w:noWrap w:val="0"/>
                  <w:vAlign w:val="center"/>
                </w:tcPr>
                <w:p>
                  <w:pPr>
                    <w:pStyle w:val="34"/>
                    <w:keepNext w:val="0"/>
                    <w:keepLines w:val="0"/>
                    <w:pageBreakBefore w:val="0"/>
                    <w:kinsoku/>
                    <w:wordWrap/>
                    <w:overflowPunct/>
                    <w:topLinePunct w:val="0"/>
                    <w:bidi w:val="0"/>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rPr>
                    <w:t>+0.</w:t>
                  </w:r>
                  <w:r>
                    <w:rPr>
                      <w:rFonts w:hint="eastAsia" w:ascii="宋体" w:hAnsi="宋体" w:eastAsia="宋体" w:cs="宋体"/>
                      <w:bCs/>
                      <w:color w:val="auto"/>
                      <w:sz w:val="18"/>
                      <w:szCs w:val="18"/>
                      <w:highlight w:val="none"/>
                      <w:lang w:val="en-US" w:eastAsia="zh-CN"/>
                    </w:rPr>
                    <w:t>5</w:t>
                  </w:r>
                </w:p>
              </w:tc>
              <w:tc>
                <w:tcPr>
                  <w:tcW w:w="392" w:type="dxa"/>
                  <w:tcBorders>
                    <w:top w:val="single" w:color="auto" w:sz="4" w:space="0"/>
                    <w:left w:val="single" w:color="auto" w:sz="4" w:space="0"/>
                    <w:bottom w:val="single" w:color="auto" w:sz="4" w:space="0"/>
                    <w:right w:val="single" w:color="auto" w:sz="4" w:space="0"/>
                  </w:tcBorders>
                  <w:noWrap w:val="0"/>
                  <w:vAlign w:val="center"/>
                </w:tcPr>
                <w:p>
                  <w:pPr>
                    <w:pStyle w:val="34"/>
                    <w:keepNext w:val="0"/>
                    <w:keepLines w:val="0"/>
                    <w:pageBreakBefore w:val="0"/>
                    <w:kinsoku/>
                    <w:wordWrap/>
                    <w:overflowPunct/>
                    <w:topLinePunct w:val="0"/>
                    <w:bidi w:val="0"/>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0</w:t>
                  </w:r>
                </w:p>
              </w:tc>
              <w:tc>
                <w:tcPr>
                  <w:tcW w:w="666" w:type="dxa"/>
                  <w:tcBorders>
                    <w:top w:val="single" w:color="auto" w:sz="4" w:space="0"/>
                    <w:left w:val="single" w:color="auto" w:sz="4" w:space="0"/>
                    <w:bottom w:val="single" w:color="auto" w:sz="4" w:space="0"/>
                    <w:right w:val="single" w:color="auto" w:sz="4" w:space="0"/>
                  </w:tcBorders>
                  <w:noWrap w:val="0"/>
                  <w:vAlign w:val="center"/>
                </w:tcPr>
                <w:p>
                  <w:pPr>
                    <w:pStyle w:val="34"/>
                    <w:keepNext w:val="0"/>
                    <w:keepLines w:val="0"/>
                    <w:pageBreakBefore w:val="0"/>
                    <w:kinsoku/>
                    <w:wordWrap/>
                    <w:overflowPunct/>
                    <w:topLinePunct w:val="0"/>
                    <w:bidi w:val="0"/>
                    <w:snapToGrid/>
                    <w:spacing w:line="360" w:lineRule="exact"/>
                    <w:ind w:left="0" w:leftChars="0" w:firstLine="0" w:firstLineChars="0"/>
                    <w:jc w:val="both"/>
                    <w:textAlignment w:val="auto"/>
                    <w:rPr>
                      <w:rFonts w:hint="default"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rPr>
                    <w:t>-</w:t>
                  </w:r>
                  <w:r>
                    <w:rPr>
                      <w:rFonts w:hint="eastAsia" w:ascii="宋体" w:hAnsi="宋体" w:eastAsia="宋体" w:cs="宋体"/>
                      <w:bCs/>
                      <w:color w:val="auto"/>
                      <w:sz w:val="18"/>
                      <w:szCs w:val="18"/>
                      <w:highlight w:val="none"/>
                      <w:lang w:val="en-US" w:eastAsia="zh-CN"/>
                    </w:rPr>
                    <w:t>1.5</w:t>
                  </w:r>
                </w:p>
              </w:tc>
              <w:tc>
                <w:tcPr>
                  <w:tcW w:w="535" w:type="dxa"/>
                  <w:tcBorders>
                    <w:top w:val="single" w:color="auto" w:sz="4" w:space="0"/>
                    <w:left w:val="single" w:color="auto" w:sz="4" w:space="0"/>
                    <w:bottom w:val="single" w:color="auto" w:sz="4" w:space="0"/>
                    <w:right w:val="single" w:color="auto" w:sz="4" w:space="0"/>
                  </w:tcBorders>
                  <w:noWrap w:val="0"/>
                  <w:vAlign w:val="center"/>
                </w:tcPr>
                <w:p>
                  <w:pPr>
                    <w:pStyle w:val="34"/>
                    <w:keepNext w:val="0"/>
                    <w:keepLines w:val="0"/>
                    <w:pageBreakBefore w:val="0"/>
                    <w:kinsoku/>
                    <w:wordWrap/>
                    <w:overflowPunct/>
                    <w:topLinePunct w:val="0"/>
                    <w:bidi w:val="0"/>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-1.5</w:t>
                  </w:r>
                </w:p>
              </w:tc>
            </w:tr>
          </w:tbl>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eastAsia"/>
                <w:color w:val="auto"/>
                <w:sz w:val="21"/>
                <w:szCs w:val="21"/>
                <w:highlight w:val="none"/>
                <w:shd w:val="clear" w:color="auto" w:fill="auto"/>
              </w:rPr>
            </w:pPr>
            <w:r>
              <w:rPr>
                <w:rFonts w:hint="eastAsia" w:ascii="Calibri" w:hAnsi="Calibri" w:eastAsia="宋体" w:cs="Times New Roman"/>
                <w:b/>
                <w:bCs/>
                <w:color w:val="auto"/>
                <w:sz w:val="21"/>
                <w:szCs w:val="21"/>
                <w:highlight w:val="none"/>
                <w:shd w:val="clear" w:color="auto" w:fill="auto"/>
                <w:lang w:val="en-US" w:eastAsia="zh-CN"/>
              </w:rPr>
              <w:t>注：引用上表时，投标人最新信用的引用按照招标文件第二章投标人须知第10.7款规定引用，专业评价指“交安专业”</w:t>
            </w:r>
            <w:r>
              <w:rPr>
                <w:rFonts w:hint="eastAsia" w:ascii="Calibri" w:hAnsi="Calibri" w:eastAsia="宋体" w:cs="Times New Roman"/>
                <w:b/>
                <w:bCs/>
                <w:color w:val="auto"/>
                <w:sz w:val="21"/>
                <w:szCs w:val="21"/>
                <w:highlight w:val="none"/>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1" w:type="dxa"/>
            <w:gridSpan w:val="7"/>
            <w:noWrap w:val="0"/>
            <w:tcMar>
              <w:left w:w="28" w:type="dxa"/>
              <w:right w:w="28" w:type="dxa"/>
            </w:tcMar>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color w:val="auto"/>
                <w:highlight w:val="none"/>
              </w:rPr>
            </w:pPr>
            <w:r>
              <w:rPr>
                <w:color w:val="auto"/>
                <w:highlight w:val="none"/>
              </w:rPr>
              <w:t>需要补充的其他内容：</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b/>
                <w:bCs/>
                <w:color w:val="auto"/>
                <w:highlight w:val="none"/>
              </w:rPr>
            </w:pPr>
            <w:r>
              <w:rPr>
                <w:rFonts w:hint="eastAsia"/>
                <w:b/>
                <w:bCs/>
                <w:color w:val="auto"/>
                <w:highlight w:val="none"/>
              </w:rPr>
              <w:t>3.2.2项细化为：</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color w:val="auto"/>
                <w:highlight w:val="none"/>
              </w:rPr>
            </w:pPr>
            <w:r>
              <w:rPr>
                <w:rFonts w:hint="eastAsia"/>
                <w:b/>
                <w:bCs/>
                <w:color w:val="auto"/>
                <w:highlight w:val="none"/>
              </w:rPr>
              <w:t xml:space="preserve">3.2.2 </w:t>
            </w:r>
            <w:r>
              <w:rPr>
                <w:rFonts w:hint="eastAsia"/>
                <w:color w:val="auto"/>
                <w:highlight w:val="none"/>
              </w:rPr>
              <w:t>投标人的商务和技术得分分值计算保留小数点后两位，小数点后第三位“四舍五入”，投标人的施工组织设计部分的得分以评标委员会各成员评分</w:t>
            </w:r>
            <w:r>
              <w:rPr>
                <w:rFonts w:hint="eastAsia"/>
                <w:color w:val="auto"/>
                <w:highlight w:val="none"/>
                <w:lang w:val="en-US" w:eastAsia="zh-CN"/>
              </w:rPr>
              <w:t>去掉一个最高和最低分后</w:t>
            </w:r>
            <w:r>
              <w:rPr>
                <w:rFonts w:hint="eastAsia"/>
                <w:color w:val="auto"/>
                <w:highlight w:val="none"/>
              </w:rPr>
              <w:t>的算术平均值确定。</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b/>
                <w:bCs/>
                <w:color w:val="auto"/>
                <w:highlight w:val="none"/>
              </w:rPr>
            </w:pPr>
            <w:r>
              <w:rPr>
                <w:rFonts w:hint="eastAsia"/>
                <w:b/>
                <w:bCs/>
                <w:color w:val="auto"/>
                <w:highlight w:val="none"/>
              </w:rPr>
              <w:t>3.3 第二个信封开标补充以下内容</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color w:val="auto"/>
                <w:highlight w:val="none"/>
              </w:rPr>
            </w:pPr>
            <w:r>
              <w:rPr>
                <w:rFonts w:hint="eastAsia"/>
                <w:color w:val="auto"/>
                <w:highlight w:val="none"/>
              </w:rPr>
              <w:t>第二个信封开标结束后，如评标委员会经复核确认第一个信封（商务及技术文件）评审结果有误，评标委员会有权根据招标文件评标办法规定的评审标准对第一信封评审结果进行修正。</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b/>
                <w:bCs/>
                <w:color w:val="auto"/>
                <w:highlight w:val="none"/>
              </w:rPr>
            </w:pPr>
            <w:r>
              <w:rPr>
                <w:rFonts w:hint="eastAsia"/>
                <w:b/>
                <w:bCs/>
                <w:color w:val="auto"/>
                <w:highlight w:val="none"/>
              </w:rPr>
              <w:t>3.6.1项细化为：</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color w:val="auto"/>
                <w:highlight w:val="none"/>
              </w:rPr>
            </w:pPr>
            <w:r>
              <w:rPr>
                <w:rFonts w:hint="eastAsia"/>
                <w:color w:val="auto"/>
                <w:highlight w:val="none"/>
              </w:rPr>
              <w:t>在评标过程中，评标委员会应查询交通运输主管部门“公路建设市场信用信息管理系统”或审查投标文件中提供的证明文件，对投标人的资质、业绩、主要人员资历和目前在岗情况、信用等级等信息进行核实。若投标文件载明的信息与交通运输主管部门“公路建设市场信用信息管理系统”发布的信息或与招标文件规定不符，使得投标人的资格条件不符合招标文件规定的，评标委员会应否决其投标。</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Times New Roman" w:hAnsi="Times New Roman" w:eastAsia="宋体" w:cs="Times New Roman"/>
                <w:color w:val="auto"/>
                <w:highlight w:val="none"/>
              </w:rPr>
            </w:pPr>
            <w:r>
              <w:rPr>
                <w:rFonts w:hint="eastAsia"/>
                <w:b/>
                <w:bCs/>
                <w:color w:val="auto"/>
                <w:highlight w:val="none"/>
              </w:rPr>
              <w:t xml:space="preserve">3.9.4 </w:t>
            </w:r>
            <w:r>
              <w:rPr>
                <w:rFonts w:hint="eastAsia"/>
                <w:color w:val="auto"/>
                <w:highlight w:val="none"/>
              </w:rPr>
              <w:t>除评标价、履约信誉（含业绩）、主要人员等评分项外，评标委员会成员对投标人商务和技术各项因素的评分一般不得低于招标文件规定该因素满分值的60%；评分低于满分值60%的，评标委员会成员应当在评标报告中作出说明。施工组织设计部分评分因素得分应以评标委员会各</w:t>
            </w:r>
            <w:r>
              <w:rPr>
                <w:rFonts w:hint="eastAsia" w:ascii="Times New Roman" w:hAnsi="Times New Roman" w:eastAsia="宋体" w:cs="Times New Roman"/>
                <w:color w:val="auto"/>
                <w:highlight w:val="none"/>
              </w:rPr>
              <w:t>成员的打分平均值确定，评标委员会成员总数为7人以上时，该平均值以去掉1个最高分和1个最低分后计算。</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注：</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 xml:space="preserve"> 按照《贵州省高速公路设计施工企业信用评价实施细则（试行）》（黔交建设〔2016〕279号）及《贵州省交通运输厅关于高速公路设计施工企业信用评价结果引用的补充通知》（黔交建设〔2016〕291号）的规定，投标人的最新信用评价等级按以下顺序对应引用：</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（1）贵州省交通运输厅公布的贵州省最新年度高速公路施工企业信用评价结果；</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（2）交通运输部公布的最新年度施工企业信用评价结果；</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（3）投标人注册地交通运输厅（局、委）公布的最新年施工企业度信用评价结果；</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以上同一优先级中，投标专业对应的专业评价优先于不分专业的综合评价，综合评价优先于非投标专业对应的专业评价，本次招标对应的专业评价为“交安专业”，当同一投标人出现多个非投标专业的其他专业评价等级时，按有利于投标人的原则引用；引用投标单位注册地交通运输厅（委）的信用评价等级时，其专业评价包含的实际范围与贵州省交通主管部门的评价专业范围完全一致的，按照专业评价引用，否则按综合评价引用；在交通运输部或省级交通运输主管部门新一年度的信用评价结果公布前，上一年度对应的评价即为最新的信用评价。</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（4）无上述机构的信用评价等级时，其信用评价等级按以下原则确定：</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a. 没有发现不良信用记录的，按综合评价Ａ级对待；</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b. 有一般不良记录的，按B级对待；</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c. 仅有1次达到直接定为D级不良记录的，或仅有2次达到直接定为C级不良记录的，按C级对待；</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d. 发生直接定为D级不良记录超过1次的，或直接定为C级不良记录超过2次的，或直接定为D、C级不良记录合计2次的，按D级对待。</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eastAsia="宋体"/>
                <w:color w:val="auto"/>
                <w:highlight w:val="none"/>
                <w:lang w:val="en-US" w:eastAsia="zh-CN"/>
              </w:rPr>
            </w:pPr>
            <w:r>
              <w:rPr>
                <w:rFonts w:hint="eastAsia" w:ascii="Times New Roman" w:hAnsi="Times New Roman" w:eastAsia="宋体" w:cs="Times New Roman"/>
                <w:color w:val="auto"/>
                <w:highlight w:val="none"/>
                <w:lang w:val="en-US" w:eastAsia="zh-CN"/>
              </w:rPr>
              <w:t>不良信用记录的认定须符合交通运输部、省交通运输主管部门的规定。</w:t>
            </w:r>
          </w:p>
        </w:tc>
      </w:tr>
    </w:tbl>
    <w:p>
      <w:pPr>
        <w:pStyle w:val="18"/>
        <w:ind w:left="0" w:leftChars="0" w:firstLine="0" w:firstLineChars="0"/>
        <w:rPr>
          <w:rFonts w:hint="default"/>
          <w:b/>
          <w:bCs/>
          <w:sz w:val="36"/>
          <w:szCs w:val="32"/>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207"/>
        </w:tabs>
        <w:bidi w:val="0"/>
        <w:jc w:val="left"/>
        <w:rPr>
          <w:rFonts w:hint="eastAsia"/>
          <w:lang w:val="en-US" w:eastAsia="zh-CN"/>
        </w:rPr>
      </w:pPr>
      <w:r>
        <w:rPr>
          <w:rFonts w:hint="eastAsia"/>
          <w:lang w:val="en-US" w:eastAsia="zh-CN"/>
        </w:rPr>
        <w:tab/>
      </w:r>
    </w:p>
    <w:p>
      <w:pPr>
        <w:keepNext/>
        <w:keepLines/>
        <w:widowControl w:val="0"/>
        <w:spacing w:before="240" w:after="240" w:line="240" w:lineRule="atLeast"/>
        <w:jc w:val="both"/>
        <w:outlineLvl w:val="0"/>
        <w:rPr>
          <w:rFonts w:ascii="Times New Roman" w:hAnsi="Times New Roman" w:eastAsia="黑体" w:cs="Times New Roman"/>
          <w:b w:val="0"/>
          <w:bCs/>
          <w:color w:val="auto"/>
          <w:kern w:val="44"/>
          <w:sz w:val="28"/>
          <w:szCs w:val="28"/>
          <w:highlight w:val="none"/>
          <w:shd w:val="clear" w:color="auto" w:fill="auto"/>
          <w:lang w:val="zh-CN" w:eastAsia="zh-CN" w:bidi="ar-SA"/>
        </w:rPr>
      </w:pPr>
      <w:bookmarkStart w:id="17" w:name="_Toc3969"/>
      <w:bookmarkStart w:id="18" w:name="_Toc501257142"/>
      <w:r>
        <w:rPr>
          <w:rFonts w:ascii="Times New Roman" w:hAnsi="Times New Roman" w:eastAsia="黑体" w:cs="Times New Roman"/>
          <w:b w:val="0"/>
          <w:bCs/>
          <w:color w:val="auto"/>
          <w:kern w:val="44"/>
          <w:sz w:val="28"/>
          <w:szCs w:val="28"/>
          <w:highlight w:val="none"/>
          <w:shd w:val="clear" w:color="auto" w:fill="auto"/>
          <w:lang w:val="zh-CN" w:eastAsia="zh-CN" w:bidi="ar-SA"/>
        </w:rPr>
        <w:t>1. 评标方法</w:t>
      </w:r>
      <w:bookmarkEnd w:id="17"/>
      <w:bookmarkEnd w:id="18"/>
    </w:p>
    <w:p>
      <w:pPr>
        <w:spacing w:line="400" w:lineRule="atLeast"/>
        <w:ind w:left="0" w:firstLine="480" w:firstLineChars="200"/>
        <w:rPr>
          <w:rFonts w:ascii="Times New Roman" w:hAnsi="Times New Roman" w:eastAsia="隶书" w:cs="Times New Roman"/>
          <w:color w:val="auto"/>
          <w:sz w:val="24"/>
          <w:szCs w:val="24"/>
          <w:highlight w:val="none"/>
          <w:shd w:val="clear" w:color="auto" w:fill="auto"/>
        </w:rPr>
      </w:pPr>
      <w:r>
        <w:rPr>
          <w:rFonts w:ascii="Times New Roman" w:hAnsi="Times New Roman" w:eastAsia="隶书" w:cs="Times New Roman"/>
          <w:color w:val="auto"/>
          <w:sz w:val="24"/>
          <w:szCs w:val="24"/>
          <w:highlight w:val="none"/>
          <w:shd w:val="clear" w:color="auto" w:fill="auto"/>
        </w:rPr>
        <w:t>本次评标采用技术评分最低标价法。评标委员会对满足招标文件实质性要求的投标文件的施工组织设计、主要人员、技术能力等因素进行评分，按照得分由高到低排序，对排名在招标文件规定数量以内的投标人的报价文件进行评审，按照评标价由低到高的顺序推荐中标候选人，或根据招标人授权直接确定中标人，但投标报价低于其成本的除外。评标价相等时，评标委员会应按照评标办法前附表规定的优先次序推荐中标候选人或确定中标人。</w:t>
      </w:r>
    </w:p>
    <w:p>
      <w:pPr>
        <w:keepNext/>
        <w:keepLines/>
        <w:widowControl w:val="0"/>
        <w:spacing w:before="360" w:after="240" w:line="240" w:lineRule="atLeast"/>
        <w:jc w:val="both"/>
        <w:outlineLvl w:val="0"/>
        <w:rPr>
          <w:rFonts w:ascii="Times New Roman" w:hAnsi="Times New Roman" w:eastAsia="黑体" w:cs="Times New Roman"/>
          <w:b w:val="0"/>
          <w:bCs/>
          <w:color w:val="auto"/>
          <w:kern w:val="44"/>
          <w:sz w:val="28"/>
          <w:szCs w:val="28"/>
          <w:highlight w:val="none"/>
          <w:shd w:val="clear" w:color="auto" w:fill="auto"/>
          <w:lang w:val="zh-CN" w:eastAsia="zh-CN" w:bidi="ar-SA"/>
        </w:rPr>
      </w:pPr>
      <w:bookmarkStart w:id="19" w:name="_Toc8007"/>
      <w:bookmarkStart w:id="20" w:name="_Toc501257143"/>
      <w:r>
        <w:rPr>
          <w:rFonts w:ascii="Times New Roman" w:hAnsi="Times New Roman" w:eastAsia="黑体" w:cs="Times New Roman"/>
          <w:b w:val="0"/>
          <w:bCs/>
          <w:color w:val="auto"/>
          <w:kern w:val="44"/>
          <w:sz w:val="28"/>
          <w:szCs w:val="28"/>
          <w:highlight w:val="none"/>
          <w:shd w:val="clear" w:color="auto" w:fill="auto"/>
          <w:lang w:val="zh-CN" w:eastAsia="zh-CN" w:bidi="ar-SA"/>
        </w:rPr>
        <w:t>2. 评审标准</w:t>
      </w:r>
      <w:bookmarkEnd w:id="19"/>
      <w:bookmarkEnd w:id="20"/>
    </w:p>
    <w:p>
      <w:pPr>
        <w:keepNext/>
        <w:keepLines/>
        <w:widowControl w:val="0"/>
        <w:spacing w:before="240" w:after="240" w:line="240" w:lineRule="atLeast"/>
        <w:jc w:val="both"/>
        <w:outlineLvl w:val="0"/>
        <w:rPr>
          <w:rFonts w:ascii="Times New Roman" w:hAnsi="Times New Roman" w:eastAsia="黑体" w:cs="Times New Roman"/>
          <w:b w:val="0"/>
          <w:bCs/>
          <w:color w:val="auto"/>
          <w:kern w:val="44"/>
          <w:sz w:val="24"/>
          <w:szCs w:val="24"/>
          <w:highlight w:val="none"/>
          <w:shd w:val="clear" w:color="auto" w:fill="auto"/>
          <w:lang w:val="zh-CN" w:eastAsia="zh-CN" w:bidi="ar-SA"/>
        </w:rPr>
      </w:pPr>
      <w:bookmarkStart w:id="21" w:name="_Toc19950"/>
      <w:bookmarkStart w:id="22" w:name="_Toc501257144"/>
      <w:r>
        <w:rPr>
          <w:rFonts w:ascii="Times New Roman" w:hAnsi="Times New Roman" w:eastAsia="黑体" w:cs="Times New Roman"/>
          <w:b w:val="0"/>
          <w:bCs/>
          <w:color w:val="auto"/>
          <w:kern w:val="44"/>
          <w:sz w:val="24"/>
          <w:szCs w:val="24"/>
          <w:highlight w:val="none"/>
          <w:shd w:val="clear" w:color="auto" w:fill="auto"/>
          <w:lang w:val="zh-CN" w:eastAsia="zh-CN" w:bidi="ar-SA"/>
        </w:rPr>
        <w:t>2.1 初步评审标准</w:t>
      </w:r>
      <w:bookmarkEnd w:id="21"/>
      <w:bookmarkEnd w:id="22"/>
    </w:p>
    <w:p>
      <w:pPr>
        <w:spacing w:line="400" w:lineRule="atLeast"/>
        <w:ind w:left="0" w:firstLine="480" w:firstLineChars="200"/>
        <w:rPr>
          <w:rFonts w:ascii="Times New Roman" w:hAnsi="Times New Roman" w:eastAsia="宋体" w:cs="Times New Roman"/>
          <w:color w:val="auto"/>
          <w:sz w:val="24"/>
          <w:szCs w:val="24"/>
          <w:highlight w:val="none"/>
          <w:shd w:val="clear" w:color="auto" w:fill="auto"/>
        </w:rPr>
      </w:pPr>
      <w:r>
        <w:rPr>
          <w:rFonts w:ascii="Times New Roman" w:hAnsi="Times New Roman" w:eastAsia="宋体" w:cs="Times New Roman"/>
          <w:color w:val="auto"/>
          <w:sz w:val="24"/>
          <w:szCs w:val="24"/>
          <w:highlight w:val="none"/>
          <w:shd w:val="clear" w:color="auto" w:fill="auto"/>
        </w:rPr>
        <w:t>2.1.1 形式评审标准：见评标办法前附表。</w:t>
      </w:r>
    </w:p>
    <w:p>
      <w:pPr>
        <w:spacing w:line="400" w:lineRule="atLeast"/>
        <w:ind w:left="0" w:firstLine="480" w:firstLineChars="200"/>
        <w:rPr>
          <w:rFonts w:ascii="Times New Roman" w:hAnsi="Times New Roman" w:eastAsia="宋体" w:cs="Times New Roman"/>
          <w:color w:val="auto"/>
          <w:sz w:val="24"/>
          <w:szCs w:val="24"/>
          <w:highlight w:val="none"/>
          <w:shd w:val="clear" w:color="auto" w:fill="auto"/>
        </w:rPr>
      </w:pPr>
      <w:r>
        <w:rPr>
          <w:rFonts w:ascii="Times New Roman" w:hAnsi="Times New Roman" w:eastAsia="宋体" w:cs="Times New Roman"/>
          <w:color w:val="auto"/>
          <w:sz w:val="24"/>
          <w:szCs w:val="24"/>
          <w:highlight w:val="none"/>
          <w:shd w:val="clear" w:color="auto" w:fill="auto"/>
        </w:rPr>
        <w:t>2.1.2 资格评审标准：见评标办法前附表（适用于未进行资格预审的）。</w:t>
      </w:r>
    </w:p>
    <w:p>
      <w:pPr>
        <w:spacing w:line="400" w:lineRule="atLeast"/>
        <w:ind w:left="0" w:firstLine="480" w:firstLineChars="200"/>
        <w:rPr>
          <w:rFonts w:ascii="Times New Roman" w:hAnsi="Times New Roman" w:eastAsia="宋体" w:cs="Times New Roman"/>
          <w:color w:val="auto"/>
          <w:sz w:val="24"/>
          <w:szCs w:val="24"/>
          <w:highlight w:val="none"/>
          <w:shd w:val="clear" w:color="auto" w:fill="auto"/>
        </w:rPr>
      </w:pPr>
      <w:r>
        <w:rPr>
          <w:rFonts w:ascii="Times New Roman" w:hAnsi="Times New Roman" w:eastAsia="宋体" w:cs="Times New Roman"/>
          <w:color w:val="auto"/>
          <w:sz w:val="24"/>
          <w:szCs w:val="24"/>
          <w:highlight w:val="none"/>
          <w:shd w:val="clear" w:color="auto" w:fill="auto"/>
        </w:rPr>
        <w:t>2.1.2 资格评审标准：见资格预审文件第三章“资格审查办法”详细审查标准（适用于已进行资格预审的）。</w:t>
      </w:r>
    </w:p>
    <w:p>
      <w:pPr>
        <w:spacing w:line="400" w:lineRule="atLeast"/>
        <w:ind w:left="0" w:firstLine="480" w:firstLineChars="200"/>
        <w:rPr>
          <w:rFonts w:ascii="Times New Roman" w:hAnsi="Times New Roman" w:eastAsia="宋体" w:cs="Times New Roman"/>
          <w:color w:val="auto"/>
          <w:sz w:val="24"/>
          <w:szCs w:val="24"/>
          <w:highlight w:val="none"/>
          <w:shd w:val="clear" w:color="auto" w:fill="auto"/>
        </w:rPr>
      </w:pPr>
      <w:r>
        <w:rPr>
          <w:rFonts w:ascii="Times New Roman" w:hAnsi="Times New Roman" w:eastAsia="宋体" w:cs="Times New Roman"/>
          <w:color w:val="auto"/>
          <w:sz w:val="24"/>
          <w:szCs w:val="24"/>
          <w:highlight w:val="none"/>
          <w:shd w:val="clear" w:color="auto" w:fill="auto"/>
        </w:rPr>
        <w:t>2.1.3 响应性评审标准：见评标办法前附表。</w:t>
      </w:r>
    </w:p>
    <w:p>
      <w:pPr>
        <w:keepNext/>
        <w:keepLines/>
        <w:widowControl w:val="0"/>
        <w:spacing w:before="240" w:after="240" w:line="240" w:lineRule="atLeast"/>
        <w:jc w:val="both"/>
        <w:outlineLvl w:val="0"/>
        <w:rPr>
          <w:rFonts w:ascii="Times New Roman" w:hAnsi="Times New Roman" w:eastAsia="黑体" w:cs="Times New Roman"/>
          <w:b w:val="0"/>
          <w:bCs/>
          <w:color w:val="auto"/>
          <w:kern w:val="44"/>
          <w:sz w:val="24"/>
          <w:szCs w:val="24"/>
          <w:highlight w:val="none"/>
          <w:shd w:val="clear" w:color="auto" w:fill="auto"/>
          <w:lang w:val="zh-CN" w:eastAsia="zh-CN" w:bidi="ar-SA"/>
        </w:rPr>
      </w:pPr>
      <w:bookmarkStart w:id="23" w:name="_Toc14784"/>
      <w:bookmarkStart w:id="24" w:name="_Toc501257145"/>
      <w:r>
        <w:rPr>
          <w:rFonts w:ascii="Times New Roman" w:hAnsi="Times New Roman" w:eastAsia="黑体" w:cs="Times New Roman"/>
          <w:b w:val="0"/>
          <w:bCs/>
          <w:color w:val="auto"/>
          <w:kern w:val="44"/>
          <w:sz w:val="24"/>
          <w:szCs w:val="24"/>
          <w:highlight w:val="none"/>
          <w:shd w:val="clear" w:color="auto" w:fill="auto"/>
          <w:lang w:val="zh-CN" w:eastAsia="zh-CN" w:bidi="ar-SA"/>
        </w:rPr>
        <w:t>2.2 分值构成与评分标准</w:t>
      </w:r>
      <w:bookmarkEnd w:id="23"/>
      <w:bookmarkEnd w:id="24"/>
    </w:p>
    <w:p>
      <w:pPr>
        <w:tabs>
          <w:tab w:val="left" w:pos="360"/>
        </w:tabs>
        <w:spacing w:line="400" w:lineRule="atLeast"/>
        <w:ind w:left="0" w:firstLine="480" w:firstLineChars="200"/>
        <w:rPr>
          <w:rFonts w:ascii="Times New Roman" w:hAnsi="Times New Roman" w:eastAsia="宋体" w:cs="Times New Roman"/>
          <w:color w:val="auto"/>
          <w:sz w:val="24"/>
          <w:szCs w:val="24"/>
          <w:highlight w:val="none"/>
          <w:shd w:val="clear" w:color="auto" w:fill="auto"/>
        </w:rPr>
      </w:pPr>
      <w:r>
        <w:rPr>
          <w:rFonts w:ascii="Times New Roman" w:hAnsi="Times New Roman" w:eastAsia="宋体" w:cs="Times New Roman"/>
          <w:color w:val="auto"/>
          <w:sz w:val="24"/>
          <w:szCs w:val="24"/>
          <w:highlight w:val="none"/>
          <w:shd w:val="clear" w:color="auto" w:fill="auto"/>
        </w:rPr>
        <w:t xml:space="preserve">2.2.1 </w:t>
      </w:r>
      <w:r>
        <w:rPr>
          <w:rFonts w:ascii="Times New Roman" w:hAnsi="Times New Roman" w:eastAsia="黑体" w:cs="Times New Roman"/>
          <w:bCs/>
          <w:color w:val="auto"/>
          <w:kern w:val="44"/>
          <w:sz w:val="24"/>
          <w:szCs w:val="24"/>
          <w:highlight w:val="none"/>
          <w:shd w:val="clear" w:color="auto" w:fill="auto"/>
        </w:rPr>
        <w:t>第一个信封评分</w:t>
      </w:r>
      <w:r>
        <w:rPr>
          <w:rFonts w:ascii="Times New Roman" w:hAnsi="Times New Roman" w:eastAsia="黑体" w:cs="Times New Roman"/>
          <w:color w:val="auto"/>
          <w:sz w:val="24"/>
          <w:szCs w:val="24"/>
          <w:highlight w:val="none"/>
          <w:shd w:val="clear" w:color="auto" w:fill="auto"/>
        </w:rPr>
        <w:t>分值构成</w:t>
      </w:r>
    </w:p>
    <w:p>
      <w:pPr>
        <w:spacing w:line="400" w:lineRule="atLeast"/>
        <w:ind w:left="0" w:firstLine="480" w:firstLineChars="200"/>
        <w:rPr>
          <w:rFonts w:ascii="Times New Roman" w:hAnsi="Times New Roman" w:eastAsia="隶书" w:cs="Times New Roman"/>
          <w:color w:val="auto"/>
          <w:sz w:val="24"/>
          <w:szCs w:val="24"/>
          <w:highlight w:val="none"/>
          <w:shd w:val="clear" w:color="auto" w:fill="auto"/>
        </w:rPr>
      </w:pPr>
      <w:r>
        <w:rPr>
          <w:rFonts w:ascii="Times New Roman" w:hAnsi="Times New Roman" w:eastAsia="隶书" w:cs="Times New Roman"/>
          <w:color w:val="auto"/>
          <w:sz w:val="24"/>
          <w:szCs w:val="24"/>
          <w:highlight w:val="none"/>
          <w:shd w:val="clear" w:color="auto" w:fill="auto"/>
        </w:rPr>
        <w:t>（1）施工组织设计：见评标办法前附表；</w:t>
      </w:r>
    </w:p>
    <w:p>
      <w:pPr>
        <w:spacing w:line="400" w:lineRule="atLeast"/>
        <w:ind w:left="0" w:firstLine="480" w:firstLineChars="200"/>
        <w:rPr>
          <w:rFonts w:ascii="Times New Roman" w:hAnsi="Times New Roman" w:eastAsia="隶书" w:cs="Times New Roman"/>
          <w:color w:val="auto"/>
          <w:sz w:val="24"/>
          <w:szCs w:val="24"/>
          <w:highlight w:val="none"/>
          <w:shd w:val="clear" w:color="auto" w:fill="auto"/>
        </w:rPr>
      </w:pPr>
      <w:r>
        <w:rPr>
          <w:rFonts w:ascii="Times New Roman" w:hAnsi="Times New Roman" w:eastAsia="隶书" w:cs="Times New Roman"/>
          <w:color w:val="auto"/>
          <w:sz w:val="24"/>
          <w:szCs w:val="24"/>
          <w:highlight w:val="none"/>
          <w:shd w:val="clear" w:color="auto" w:fill="auto"/>
        </w:rPr>
        <w:t>（2）主要人员：见评标办法前附表；</w:t>
      </w:r>
    </w:p>
    <w:p>
      <w:pPr>
        <w:spacing w:line="400" w:lineRule="atLeast"/>
        <w:ind w:left="0" w:firstLine="480" w:firstLineChars="200"/>
        <w:rPr>
          <w:rFonts w:ascii="Times New Roman" w:hAnsi="Times New Roman" w:eastAsia="隶书" w:cs="Times New Roman"/>
          <w:color w:val="auto"/>
          <w:sz w:val="24"/>
          <w:szCs w:val="24"/>
          <w:highlight w:val="none"/>
          <w:shd w:val="clear" w:color="auto" w:fill="auto"/>
        </w:rPr>
      </w:pPr>
      <w:r>
        <w:rPr>
          <w:rFonts w:ascii="Times New Roman" w:hAnsi="Times New Roman" w:eastAsia="隶书" w:cs="Times New Roman"/>
          <w:color w:val="auto"/>
          <w:sz w:val="24"/>
          <w:szCs w:val="24"/>
          <w:highlight w:val="none"/>
          <w:shd w:val="clear" w:color="auto" w:fill="auto"/>
        </w:rPr>
        <w:t>（3）其他评分因素：见评标办法前附表。</w:t>
      </w:r>
    </w:p>
    <w:p>
      <w:pPr>
        <w:spacing w:line="400" w:lineRule="atLeast"/>
        <w:ind w:left="0" w:firstLine="480" w:firstLineChars="200"/>
        <w:rPr>
          <w:rFonts w:ascii="Times New Roman" w:hAnsi="Times New Roman" w:eastAsia="宋体" w:cs="Times New Roman"/>
          <w:color w:val="auto"/>
          <w:sz w:val="24"/>
          <w:szCs w:val="24"/>
          <w:highlight w:val="none"/>
          <w:shd w:val="clear" w:color="auto" w:fill="auto"/>
        </w:rPr>
      </w:pPr>
      <w:r>
        <w:rPr>
          <w:rFonts w:ascii="Times New Roman" w:hAnsi="Times New Roman" w:eastAsia="宋体" w:cs="Times New Roman"/>
          <w:color w:val="auto"/>
          <w:sz w:val="24"/>
          <w:szCs w:val="24"/>
          <w:highlight w:val="none"/>
          <w:shd w:val="clear" w:color="auto" w:fill="auto"/>
        </w:rPr>
        <w:t xml:space="preserve">2.2.2 </w:t>
      </w:r>
      <w:r>
        <w:rPr>
          <w:rFonts w:ascii="Times New Roman" w:hAnsi="Times New Roman" w:eastAsia="黑体" w:cs="Times New Roman"/>
          <w:bCs/>
          <w:color w:val="auto"/>
          <w:kern w:val="44"/>
          <w:sz w:val="24"/>
          <w:szCs w:val="24"/>
          <w:highlight w:val="none"/>
          <w:shd w:val="clear" w:color="auto" w:fill="auto"/>
        </w:rPr>
        <w:t>第一个信封评分</w:t>
      </w:r>
      <w:r>
        <w:rPr>
          <w:rFonts w:ascii="Times New Roman" w:hAnsi="Times New Roman" w:eastAsia="黑体" w:cs="Times New Roman"/>
          <w:color w:val="auto"/>
          <w:sz w:val="24"/>
          <w:szCs w:val="24"/>
          <w:highlight w:val="none"/>
          <w:shd w:val="clear" w:color="auto" w:fill="auto"/>
        </w:rPr>
        <w:t>标准</w:t>
      </w:r>
    </w:p>
    <w:p>
      <w:pPr>
        <w:spacing w:line="400" w:lineRule="atLeast"/>
        <w:ind w:left="0" w:firstLine="480" w:firstLineChars="200"/>
        <w:rPr>
          <w:rFonts w:ascii="Times New Roman" w:hAnsi="Times New Roman" w:eastAsia="隶书" w:cs="Times New Roman"/>
          <w:color w:val="auto"/>
          <w:sz w:val="24"/>
          <w:szCs w:val="24"/>
          <w:highlight w:val="none"/>
          <w:shd w:val="clear" w:color="auto" w:fill="auto"/>
        </w:rPr>
      </w:pPr>
      <w:r>
        <w:rPr>
          <w:rFonts w:ascii="Times New Roman" w:hAnsi="Times New Roman" w:eastAsia="隶书" w:cs="Times New Roman"/>
          <w:color w:val="auto"/>
          <w:sz w:val="24"/>
          <w:szCs w:val="24"/>
          <w:highlight w:val="none"/>
          <w:shd w:val="clear" w:color="auto" w:fill="auto"/>
        </w:rPr>
        <w:t>（1）施工组织设计评分标准：见评标办法前附表；</w:t>
      </w:r>
    </w:p>
    <w:p>
      <w:pPr>
        <w:spacing w:line="400" w:lineRule="atLeast"/>
        <w:ind w:left="0" w:firstLine="480" w:firstLineChars="200"/>
        <w:rPr>
          <w:rFonts w:ascii="Times New Roman" w:hAnsi="Times New Roman" w:eastAsia="隶书" w:cs="Times New Roman"/>
          <w:color w:val="auto"/>
          <w:sz w:val="24"/>
          <w:szCs w:val="24"/>
          <w:highlight w:val="none"/>
          <w:shd w:val="clear" w:color="auto" w:fill="auto"/>
        </w:rPr>
      </w:pPr>
      <w:r>
        <w:rPr>
          <w:rFonts w:ascii="Times New Roman" w:hAnsi="Times New Roman" w:eastAsia="隶书" w:cs="Times New Roman"/>
          <w:color w:val="auto"/>
          <w:sz w:val="24"/>
          <w:szCs w:val="24"/>
          <w:highlight w:val="none"/>
          <w:shd w:val="clear" w:color="auto" w:fill="auto"/>
        </w:rPr>
        <w:t>（2）主要人员评分标准：见评标办法前附表；</w:t>
      </w:r>
    </w:p>
    <w:p>
      <w:pPr>
        <w:spacing w:line="400" w:lineRule="atLeast"/>
        <w:ind w:left="0" w:firstLine="480" w:firstLineChars="200"/>
        <w:rPr>
          <w:rFonts w:ascii="Times New Roman" w:hAnsi="Times New Roman" w:eastAsia="隶书" w:cs="Times New Roman"/>
          <w:color w:val="auto"/>
          <w:sz w:val="24"/>
          <w:szCs w:val="24"/>
          <w:highlight w:val="none"/>
          <w:shd w:val="clear" w:color="auto" w:fill="auto"/>
        </w:rPr>
      </w:pPr>
      <w:r>
        <w:rPr>
          <w:rFonts w:ascii="Times New Roman" w:hAnsi="Times New Roman" w:eastAsia="隶书" w:cs="Times New Roman"/>
          <w:color w:val="auto"/>
          <w:sz w:val="24"/>
          <w:szCs w:val="24"/>
          <w:highlight w:val="none"/>
          <w:shd w:val="clear" w:color="auto" w:fill="auto"/>
        </w:rPr>
        <w:t>（3）其他因素评分标准：见评标办法前附表。</w:t>
      </w:r>
    </w:p>
    <w:p>
      <w:pPr>
        <w:spacing w:line="400" w:lineRule="atLeast"/>
        <w:ind w:left="0" w:firstLine="480" w:firstLineChars="200"/>
        <w:rPr>
          <w:rFonts w:ascii="Times New Roman" w:hAnsi="Times New Roman" w:eastAsia="隶书" w:cs="Times New Roman"/>
          <w:color w:val="auto"/>
          <w:sz w:val="24"/>
          <w:szCs w:val="24"/>
          <w:highlight w:val="none"/>
          <w:shd w:val="clear" w:color="auto" w:fill="auto"/>
        </w:rPr>
      </w:pPr>
      <w:r>
        <w:rPr>
          <w:rFonts w:ascii="Times New Roman" w:hAnsi="Times New Roman" w:eastAsia="隶书" w:cs="Times New Roman"/>
          <w:color w:val="auto"/>
          <w:sz w:val="24"/>
          <w:szCs w:val="24"/>
          <w:highlight w:val="none"/>
          <w:shd w:val="clear" w:color="auto" w:fill="auto"/>
        </w:rPr>
        <w:t>2.2.3 第二个信封详细评审标准：见评标办法前附表。</w:t>
      </w:r>
    </w:p>
    <w:p>
      <w:pPr>
        <w:keepNext/>
        <w:keepLines/>
        <w:widowControl w:val="0"/>
        <w:spacing w:before="360" w:after="240" w:line="240" w:lineRule="atLeast"/>
        <w:jc w:val="both"/>
        <w:outlineLvl w:val="0"/>
        <w:rPr>
          <w:rFonts w:ascii="Times New Roman" w:hAnsi="Times New Roman" w:eastAsia="黑体" w:cs="Times New Roman"/>
          <w:b w:val="0"/>
          <w:bCs/>
          <w:color w:val="auto"/>
          <w:kern w:val="44"/>
          <w:sz w:val="28"/>
          <w:szCs w:val="28"/>
          <w:highlight w:val="none"/>
          <w:shd w:val="clear" w:color="auto" w:fill="auto"/>
          <w:lang w:val="zh-CN" w:eastAsia="zh-CN" w:bidi="ar-SA"/>
        </w:rPr>
      </w:pPr>
      <w:bookmarkStart w:id="25" w:name="_Toc6634"/>
      <w:bookmarkStart w:id="26" w:name="_Toc501257146"/>
      <w:r>
        <w:rPr>
          <w:rFonts w:ascii="Times New Roman" w:hAnsi="Times New Roman" w:eastAsia="黑体" w:cs="Times New Roman"/>
          <w:b w:val="0"/>
          <w:bCs/>
          <w:color w:val="auto"/>
          <w:kern w:val="44"/>
          <w:sz w:val="28"/>
          <w:szCs w:val="28"/>
          <w:highlight w:val="none"/>
          <w:shd w:val="clear" w:color="auto" w:fill="auto"/>
          <w:lang w:val="zh-CN" w:eastAsia="zh-CN" w:bidi="ar-SA"/>
        </w:rPr>
        <w:t>3. 评标程序</w:t>
      </w:r>
      <w:bookmarkEnd w:id="25"/>
      <w:bookmarkEnd w:id="26"/>
    </w:p>
    <w:p>
      <w:pPr>
        <w:keepNext/>
        <w:keepLines/>
        <w:widowControl w:val="0"/>
        <w:spacing w:before="240" w:after="240" w:line="240" w:lineRule="atLeast"/>
        <w:jc w:val="both"/>
        <w:outlineLvl w:val="0"/>
        <w:rPr>
          <w:rFonts w:ascii="Times New Roman" w:hAnsi="Times New Roman" w:eastAsia="黑体" w:cs="Times New Roman"/>
          <w:b w:val="0"/>
          <w:bCs/>
          <w:color w:val="auto"/>
          <w:kern w:val="44"/>
          <w:sz w:val="24"/>
          <w:szCs w:val="24"/>
          <w:highlight w:val="none"/>
          <w:shd w:val="clear" w:color="auto" w:fill="auto"/>
          <w:lang w:val="zh-CN" w:eastAsia="zh-CN" w:bidi="ar-SA"/>
        </w:rPr>
      </w:pPr>
      <w:bookmarkStart w:id="27" w:name="_Toc11713"/>
      <w:bookmarkStart w:id="28" w:name="_Toc501257147"/>
      <w:r>
        <w:rPr>
          <w:rFonts w:ascii="Times New Roman" w:hAnsi="Times New Roman" w:eastAsia="黑体" w:cs="Times New Roman"/>
          <w:b w:val="0"/>
          <w:bCs/>
          <w:color w:val="auto"/>
          <w:kern w:val="44"/>
          <w:sz w:val="24"/>
          <w:szCs w:val="24"/>
          <w:highlight w:val="none"/>
          <w:shd w:val="clear" w:color="auto" w:fill="auto"/>
          <w:lang w:val="zh-CN" w:eastAsia="zh-CN" w:bidi="ar-SA"/>
        </w:rPr>
        <w:t>3.1第一个信封初步评审</w:t>
      </w:r>
      <w:bookmarkEnd w:id="27"/>
      <w:bookmarkEnd w:id="28"/>
    </w:p>
    <w:p>
      <w:pPr>
        <w:spacing w:line="400" w:lineRule="atLeast"/>
        <w:ind w:left="0" w:firstLine="480" w:firstLineChars="200"/>
        <w:rPr>
          <w:rFonts w:ascii="Times New Roman" w:hAnsi="Times New Roman" w:eastAsia="隶书" w:cs="Times New Roman"/>
          <w:color w:val="auto"/>
          <w:sz w:val="24"/>
          <w:szCs w:val="24"/>
          <w:highlight w:val="none"/>
          <w:shd w:val="clear" w:color="auto" w:fill="auto"/>
        </w:rPr>
      </w:pPr>
      <w:r>
        <w:rPr>
          <w:rFonts w:ascii="Times New Roman" w:hAnsi="Times New Roman" w:eastAsia="隶书" w:cs="Times New Roman"/>
          <w:color w:val="auto"/>
          <w:sz w:val="24"/>
          <w:szCs w:val="24"/>
          <w:highlight w:val="none"/>
          <w:shd w:val="clear" w:color="auto" w:fill="auto"/>
        </w:rPr>
        <w:t>3.1.1 评标委员会可以要求投标人提交第二章“投标人须知”第3.5.1项至第3.5.6项规定的有关证明和证件的原件，以便核验。评标委员会依据本章第2.1款规定的标准对投标文件第一个信封（商务及技术文件）进行初步评审。有一项不符合评审标准的，评标委员会应否决其投标。（适用于未进行资格预审的）</w:t>
      </w:r>
    </w:p>
    <w:p>
      <w:pPr>
        <w:spacing w:line="400" w:lineRule="atLeast"/>
        <w:ind w:left="0" w:firstLine="480" w:firstLineChars="200"/>
        <w:rPr>
          <w:rFonts w:ascii="Times New Roman" w:hAnsi="Times New Roman" w:eastAsia="隶书" w:cs="Times New Roman"/>
          <w:color w:val="auto"/>
          <w:sz w:val="24"/>
          <w:szCs w:val="24"/>
          <w:highlight w:val="none"/>
          <w:shd w:val="clear" w:color="auto" w:fill="auto"/>
        </w:rPr>
      </w:pPr>
      <w:r>
        <w:rPr>
          <w:rFonts w:ascii="Times New Roman" w:hAnsi="Times New Roman" w:eastAsia="隶书" w:cs="Times New Roman"/>
          <w:color w:val="auto"/>
          <w:sz w:val="24"/>
          <w:szCs w:val="24"/>
          <w:highlight w:val="none"/>
          <w:shd w:val="clear" w:color="auto" w:fill="auto"/>
        </w:rPr>
        <w:t>3.1.1 评标委员会依据本章第2.1.1项、第2.1.3项规定的评审标准对投标文件第一个信封（商务及技术文件）进行初步评审。有一项不符合评审标准的，评标委员会应否决其投标。当投标人资格预审申请文件的内容发生重大变化时，评标委员会依据本章第2.1.2项规定的标准对其更新资料进行评审。（适用于已进行资格预审的）</w:t>
      </w:r>
    </w:p>
    <w:p>
      <w:pPr>
        <w:keepNext/>
        <w:keepLines/>
        <w:widowControl w:val="0"/>
        <w:spacing w:before="240" w:after="240" w:line="240" w:lineRule="atLeast"/>
        <w:jc w:val="both"/>
        <w:outlineLvl w:val="0"/>
        <w:rPr>
          <w:rFonts w:ascii="Times New Roman" w:hAnsi="Times New Roman" w:eastAsia="黑体" w:cs="Times New Roman"/>
          <w:b w:val="0"/>
          <w:bCs/>
          <w:color w:val="auto"/>
          <w:kern w:val="44"/>
          <w:sz w:val="24"/>
          <w:szCs w:val="24"/>
          <w:highlight w:val="none"/>
          <w:shd w:val="clear" w:color="auto" w:fill="auto"/>
          <w:lang w:val="zh-CN" w:eastAsia="zh-CN" w:bidi="ar-SA"/>
        </w:rPr>
      </w:pPr>
      <w:bookmarkStart w:id="29" w:name="_Toc501257148"/>
      <w:bookmarkStart w:id="30" w:name="_Toc14248"/>
      <w:r>
        <w:rPr>
          <w:rFonts w:ascii="Times New Roman" w:hAnsi="Times New Roman" w:eastAsia="黑体" w:cs="Times New Roman"/>
          <w:b w:val="0"/>
          <w:bCs/>
          <w:color w:val="auto"/>
          <w:kern w:val="44"/>
          <w:sz w:val="24"/>
          <w:szCs w:val="24"/>
          <w:highlight w:val="none"/>
          <w:shd w:val="clear" w:color="auto" w:fill="auto"/>
          <w:lang w:val="zh-CN" w:eastAsia="zh-CN" w:bidi="ar-SA"/>
        </w:rPr>
        <w:t>3.2 第一个信封详细评审</w:t>
      </w:r>
      <w:bookmarkEnd w:id="29"/>
      <w:bookmarkEnd w:id="30"/>
    </w:p>
    <w:p>
      <w:pPr>
        <w:spacing w:line="400" w:lineRule="atLeast"/>
        <w:ind w:left="0" w:firstLine="480" w:firstLineChars="200"/>
        <w:rPr>
          <w:rFonts w:ascii="Times New Roman" w:hAnsi="Times New Roman" w:eastAsia="隶书" w:cs="Times New Roman"/>
          <w:color w:val="auto"/>
          <w:sz w:val="24"/>
          <w:szCs w:val="24"/>
          <w:highlight w:val="none"/>
          <w:shd w:val="clear" w:color="auto" w:fill="auto"/>
        </w:rPr>
      </w:pPr>
      <w:r>
        <w:rPr>
          <w:rFonts w:ascii="Times New Roman" w:hAnsi="Times New Roman" w:eastAsia="隶书" w:cs="Times New Roman"/>
          <w:color w:val="auto"/>
          <w:sz w:val="24"/>
          <w:szCs w:val="24"/>
          <w:highlight w:val="none"/>
          <w:shd w:val="clear" w:color="auto" w:fill="auto"/>
        </w:rPr>
        <w:t>3.2.1 评标委员会按本章第2.2款规定的量化因素和分值进行打分，并计算出各投标人的商务和技术得分。</w:t>
      </w:r>
    </w:p>
    <w:p>
      <w:pPr>
        <w:spacing w:line="400" w:lineRule="atLeast"/>
        <w:ind w:left="0" w:firstLine="480" w:firstLineChars="200"/>
        <w:rPr>
          <w:rFonts w:ascii="Times New Roman" w:hAnsi="Times New Roman" w:eastAsia="隶书" w:cs="Times New Roman"/>
          <w:color w:val="auto"/>
          <w:sz w:val="24"/>
          <w:szCs w:val="24"/>
          <w:highlight w:val="none"/>
          <w:shd w:val="clear" w:color="auto" w:fill="auto"/>
        </w:rPr>
      </w:pPr>
      <w:r>
        <w:rPr>
          <w:rFonts w:ascii="Times New Roman" w:hAnsi="Times New Roman" w:eastAsia="隶书" w:cs="Times New Roman"/>
          <w:color w:val="auto"/>
          <w:sz w:val="24"/>
          <w:szCs w:val="24"/>
          <w:highlight w:val="none"/>
          <w:shd w:val="clear" w:color="auto" w:fill="auto"/>
        </w:rPr>
        <w:t>（1）按本章第2.2.2项（1）目规定的评审因素和分值对施工组织设计部分计算出得分A；</w:t>
      </w:r>
    </w:p>
    <w:p>
      <w:pPr>
        <w:spacing w:line="400" w:lineRule="atLeast"/>
        <w:ind w:left="0" w:firstLine="480" w:firstLineChars="200"/>
        <w:rPr>
          <w:rFonts w:ascii="Times New Roman" w:hAnsi="Times New Roman" w:eastAsia="隶书" w:cs="Times New Roman"/>
          <w:color w:val="auto"/>
          <w:sz w:val="24"/>
          <w:szCs w:val="24"/>
          <w:highlight w:val="none"/>
          <w:shd w:val="clear" w:color="auto" w:fill="auto"/>
        </w:rPr>
      </w:pPr>
      <w:r>
        <w:rPr>
          <w:rFonts w:ascii="Times New Roman" w:hAnsi="Times New Roman" w:eastAsia="隶书" w:cs="Times New Roman"/>
          <w:color w:val="auto"/>
          <w:sz w:val="24"/>
          <w:szCs w:val="24"/>
          <w:highlight w:val="none"/>
          <w:shd w:val="clear" w:color="auto" w:fill="auto"/>
        </w:rPr>
        <w:t>（2）按本章第2.2.2项（2）目规定的评审因素和分值对主要人员部分计算出得分B；</w:t>
      </w:r>
    </w:p>
    <w:p>
      <w:pPr>
        <w:spacing w:line="400" w:lineRule="atLeast"/>
        <w:ind w:left="0" w:firstLine="480" w:firstLineChars="200"/>
        <w:rPr>
          <w:rFonts w:ascii="Times New Roman" w:hAnsi="Times New Roman" w:eastAsia="隶书" w:cs="Times New Roman"/>
          <w:color w:val="auto"/>
          <w:sz w:val="24"/>
          <w:szCs w:val="24"/>
          <w:highlight w:val="none"/>
          <w:shd w:val="clear" w:color="auto" w:fill="auto"/>
        </w:rPr>
      </w:pPr>
      <w:r>
        <w:rPr>
          <w:rFonts w:ascii="Times New Roman" w:hAnsi="Times New Roman" w:eastAsia="隶书" w:cs="Times New Roman"/>
          <w:color w:val="auto"/>
          <w:sz w:val="24"/>
          <w:szCs w:val="24"/>
          <w:highlight w:val="none"/>
          <w:shd w:val="clear" w:color="auto" w:fill="auto"/>
        </w:rPr>
        <w:t>（3）按本章第2.2.2项（3）目规定的评审因素和分值对其他部分计算出得分C。</w:t>
      </w:r>
    </w:p>
    <w:p>
      <w:pPr>
        <w:spacing w:line="400" w:lineRule="atLeast"/>
        <w:ind w:left="0" w:firstLine="480" w:firstLineChars="200"/>
        <w:rPr>
          <w:rFonts w:ascii="Times New Roman" w:hAnsi="Times New Roman" w:eastAsia="隶书" w:cs="Times New Roman"/>
          <w:color w:val="auto"/>
          <w:sz w:val="24"/>
          <w:szCs w:val="24"/>
          <w:highlight w:val="none"/>
          <w:shd w:val="clear" w:color="auto" w:fill="auto"/>
        </w:rPr>
      </w:pPr>
      <w:r>
        <w:rPr>
          <w:rFonts w:ascii="Times New Roman" w:hAnsi="Times New Roman" w:eastAsia="隶书" w:cs="Times New Roman"/>
          <w:color w:val="auto"/>
          <w:sz w:val="24"/>
          <w:szCs w:val="24"/>
          <w:highlight w:val="none"/>
          <w:shd w:val="clear" w:color="auto" w:fill="auto"/>
        </w:rPr>
        <w:t>3.2.2 投标人的商务和技术得分分值计算保留小数点后两位，小数点后第三位“四舍五入”。</w:t>
      </w:r>
    </w:p>
    <w:p>
      <w:pPr>
        <w:spacing w:line="400" w:lineRule="atLeast"/>
        <w:ind w:left="0" w:firstLine="480" w:firstLineChars="200"/>
        <w:rPr>
          <w:rFonts w:ascii="Times New Roman" w:hAnsi="Times New Roman" w:eastAsia="隶书" w:cs="Times New Roman"/>
          <w:color w:val="auto"/>
          <w:sz w:val="24"/>
          <w:szCs w:val="24"/>
          <w:highlight w:val="none"/>
          <w:shd w:val="clear" w:color="auto" w:fill="auto"/>
        </w:rPr>
      </w:pPr>
      <w:r>
        <w:rPr>
          <w:rFonts w:ascii="Times New Roman" w:hAnsi="Times New Roman" w:eastAsia="隶书" w:cs="Times New Roman"/>
          <w:color w:val="auto"/>
          <w:sz w:val="24"/>
          <w:szCs w:val="24"/>
          <w:highlight w:val="none"/>
          <w:shd w:val="clear" w:color="auto" w:fill="auto"/>
        </w:rPr>
        <w:t>3.2.3 投标人的商务和技术得分=A+B+C。</w:t>
      </w:r>
    </w:p>
    <w:p>
      <w:pPr>
        <w:spacing w:line="400" w:lineRule="atLeast"/>
        <w:ind w:left="0" w:firstLine="480" w:firstLineChars="200"/>
        <w:rPr>
          <w:rFonts w:ascii="Times New Roman" w:hAnsi="Times New Roman" w:eastAsia="隶书" w:cs="Times New Roman"/>
          <w:color w:val="auto"/>
          <w:sz w:val="24"/>
          <w:szCs w:val="24"/>
          <w:highlight w:val="none"/>
          <w:shd w:val="clear" w:color="auto" w:fill="auto"/>
        </w:rPr>
      </w:pPr>
      <w:r>
        <w:rPr>
          <w:rFonts w:ascii="Times New Roman" w:hAnsi="Times New Roman" w:eastAsia="隶书" w:cs="Times New Roman"/>
          <w:color w:val="auto"/>
          <w:sz w:val="24"/>
          <w:szCs w:val="24"/>
          <w:highlight w:val="none"/>
          <w:shd w:val="clear" w:color="auto" w:fill="auto"/>
        </w:rPr>
        <w:t>3.2.4 评标委员会按照投标人的商务和技术得分由高到低排序，排名在评标办法前附表规定数量以内的投标人，其投标文件第一个信封（商务及技术文件）通过详细评审。</w:t>
      </w:r>
    </w:p>
    <w:p>
      <w:pPr>
        <w:spacing w:line="400" w:lineRule="atLeast"/>
        <w:ind w:left="0" w:firstLine="480" w:firstLineChars="200"/>
        <w:rPr>
          <w:rFonts w:ascii="Times New Roman" w:hAnsi="Times New Roman" w:eastAsia="隶书" w:cs="Times New Roman"/>
          <w:color w:val="auto"/>
          <w:sz w:val="24"/>
          <w:szCs w:val="24"/>
          <w:highlight w:val="none"/>
          <w:shd w:val="clear" w:color="auto" w:fill="auto"/>
        </w:rPr>
      </w:pPr>
      <w:r>
        <w:rPr>
          <w:rFonts w:ascii="Times New Roman" w:hAnsi="Times New Roman" w:eastAsia="隶书" w:cs="Times New Roman"/>
          <w:color w:val="auto"/>
          <w:sz w:val="24"/>
          <w:szCs w:val="24"/>
          <w:highlight w:val="none"/>
          <w:shd w:val="clear" w:color="auto" w:fill="auto"/>
        </w:rPr>
        <w:t>3.2.5 通过投标文件第一个信封（商务及技术文件）初步评审的投标人不少于3个且未超过评标办法前附表第3.2.4项规定数量的，均通过投标文件第一个信封（商务及技术文件）详细评审，不再对投标人的商务和技术文件进行评分。</w:t>
      </w:r>
    </w:p>
    <w:p>
      <w:pPr>
        <w:keepNext/>
        <w:keepLines/>
        <w:widowControl w:val="0"/>
        <w:spacing w:before="240" w:after="240" w:line="240" w:lineRule="atLeast"/>
        <w:jc w:val="both"/>
        <w:outlineLvl w:val="0"/>
        <w:rPr>
          <w:rFonts w:ascii="Times New Roman" w:hAnsi="Times New Roman" w:eastAsia="黑体" w:cs="Times New Roman"/>
          <w:b w:val="0"/>
          <w:bCs/>
          <w:color w:val="auto"/>
          <w:kern w:val="44"/>
          <w:sz w:val="24"/>
          <w:szCs w:val="24"/>
          <w:highlight w:val="none"/>
          <w:shd w:val="clear" w:color="auto" w:fill="auto"/>
          <w:lang w:val="zh-CN" w:eastAsia="zh-CN" w:bidi="ar-SA"/>
        </w:rPr>
      </w:pPr>
      <w:bookmarkStart w:id="31" w:name="_Toc501257149"/>
      <w:bookmarkStart w:id="32" w:name="_Toc25176"/>
      <w:r>
        <w:rPr>
          <w:rFonts w:ascii="Times New Roman" w:hAnsi="Times New Roman" w:eastAsia="黑体" w:cs="Times New Roman"/>
          <w:b w:val="0"/>
          <w:bCs/>
          <w:color w:val="auto"/>
          <w:kern w:val="44"/>
          <w:sz w:val="24"/>
          <w:szCs w:val="24"/>
          <w:highlight w:val="none"/>
          <w:shd w:val="clear" w:color="auto" w:fill="auto"/>
          <w:lang w:val="zh-CN" w:eastAsia="zh-CN" w:bidi="ar-SA"/>
        </w:rPr>
        <w:t>3.3 第二个信封开标</w:t>
      </w:r>
      <w:bookmarkEnd w:id="31"/>
      <w:bookmarkEnd w:id="32"/>
    </w:p>
    <w:p>
      <w:pPr>
        <w:spacing w:line="400" w:lineRule="atLeast"/>
        <w:ind w:left="0" w:firstLine="480" w:firstLineChars="200"/>
        <w:rPr>
          <w:rFonts w:ascii="Times New Roman" w:hAnsi="Times New Roman" w:eastAsia="隶书" w:cs="Times New Roman"/>
          <w:color w:val="auto"/>
          <w:sz w:val="24"/>
          <w:szCs w:val="24"/>
          <w:highlight w:val="none"/>
          <w:shd w:val="clear" w:color="auto" w:fill="auto"/>
        </w:rPr>
      </w:pPr>
      <w:r>
        <w:rPr>
          <w:rFonts w:ascii="Times New Roman" w:hAnsi="Times New Roman" w:eastAsia="隶书" w:cs="Times New Roman"/>
          <w:color w:val="auto"/>
          <w:sz w:val="24"/>
          <w:szCs w:val="24"/>
          <w:highlight w:val="none"/>
          <w:shd w:val="clear" w:color="auto" w:fill="auto"/>
        </w:rPr>
        <w:t>第一个信封（商务及技术文件）评审结束后，招标人将按照第二章“投标人须知”第5.1款规定的时间和地点对通过投标文件第一个信封（商务及技术文件）评审的投标文件第二个信封（报价文件）进行开标。</w:t>
      </w:r>
    </w:p>
    <w:p>
      <w:pPr>
        <w:keepNext/>
        <w:keepLines/>
        <w:widowControl w:val="0"/>
        <w:spacing w:before="240" w:after="240" w:line="240" w:lineRule="atLeast"/>
        <w:jc w:val="both"/>
        <w:outlineLvl w:val="0"/>
        <w:rPr>
          <w:rFonts w:ascii="Times New Roman" w:hAnsi="Times New Roman" w:eastAsia="黑体" w:cs="Times New Roman"/>
          <w:b w:val="0"/>
          <w:bCs/>
          <w:color w:val="auto"/>
          <w:kern w:val="44"/>
          <w:sz w:val="24"/>
          <w:szCs w:val="24"/>
          <w:highlight w:val="none"/>
          <w:shd w:val="clear" w:color="auto" w:fill="auto"/>
          <w:lang w:val="zh-CN" w:eastAsia="zh-CN" w:bidi="ar-SA"/>
        </w:rPr>
      </w:pPr>
      <w:bookmarkStart w:id="33" w:name="_Toc32523"/>
      <w:bookmarkStart w:id="34" w:name="_Toc501257150"/>
      <w:r>
        <w:rPr>
          <w:rFonts w:ascii="Times New Roman" w:hAnsi="Times New Roman" w:eastAsia="黑体" w:cs="Times New Roman"/>
          <w:b w:val="0"/>
          <w:bCs/>
          <w:color w:val="auto"/>
          <w:kern w:val="44"/>
          <w:sz w:val="24"/>
          <w:szCs w:val="24"/>
          <w:highlight w:val="none"/>
          <w:shd w:val="clear" w:color="auto" w:fill="auto"/>
          <w:lang w:val="zh-CN" w:eastAsia="zh-CN" w:bidi="ar-SA"/>
        </w:rPr>
        <w:t>3.4 第二个信封初步评审</w:t>
      </w:r>
      <w:bookmarkEnd w:id="33"/>
      <w:bookmarkEnd w:id="34"/>
    </w:p>
    <w:p>
      <w:pPr>
        <w:spacing w:line="400" w:lineRule="atLeast"/>
        <w:ind w:left="0" w:firstLine="480" w:firstLineChars="200"/>
        <w:rPr>
          <w:rFonts w:ascii="Times New Roman" w:hAnsi="Times New Roman" w:eastAsia="隶书" w:cs="Times New Roman"/>
          <w:color w:val="auto"/>
          <w:sz w:val="24"/>
          <w:szCs w:val="24"/>
          <w:highlight w:val="none"/>
          <w:shd w:val="clear" w:color="auto" w:fill="auto"/>
        </w:rPr>
      </w:pPr>
      <w:r>
        <w:rPr>
          <w:rFonts w:ascii="Times New Roman" w:hAnsi="Times New Roman" w:eastAsia="隶书" w:cs="Times New Roman"/>
          <w:color w:val="auto"/>
          <w:sz w:val="24"/>
          <w:szCs w:val="24"/>
          <w:highlight w:val="none"/>
          <w:shd w:val="clear" w:color="auto" w:fill="auto"/>
        </w:rPr>
        <w:t>3.4.1 评标委员会依据本章第2.1.1项、第2.1.3项规定的评审标准对投标文件第二个信封（报价文件）进行初步评审。有一项不符合评审标准的，评标委员会应否决其投标。</w:t>
      </w:r>
    </w:p>
    <w:p>
      <w:pPr>
        <w:spacing w:line="400" w:lineRule="atLeast"/>
        <w:ind w:left="0" w:firstLine="480" w:firstLineChars="200"/>
        <w:rPr>
          <w:rFonts w:ascii="Times New Roman" w:hAnsi="Times New Roman" w:eastAsia="隶书" w:cs="Times New Roman"/>
          <w:color w:val="auto"/>
          <w:sz w:val="24"/>
          <w:szCs w:val="24"/>
          <w:highlight w:val="none"/>
          <w:shd w:val="clear" w:color="auto" w:fill="auto"/>
        </w:rPr>
      </w:pPr>
      <w:r>
        <w:rPr>
          <w:rFonts w:ascii="Times New Roman" w:hAnsi="Times New Roman" w:eastAsia="隶书" w:cs="Times New Roman"/>
          <w:color w:val="auto"/>
          <w:sz w:val="24"/>
          <w:szCs w:val="24"/>
          <w:highlight w:val="none"/>
          <w:shd w:val="clear" w:color="auto" w:fill="auto"/>
        </w:rPr>
        <w:t>3.4.2</w:t>
      </w:r>
      <w:r>
        <w:rPr>
          <w:rFonts w:ascii="Times New Roman" w:hAnsi="Times New Roman" w:eastAsia="隶书" w:cs="Times New Roman"/>
          <w:color w:val="auto"/>
          <w:sz w:val="21"/>
          <w:szCs w:val="24"/>
          <w:highlight w:val="none"/>
          <w:shd w:val="clear" w:color="auto" w:fill="auto"/>
          <w:vertAlign w:val="superscript"/>
        </w:rPr>
        <w:footnoteReference w:id="0"/>
      </w:r>
      <w:r>
        <w:rPr>
          <w:rFonts w:ascii="Times New Roman" w:hAnsi="Times New Roman" w:eastAsia="隶书" w:cs="Times New Roman"/>
          <w:color w:val="auto"/>
          <w:sz w:val="24"/>
          <w:szCs w:val="24"/>
          <w:highlight w:val="none"/>
          <w:shd w:val="clear" w:color="auto" w:fill="auto"/>
        </w:rPr>
        <w:t xml:space="preserve"> 投标报价有算术错误的，评标委员会按以下原则对投标报价进行修正，修正的价格经投标人书面确认后具有约束力。投标人不接受修正价格的，评标委员会应否决其投标。</w:t>
      </w:r>
    </w:p>
    <w:p>
      <w:pPr>
        <w:spacing w:line="400" w:lineRule="atLeast"/>
        <w:ind w:left="0" w:firstLine="480" w:firstLineChars="200"/>
        <w:rPr>
          <w:rFonts w:ascii="Times New Roman" w:hAnsi="Times New Roman" w:eastAsia="隶书" w:cs="Times New Roman"/>
          <w:color w:val="auto"/>
          <w:sz w:val="24"/>
          <w:szCs w:val="24"/>
          <w:highlight w:val="none"/>
          <w:shd w:val="clear" w:color="auto" w:fill="auto"/>
        </w:rPr>
      </w:pPr>
      <w:r>
        <w:rPr>
          <w:rFonts w:ascii="Times New Roman" w:hAnsi="Times New Roman" w:eastAsia="隶书" w:cs="Times New Roman"/>
          <w:color w:val="auto"/>
          <w:sz w:val="24"/>
          <w:szCs w:val="24"/>
          <w:highlight w:val="none"/>
          <w:shd w:val="clear" w:color="auto" w:fill="auto"/>
        </w:rPr>
        <w:t>（1）投标文件中的大写金额与小写金额不一致的，以大写金额为准；</w:t>
      </w:r>
    </w:p>
    <w:p>
      <w:pPr>
        <w:spacing w:line="400" w:lineRule="atLeast"/>
        <w:ind w:left="0" w:firstLine="480" w:firstLineChars="200"/>
        <w:rPr>
          <w:rFonts w:ascii="Times New Roman" w:hAnsi="Times New Roman" w:eastAsia="隶书" w:cs="Times New Roman"/>
          <w:color w:val="auto"/>
          <w:sz w:val="24"/>
          <w:szCs w:val="24"/>
          <w:highlight w:val="none"/>
          <w:shd w:val="clear" w:color="auto" w:fill="auto"/>
        </w:rPr>
      </w:pPr>
      <w:r>
        <w:rPr>
          <w:rFonts w:ascii="Times New Roman" w:hAnsi="Times New Roman" w:eastAsia="隶书" w:cs="Times New Roman"/>
          <w:color w:val="auto"/>
          <w:sz w:val="24"/>
          <w:szCs w:val="24"/>
          <w:highlight w:val="none"/>
          <w:shd w:val="clear" w:color="auto" w:fill="auto"/>
        </w:rPr>
        <w:t>（2）总价金额与依据单价计算出的结果不一致的，以单价金额为准修正总价，但单价金额小数点有明显错误的除外;</w:t>
      </w:r>
    </w:p>
    <w:p>
      <w:pPr>
        <w:spacing w:line="400" w:lineRule="atLeast"/>
        <w:ind w:left="0" w:firstLine="480" w:firstLineChars="200"/>
        <w:rPr>
          <w:rFonts w:ascii="Times New Roman" w:hAnsi="Times New Roman" w:eastAsia="隶书" w:cs="Times New Roman"/>
          <w:color w:val="auto"/>
          <w:sz w:val="24"/>
          <w:szCs w:val="24"/>
          <w:highlight w:val="none"/>
          <w:shd w:val="clear" w:color="auto" w:fill="auto"/>
        </w:rPr>
      </w:pPr>
      <w:r>
        <w:rPr>
          <w:rFonts w:ascii="Times New Roman" w:hAnsi="Times New Roman" w:eastAsia="隶书" w:cs="Times New Roman"/>
          <w:color w:val="auto"/>
          <w:sz w:val="24"/>
          <w:szCs w:val="24"/>
          <w:highlight w:val="none"/>
          <w:shd w:val="clear" w:color="auto" w:fill="auto"/>
        </w:rPr>
        <w:t>（3）当单价与数量相乘不等于合价时，以单价计算为准，如果单价有明显的小数点位置差错，应以标出的合价为准，同时对单价予以修正；</w:t>
      </w:r>
    </w:p>
    <w:p>
      <w:pPr>
        <w:spacing w:line="400" w:lineRule="atLeast"/>
        <w:ind w:left="0" w:firstLine="480" w:firstLineChars="200"/>
        <w:rPr>
          <w:rFonts w:ascii="Times New Roman" w:hAnsi="Times New Roman" w:eastAsia="隶书" w:cs="Times New Roman"/>
          <w:color w:val="auto"/>
          <w:sz w:val="24"/>
          <w:szCs w:val="24"/>
          <w:highlight w:val="none"/>
          <w:shd w:val="clear" w:color="auto" w:fill="auto"/>
        </w:rPr>
      </w:pPr>
      <w:r>
        <w:rPr>
          <w:rFonts w:ascii="Times New Roman" w:hAnsi="Times New Roman" w:eastAsia="隶书" w:cs="Times New Roman"/>
          <w:color w:val="auto"/>
          <w:sz w:val="24"/>
          <w:szCs w:val="24"/>
          <w:highlight w:val="none"/>
          <w:shd w:val="clear" w:color="auto" w:fill="auto"/>
        </w:rPr>
        <w:t>（4）当各子目的合价累计不等于总价时，应以各子目合价累计数为准，修正总价。</w:t>
      </w:r>
    </w:p>
    <w:p>
      <w:pPr>
        <w:spacing w:line="400" w:lineRule="atLeast"/>
        <w:ind w:left="0" w:firstLine="480" w:firstLineChars="200"/>
        <w:rPr>
          <w:rFonts w:ascii="Times New Roman" w:hAnsi="Times New Roman" w:eastAsia="隶书" w:cs="Times New Roman"/>
          <w:color w:val="auto"/>
          <w:sz w:val="24"/>
          <w:szCs w:val="24"/>
          <w:highlight w:val="none"/>
          <w:shd w:val="clear" w:color="auto" w:fill="auto"/>
        </w:rPr>
      </w:pPr>
      <w:r>
        <w:rPr>
          <w:rFonts w:ascii="Times New Roman" w:hAnsi="Times New Roman" w:eastAsia="隶书" w:cs="Times New Roman"/>
          <w:color w:val="auto"/>
          <w:sz w:val="24"/>
          <w:szCs w:val="24"/>
          <w:highlight w:val="none"/>
          <w:shd w:val="clear" w:color="auto" w:fill="auto"/>
        </w:rPr>
        <w:t>3.4.3 工程量清单中的投标报价有其他错误的，评标委员会按以下原则对投标报价进行修正，修正的价格经投标人书面确认后具有约束力。投标人不接受修正价格的，评标委员会应否决其投标。</w:t>
      </w:r>
    </w:p>
    <w:p>
      <w:pPr>
        <w:spacing w:line="400" w:lineRule="atLeast"/>
        <w:ind w:left="0" w:firstLine="480" w:firstLineChars="200"/>
        <w:rPr>
          <w:rFonts w:ascii="Times New Roman" w:hAnsi="Times New Roman" w:eastAsia="隶书" w:cs="Times New Roman"/>
          <w:color w:val="auto"/>
          <w:sz w:val="24"/>
          <w:szCs w:val="24"/>
          <w:highlight w:val="none"/>
          <w:shd w:val="clear" w:color="auto" w:fill="auto"/>
        </w:rPr>
      </w:pPr>
      <w:r>
        <w:rPr>
          <w:rFonts w:ascii="Times New Roman" w:hAnsi="Times New Roman" w:eastAsia="隶书" w:cs="Times New Roman"/>
          <w:color w:val="auto"/>
          <w:sz w:val="24"/>
          <w:szCs w:val="24"/>
          <w:highlight w:val="none"/>
          <w:shd w:val="clear" w:color="auto" w:fill="auto"/>
        </w:rPr>
        <w:t>（1）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spacing w:line="400" w:lineRule="atLeast"/>
        <w:ind w:left="0" w:firstLine="480" w:firstLineChars="200"/>
        <w:rPr>
          <w:rFonts w:ascii="Times New Roman" w:hAnsi="Times New Roman" w:eastAsia="隶书" w:cs="Times New Roman"/>
          <w:color w:val="auto"/>
          <w:sz w:val="24"/>
          <w:szCs w:val="24"/>
          <w:highlight w:val="none"/>
          <w:shd w:val="clear" w:color="auto" w:fill="auto"/>
        </w:rPr>
      </w:pPr>
      <w:r>
        <w:rPr>
          <w:rFonts w:ascii="Times New Roman" w:hAnsi="Times New Roman" w:eastAsia="隶书" w:cs="Times New Roman"/>
          <w:color w:val="auto"/>
          <w:sz w:val="24"/>
          <w:szCs w:val="24"/>
          <w:highlight w:val="none"/>
          <w:shd w:val="clear" w:color="auto" w:fill="auto"/>
        </w:rPr>
        <w:t>（2）在招标人给定的工程量清单中多报了某个工程子目的单价、合价或总额价，或所报单价、合价或总额价增加了报价范围，则从投标报价中扣除多报的工程子目报价或工程子目报价中增加了报价范围的部分报价。</w:t>
      </w:r>
    </w:p>
    <w:p>
      <w:pPr>
        <w:spacing w:line="400" w:lineRule="atLeast"/>
        <w:ind w:left="0" w:firstLine="480" w:firstLineChars="200"/>
        <w:rPr>
          <w:rFonts w:ascii="Times New Roman" w:hAnsi="Times New Roman" w:eastAsia="隶书" w:cs="Times New Roman"/>
          <w:color w:val="auto"/>
          <w:sz w:val="24"/>
          <w:szCs w:val="24"/>
          <w:highlight w:val="none"/>
          <w:shd w:val="clear" w:color="auto" w:fill="auto"/>
        </w:rPr>
      </w:pPr>
      <w:r>
        <w:rPr>
          <w:rFonts w:ascii="Times New Roman" w:hAnsi="Times New Roman" w:eastAsia="隶书" w:cs="Times New Roman"/>
          <w:color w:val="auto"/>
          <w:sz w:val="24"/>
          <w:szCs w:val="24"/>
          <w:highlight w:val="none"/>
          <w:shd w:val="clear" w:color="auto" w:fill="auto"/>
        </w:rPr>
        <w:t>（3）当单价与数量的乘积与合价（金额）虽然一致，但投标人修改了该子目的工程数量，则其合价按招标人给定的工程数量乘以投标人所报单价予以修正。</w:t>
      </w:r>
    </w:p>
    <w:p>
      <w:pPr>
        <w:spacing w:line="400" w:lineRule="atLeast"/>
        <w:ind w:left="0" w:firstLine="480" w:firstLineChars="200"/>
        <w:rPr>
          <w:rFonts w:ascii="Times New Roman" w:hAnsi="Times New Roman" w:eastAsia="隶书" w:cs="Times New Roman"/>
          <w:color w:val="auto"/>
          <w:sz w:val="24"/>
          <w:szCs w:val="24"/>
          <w:highlight w:val="none"/>
          <w:shd w:val="clear" w:color="auto" w:fill="auto"/>
        </w:rPr>
      </w:pPr>
      <w:r>
        <w:rPr>
          <w:rFonts w:ascii="Times New Roman" w:hAnsi="Times New Roman" w:eastAsia="隶书" w:cs="Times New Roman"/>
          <w:color w:val="auto"/>
          <w:sz w:val="24"/>
          <w:szCs w:val="24"/>
          <w:highlight w:val="none"/>
          <w:shd w:val="clear" w:color="auto" w:fill="auto"/>
        </w:rPr>
        <w:t>3.4.4 修正后的最终投标报价若超过最高投标限价（如有），评标委员会应否决其投标。</w:t>
      </w:r>
    </w:p>
    <w:p>
      <w:pPr>
        <w:keepNext/>
        <w:keepLines/>
        <w:widowControl w:val="0"/>
        <w:spacing w:before="240" w:after="240" w:line="240" w:lineRule="atLeast"/>
        <w:jc w:val="both"/>
        <w:outlineLvl w:val="0"/>
        <w:rPr>
          <w:rFonts w:ascii="Times New Roman" w:hAnsi="Times New Roman" w:eastAsia="黑体" w:cs="Times New Roman"/>
          <w:b w:val="0"/>
          <w:bCs/>
          <w:color w:val="auto"/>
          <w:kern w:val="44"/>
          <w:sz w:val="24"/>
          <w:szCs w:val="24"/>
          <w:highlight w:val="none"/>
          <w:shd w:val="clear" w:color="auto" w:fill="auto"/>
          <w:lang w:val="zh-CN" w:eastAsia="zh-CN" w:bidi="ar-SA"/>
        </w:rPr>
      </w:pPr>
      <w:bookmarkStart w:id="35" w:name="_Toc501257151"/>
      <w:bookmarkStart w:id="36" w:name="_Toc12510"/>
      <w:r>
        <w:rPr>
          <w:rFonts w:ascii="Times New Roman" w:hAnsi="Times New Roman" w:eastAsia="黑体" w:cs="Times New Roman"/>
          <w:b w:val="0"/>
          <w:bCs/>
          <w:color w:val="auto"/>
          <w:kern w:val="44"/>
          <w:sz w:val="24"/>
          <w:szCs w:val="24"/>
          <w:highlight w:val="none"/>
          <w:shd w:val="clear" w:color="auto" w:fill="auto"/>
          <w:lang w:val="zh-CN" w:eastAsia="zh-CN" w:bidi="ar-SA"/>
        </w:rPr>
        <w:t>3.5 第二个信封详细评审</w:t>
      </w:r>
      <w:bookmarkEnd w:id="35"/>
      <w:bookmarkEnd w:id="36"/>
    </w:p>
    <w:p>
      <w:pPr>
        <w:spacing w:line="400" w:lineRule="atLeast"/>
        <w:ind w:left="0" w:firstLine="480" w:firstLineChars="200"/>
        <w:rPr>
          <w:rFonts w:ascii="Times New Roman" w:hAnsi="Times New Roman" w:eastAsia="隶书" w:cs="Times New Roman"/>
          <w:color w:val="auto"/>
          <w:sz w:val="24"/>
          <w:szCs w:val="24"/>
          <w:highlight w:val="none"/>
          <w:shd w:val="clear" w:color="auto" w:fill="auto"/>
        </w:rPr>
      </w:pPr>
      <w:r>
        <w:rPr>
          <w:rFonts w:ascii="Times New Roman" w:hAnsi="Times New Roman" w:eastAsia="隶书" w:cs="Times New Roman"/>
          <w:color w:val="auto"/>
          <w:sz w:val="24"/>
          <w:szCs w:val="24"/>
          <w:highlight w:val="none"/>
          <w:shd w:val="clear" w:color="auto" w:fill="auto"/>
        </w:rPr>
        <w:t>3.5.1 评标委员会按本章第2.2款规定的量化因素和标准进行价格折算，计算出评标价，并编制价格比较一览表。</w:t>
      </w:r>
    </w:p>
    <w:p>
      <w:pPr>
        <w:spacing w:line="400" w:lineRule="atLeast"/>
        <w:ind w:left="0" w:firstLine="480" w:firstLineChars="200"/>
        <w:rPr>
          <w:rFonts w:ascii="Times New Roman" w:hAnsi="Times New Roman" w:eastAsia="隶书" w:cs="Times New Roman"/>
          <w:color w:val="auto"/>
          <w:sz w:val="24"/>
          <w:szCs w:val="24"/>
          <w:highlight w:val="none"/>
          <w:shd w:val="clear" w:color="auto" w:fill="auto"/>
        </w:rPr>
      </w:pPr>
      <w:r>
        <w:rPr>
          <w:rFonts w:ascii="Times New Roman" w:hAnsi="Times New Roman" w:eastAsia="隶书" w:cs="Times New Roman"/>
          <w:color w:val="auto"/>
          <w:sz w:val="24"/>
          <w:szCs w:val="24"/>
          <w:highlight w:val="none"/>
          <w:shd w:val="clear" w:color="auto" w:fill="auto"/>
        </w:rPr>
        <w:t>3.5.2 评标委员会发现投标人的报价明显低于其他投标报价，使得其投标报价可能低于其个别成本的，应要求该投标人作出书面说明并提供相应的证明材料。投标人不能合理说明或不能提供相应证明材料的，由评标委员会认定该投标人以低于成本报价竞标，并否决其投标。</w:t>
      </w:r>
    </w:p>
    <w:p>
      <w:pPr>
        <w:keepNext/>
        <w:keepLines/>
        <w:widowControl w:val="0"/>
        <w:spacing w:before="240" w:after="240" w:line="240" w:lineRule="atLeast"/>
        <w:jc w:val="both"/>
        <w:outlineLvl w:val="0"/>
        <w:rPr>
          <w:rFonts w:ascii="Times New Roman" w:hAnsi="Times New Roman" w:eastAsia="黑体" w:cs="Times New Roman"/>
          <w:b w:val="0"/>
          <w:bCs/>
          <w:color w:val="auto"/>
          <w:kern w:val="44"/>
          <w:sz w:val="24"/>
          <w:szCs w:val="24"/>
          <w:highlight w:val="none"/>
          <w:shd w:val="clear" w:color="auto" w:fill="auto"/>
          <w:lang w:val="zh-CN" w:eastAsia="zh-CN" w:bidi="ar-SA"/>
        </w:rPr>
      </w:pPr>
      <w:bookmarkStart w:id="37" w:name="_Toc501257152"/>
      <w:bookmarkStart w:id="38" w:name="_Toc10516"/>
      <w:r>
        <w:rPr>
          <w:rFonts w:ascii="Times New Roman" w:hAnsi="Times New Roman" w:eastAsia="黑体" w:cs="Times New Roman"/>
          <w:b w:val="0"/>
          <w:bCs/>
          <w:color w:val="auto"/>
          <w:kern w:val="44"/>
          <w:sz w:val="24"/>
          <w:szCs w:val="24"/>
          <w:highlight w:val="none"/>
          <w:shd w:val="clear" w:color="auto" w:fill="auto"/>
          <w:lang w:val="zh-CN" w:eastAsia="zh-CN" w:bidi="ar-SA"/>
        </w:rPr>
        <w:t>3.6 投标文件相关信息的核查</w:t>
      </w:r>
      <w:bookmarkEnd w:id="37"/>
      <w:bookmarkEnd w:id="38"/>
    </w:p>
    <w:p>
      <w:pPr>
        <w:spacing w:line="400" w:lineRule="atLeast"/>
        <w:ind w:left="0" w:firstLine="480" w:firstLineChars="200"/>
        <w:rPr>
          <w:rFonts w:ascii="Times New Roman" w:hAnsi="Times New Roman" w:eastAsia="隶书" w:cs="Times New Roman"/>
          <w:color w:val="auto"/>
          <w:sz w:val="24"/>
          <w:szCs w:val="24"/>
          <w:highlight w:val="none"/>
          <w:shd w:val="clear" w:color="auto" w:fill="auto"/>
        </w:rPr>
      </w:pPr>
      <w:r>
        <w:rPr>
          <w:rFonts w:ascii="Times New Roman" w:hAnsi="Times New Roman" w:eastAsia="隶书" w:cs="Times New Roman"/>
          <w:color w:val="auto"/>
          <w:sz w:val="24"/>
          <w:szCs w:val="24"/>
          <w:highlight w:val="none"/>
          <w:shd w:val="clear" w:color="auto" w:fill="auto"/>
        </w:rPr>
        <w:t>3.6.1 在评标过程中，评标委员会应查询交通运输主管部门“公路建设市场信用信息管理系统”，对投标人的资质、业绩、主要人员资历和目前在岗情况、信用等级等信息进行核实。若投标文件载明的信息与交通运输主管部门“公路建设市场信用信息管理系统”发布的信息不符，使得投标人的资格条件不符合招标文件规定的，评标委员会应否决其投标。</w:t>
      </w:r>
    </w:p>
    <w:p>
      <w:pPr>
        <w:spacing w:line="400" w:lineRule="atLeast"/>
        <w:ind w:left="0" w:firstLine="480" w:firstLineChars="200"/>
        <w:rPr>
          <w:rFonts w:ascii="Times New Roman" w:hAnsi="Times New Roman" w:eastAsia="隶书" w:cs="Times New Roman"/>
          <w:color w:val="auto"/>
          <w:sz w:val="24"/>
          <w:szCs w:val="24"/>
          <w:highlight w:val="none"/>
          <w:shd w:val="clear" w:color="auto" w:fill="auto"/>
        </w:rPr>
      </w:pPr>
      <w:r>
        <w:rPr>
          <w:rFonts w:ascii="Times New Roman" w:hAnsi="Times New Roman" w:eastAsia="隶书" w:cs="Times New Roman"/>
          <w:color w:val="auto"/>
          <w:sz w:val="24"/>
          <w:szCs w:val="24"/>
          <w:highlight w:val="none"/>
          <w:shd w:val="clear" w:color="auto" w:fill="auto"/>
        </w:rPr>
        <w:t>3.6.2 评标委员会应对在评标过程中发现的投标人与投标人之间、投标人与招标人之间存在的串通投标的情形进行评审和认定。投标人存在串通投标、弄虚作假、行贿等违法行为的，评标委员会应否决其投标。</w:t>
      </w:r>
    </w:p>
    <w:p>
      <w:pPr>
        <w:spacing w:line="400" w:lineRule="atLeast"/>
        <w:ind w:left="0" w:firstLine="480" w:firstLineChars="200"/>
        <w:rPr>
          <w:rFonts w:ascii="Times New Roman" w:hAnsi="Times New Roman" w:eastAsia="隶书" w:cs="Times New Roman"/>
          <w:color w:val="auto"/>
          <w:sz w:val="24"/>
          <w:szCs w:val="24"/>
          <w:highlight w:val="none"/>
          <w:shd w:val="clear" w:color="auto" w:fill="auto"/>
        </w:rPr>
      </w:pPr>
      <w:r>
        <w:rPr>
          <w:rFonts w:ascii="Times New Roman" w:hAnsi="Times New Roman" w:eastAsia="隶书" w:cs="Times New Roman"/>
          <w:color w:val="auto"/>
          <w:sz w:val="24"/>
          <w:szCs w:val="24"/>
          <w:highlight w:val="none"/>
          <w:shd w:val="clear" w:color="auto" w:fill="auto"/>
        </w:rPr>
        <w:t>（1）有下列情形之一的，属于投标人相互串通投标：</w:t>
      </w:r>
    </w:p>
    <w:p>
      <w:pPr>
        <w:spacing w:line="400" w:lineRule="atLeast"/>
        <w:ind w:left="0" w:firstLine="480" w:firstLineChars="200"/>
        <w:rPr>
          <w:rFonts w:ascii="Times New Roman" w:hAnsi="Times New Roman" w:eastAsia="隶书" w:cs="Times New Roman"/>
          <w:color w:val="auto"/>
          <w:sz w:val="24"/>
          <w:szCs w:val="24"/>
          <w:highlight w:val="none"/>
          <w:shd w:val="clear" w:color="auto" w:fill="auto"/>
        </w:rPr>
      </w:pPr>
      <w:r>
        <w:rPr>
          <w:rFonts w:ascii="Times New Roman" w:hAnsi="Times New Roman" w:eastAsia="隶书" w:cs="Times New Roman"/>
          <w:color w:val="auto"/>
          <w:sz w:val="24"/>
          <w:szCs w:val="24"/>
          <w:highlight w:val="none"/>
          <w:shd w:val="clear" w:color="auto" w:fill="auto"/>
        </w:rPr>
        <w:t>a.投标人之间协商投标报价等投标文件的实质性内容；</w:t>
      </w:r>
    </w:p>
    <w:p>
      <w:pPr>
        <w:spacing w:line="400" w:lineRule="atLeast"/>
        <w:ind w:left="0" w:firstLine="480" w:firstLineChars="200"/>
        <w:rPr>
          <w:rFonts w:ascii="Times New Roman" w:hAnsi="Times New Roman" w:eastAsia="隶书" w:cs="Times New Roman"/>
          <w:color w:val="auto"/>
          <w:sz w:val="24"/>
          <w:szCs w:val="24"/>
          <w:highlight w:val="none"/>
          <w:shd w:val="clear" w:color="auto" w:fill="auto"/>
        </w:rPr>
      </w:pPr>
      <w:r>
        <w:rPr>
          <w:rFonts w:ascii="Times New Roman" w:hAnsi="Times New Roman" w:eastAsia="隶书" w:cs="Times New Roman"/>
          <w:color w:val="auto"/>
          <w:sz w:val="24"/>
          <w:szCs w:val="24"/>
          <w:highlight w:val="none"/>
          <w:shd w:val="clear" w:color="auto" w:fill="auto"/>
        </w:rPr>
        <w:t>b.投标人之间约定中标人；</w:t>
      </w:r>
    </w:p>
    <w:p>
      <w:pPr>
        <w:spacing w:line="400" w:lineRule="atLeast"/>
        <w:ind w:left="0" w:firstLine="480" w:firstLineChars="200"/>
        <w:rPr>
          <w:rFonts w:ascii="Times New Roman" w:hAnsi="Times New Roman" w:eastAsia="隶书" w:cs="Times New Roman"/>
          <w:color w:val="auto"/>
          <w:sz w:val="24"/>
          <w:szCs w:val="24"/>
          <w:highlight w:val="none"/>
          <w:shd w:val="clear" w:color="auto" w:fill="auto"/>
        </w:rPr>
      </w:pPr>
      <w:r>
        <w:rPr>
          <w:rFonts w:ascii="Times New Roman" w:hAnsi="Times New Roman" w:eastAsia="隶书" w:cs="Times New Roman"/>
          <w:color w:val="auto"/>
          <w:sz w:val="24"/>
          <w:szCs w:val="24"/>
          <w:highlight w:val="none"/>
          <w:shd w:val="clear" w:color="auto" w:fill="auto"/>
        </w:rPr>
        <w:t>c.投标人之间约定部分投标人放弃投标或中标；</w:t>
      </w:r>
    </w:p>
    <w:p>
      <w:pPr>
        <w:spacing w:line="400" w:lineRule="atLeast"/>
        <w:ind w:left="0" w:firstLine="480" w:firstLineChars="200"/>
        <w:rPr>
          <w:rFonts w:ascii="Times New Roman" w:hAnsi="Times New Roman" w:eastAsia="隶书" w:cs="Times New Roman"/>
          <w:color w:val="auto"/>
          <w:sz w:val="24"/>
          <w:szCs w:val="24"/>
          <w:highlight w:val="none"/>
          <w:shd w:val="clear" w:color="auto" w:fill="auto"/>
        </w:rPr>
      </w:pPr>
      <w:r>
        <w:rPr>
          <w:rFonts w:ascii="Times New Roman" w:hAnsi="Times New Roman" w:eastAsia="隶书" w:cs="Times New Roman"/>
          <w:color w:val="auto"/>
          <w:sz w:val="24"/>
          <w:szCs w:val="24"/>
          <w:highlight w:val="none"/>
          <w:shd w:val="clear" w:color="auto" w:fill="auto"/>
        </w:rPr>
        <w:t>d.属于同一集团、协会、商会等组织成员的投标人按照该组织要求协同投标；</w:t>
      </w:r>
    </w:p>
    <w:p>
      <w:pPr>
        <w:spacing w:line="400" w:lineRule="atLeast"/>
        <w:ind w:left="0" w:firstLine="480" w:firstLineChars="200"/>
        <w:rPr>
          <w:rFonts w:ascii="Times New Roman" w:hAnsi="Times New Roman" w:eastAsia="隶书" w:cs="Times New Roman"/>
          <w:color w:val="auto"/>
          <w:sz w:val="24"/>
          <w:szCs w:val="24"/>
          <w:highlight w:val="none"/>
          <w:shd w:val="clear" w:color="auto" w:fill="auto"/>
        </w:rPr>
      </w:pPr>
      <w:r>
        <w:rPr>
          <w:rFonts w:ascii="Times New Roman" w:hAnsi="Times New Roman" w:eastAsia="隶书" w:cs="Times New Roman"/>
          <w:color w:val="auto"/>
          <w:sz w:val="24"/>
          <w:szCs w:val="24"/>
          <w:highlight w:val="none"/>
          <w:shd w:val="clear" w:color="auto" w:fill="auto"/>
        </w:rPr>
        <w:t>e.投标人之间为谋取中标或排斥特定投标人而采取的其他联合行动。</w:t>
      </w:r>
    </w:p>
    <w:p>
      <w:pPr>
        <w:spacing w:line="400" w:lineRule="atLeast"/>
        <w:ind w:left="0" w:firstLine="480" w:firstLineChars="200"/>
        <w:rPr>
          <w:rFonts w:ascii="Times New Roman" w:hAnsi="Times New Roman" w:eastAsia="隶书" w:cs="Times New Roman"/>
          <w:color w:val="auto"/>
          <w:sz w:val="24"/>
          <w:szCs w:val="24"/>
          <w:highlight w:val="none"/>
          <w:shd w:val="clear" w:color="auto" w:fill="auto"/>
        </w:rPr>
      </w:pPr>
      <w:r>
        <w:rPr>
          <w:rFonts w:ascii="Times New Roman" w:hAnsi="Times New Roman" w:eastAsia="隶书" w:cs="Times New Roman"/>
          <w:color w:val="auto"/>
          <w:sz w:val="24"/>
          <w:szCs w:val="24"/>
          <w:highlight w:val="none"/>
          <w:shd w:val="clear" w:color="auto" w:fill="auto"/>
        </w:rPr>
        <w:t>（2）有下列情形之一的，视为投标人相互串通投标：</w:t>
      </w:r>
    </w:p>
    <w:p>
      <w:pPr>
        <w:spacing w:line="400" w:lineRule="atLeast"/>
        <w:ind w:left="0" w:firstLine="480" w:firstLineChars="200"/>
        <w:rPr>
          <w:rFonts w:ascii="Times New Roman" w:hAnsi="Times New Roman" w:eastAsia="隶书" w:cs="Times New Roman"/>
          <w:color w:val="auto"/>
          <w:sz w:val="24"/>
          <w:szCs w:val="24"/>
          <w:highlight w:val="none"/>
          <w:shd w:val="clear" w:color="auto" w:fill="auto"/>
        </w:rPr>
      </w:pPr>
      <w:r>
        <w:rPr>
          <w:rFonts w:ascii="Times New Roman" w:hAnsi="Times New Roman" w:eastAsia="隶书" w:cs="Times New Roman"/>
          <w:color w:val="auto"/>
          <w:sz w:val="24"/>
          <w:szCs w:val="24"/>
          <w:highlight w:val="none"/>
          <w:shd w:val="clear" w:color="auto" w:fill="auto"/>
        </w:rPr>
        <w:t>a.不同投标人的投标文件由同一单位或个人编制；</w:t>
      </w:r>
    </w:p>
    <w:p>
      <w:pPr>
        <w:spacing w:line="400" w:lineRule="atLeast"/>
        <w:ind w:left="0" w:firstLine="480" w:firstLineChars="200"/>
        <w:rPr>
          <w:rFonts w:ascii="Times New Roman" w:hAnsi="Times New Roman" w:eastAsia="隶书" w:cs="Times New Roman"/>
          <w:color w:val="auto"/>
          <w:sz w:val="24"/>
          <w:szCs w:val="24"/>
          <w:highlight w:val="none"/>
          <w:shd w:val="clear" w:color="auto" w:fill="auto"/>
        </w:rPr>
      </w:pPr>
      <w:r>
        <w:rPr>
          <w:rFonts w:ascii="Times New Roman" w:hAnsi="Times New Roman" w:eastAsia="隶书" w:cs="Times New Roman"/>
          <w:color w:val="auto"/>
          <w:sz w:val="24"/>
          <w:szCs w:val="24"/>
          <w:highlight w:val="none"/>
          <w:shd w:val="clear" w:color="auto" w:fill="auto"/>
        </w:rPr>
        <w:t>b.不同投标人委托同一单位或个人办理投标事宜；</w:t>
      </w:r>
    </w:p>
    <w:p>
      <w:pPr>
        <w:spacing w:line="400" w:lineRule="atLeast"/>
        <w:ind w:left="0" w:firstLine="480" w:firstLineChars="200"/>
        <w:rPr>
          <w:rFonts w:ascii="Times New Roman" w:hAnsi="Times New Roman" w:eastAsia="隶书" w:cs="Times New Roman"/>
          <w:color w:val="auto"/>
          <w:sz w:val="24"/>
          <w:szCs w:val="24"/>
          <w:highlight w:val="none"/>
          <w:shd w:val="clear" w:color="auto" w:fill="auto"/>
        </w:rPr>
      </w:pPr>
      <w:r>
        <w:rPr>
          <w:rFonts w:ascii="Times New Roman" w:hAnsi="Times New Roman" w:eastAsia="隶书" w:cs="Times New Roman"/>
          <w:color w:val="auto"/>
          <w:sz w:val="24"/>
          <w:szCs w:val="24"/>
          <w:highlight w:val="none"/>
          <w:shd w:val="clear" w:color="auto" w:fill="auto"/>
        </w:rPr>
        <w:t>c.不同投标人的投标文件载明的项目管理成员为同一人；</w:t>
      </w:r>
    </w:p>
    <w:p>
      <w:pPr>
        <w:spacing w:line="400" w:lineRule="atLeast"/>
        <w:ind w:left="0" w:firstLine="480" w:firstLineChars="200"/>
        <w:rPr>
          <w:rFonts w:ascii="Times New Roman" w:hAnsi="Times New Roman" w:eastAsia="隶书" w:cs="Times New Roman"/>
          <w:color w:val="auto"/>
          <w:sz w:val="24"/>
          <w:szCs w:val="24"/>
          <w:highlight w:val="none"/>
          <w:shd w:val="clear" w:color="auto" w:fill="auto"/>
        </w:rPr>
      </w:pPr>
      <w:r>
        <w:rPr>
          <w:rFonts w:ascii="Times New Roman" w:hAnsi="Times New Roman" w:eastAsia="隶书" w:cs="Times New Roman"/>
          <w:color w:val="auto"/>
          <w:sz w:val="24"/>
          <w:szCs w:val="24"/>
          <w:highlight w:val="none"/>
          <w:shd w:val="clear" w:color="auto" w:fill="auto"/>
        </w:rPr>
        <w:t>d.不同投标人的投标文件异常一致或投标报价呈规律性差异；</w:t>
      </w:r>
    </w:p>
    <w:p>
      <w:pPr>
        <w:spacing w:line="400" w:lineRule="atLeast"/>
        <w:ind w:left="0" w:firstLine="480" w:firstLineChars="200"/>
        <w:rPr>
          <w:rFonts w:ascii="Times New Roman" w:hAnsi="Times New Roman" w:eastAsia="隶书" w:cs="Times New Roman"/>
          <w:color w:val="auto"/>
          <w:sz w:val="24"/>
          <w:szCs w:val="24"/>
          <w:highlight w:val="none"/>
          <w:shd w:val="clear" w:color="auto" w:fill="auto"/>
        </w:rPr>
      </w:pPr>
      <w:r>
        <w:rPr>
          <w:rFonts w:ascii="Times New Roman" w:hAnsi="Times New Roman" w:eastAsia="隶书" w:cs="Times New Roman"/>
          <w:color w:val="auto"/>
          <w:sz w:val="24"/>
          <w:szCs w:val="24"/>
          <w:highlight w:val="none"/>
          <w:shd w:val="clear" w:color="auto" w:fill="auto"/>
        </w:rPr>
        <w:t>e.不同投标人的投标文件相互混装；</w:t>
      </w:r>
    </w:p>
    <w:p>
      <w:pPr>
        <w:spacing w:line="400" w:lineRule="atLeast"/>
        <w:ind w:left="0" w:firstLine="480" w:firstLineChars="200"/>
        <w:rPr>
          <w:rFonts w:ascii="Times New Roman" w:hAnsi="Times New Roman" w:eastAsia="隶书" w:cs="Times New Roman"/>
          <w:color w:val="auto"/>
          <w:sz w:val="24"/>
          <w:szCs w:val="24"/>
          <w:highlight w:val="none"/>
          <w:shd w:val="clear" w:color="auto" w:fill="auto"/>
        </w:rPr>
      </w:pPr>
      <w:r>
        <w:rPr>
          <w:rFonts w:ascii="Times New Roman" w:hAnsi="Times New Roman" w:eastAsia="隶书" w:cs="Times New Roman"/>
          <w:color w:val="auto"/>
          <w:sz w:val="24"/>
          <w:szCs w:val="24"/>
          <w:highlight w:val="none"/>
          <w:shd w:val="clear" w:color="auto" w:fill="auto"/>
        </w:rPr>
        <w:t>f.不同投标人的投标保证金从同一单位或个人的账户转出。</w:t>
      </w:r>
    </w:p>
    <w:p>
      <w:pPr>
        <w:spacing w:line="400" w:lineRule="atLeast"/>
        <w:ind w:left="0" w:firstLine="480" w:firstLineChars="200"/>
        <w:rPr>
          <w:rFonts w:ascii="Times New Roman" w:hAnsi="Times New Roman" w:eastAsia="隶书" w:cs="Times New Roman"/>
          <w:color w:val="auto"/>
          <w:sz w:val="24"/>
          <w:szCs w:val="24"/>
          <w:highlight w:val="none"/>
          <w:shd w:val="clear" w:color="auto" w:fill="auto"/>
        </w:rPr>
      </w:pPr>
      <w:r>
        <w:rPr>
          <w:rFonts w:ascii="Times New Roman" w:hAnsi="Times New Roman" w:eastAsia="隶书" w:cs="Times New Roman"/>
          <w:color w:val="auto"/>
          <w:sz w:val="24"/>
          <w:szCs w:val="24"/>
          <w:highlight w:val="none"/>
          <w:shd w:val="clear" w:color="auto" w:fill="auto"/>
        </w:rPr>
        <w:t>（3）有下列情形之一的，属于招标人与投标人串通投标：</w:t>
      </w:r>
    </w:p>
    <w:p>
      <w:pPr>
        <w:spacing w:line="400" w:lineRule="atLeast"/>
        <w:ind w:left="0" w:firstLine="480" w:firstLineChars="200"/>
        <w:rPr>
          <w:rFonts w:ascii="Times New Roman" w:hAnsi="Times New Roman" w:eastAsia="隶书" w:cs="Times New Roman"/>
          <w:color w:val="auto"/>
          <w:sz w:val="24"/>
          <w:szCs w:val="24"/>
          <w:highlight w:val="none"/>
          <w:shd w:val="clear" w:color="auto" w:fill="auto"/>
        </w:rPr>
      </w:pPr>
      <w:r>
        <w:rPr>
          <w:rFonts w:ascii="Times New Roman" w:hAnsi="Times New Roman" w:eastAsia="隶书" w:cs="Times New Roman"/>
          <w:color w:val="auto"/>
          <w:sz w:val="24"/>
          <w:szCs w:val="24"/>
          <w:highlight w:val="none"/>
          <w:shd w:val="clear" w:color="auto" w:fill="auto"/>
        </w:rPr>
        <w:t>a.招标人在开标前开启投标文件并将有关信息泄露给其他投标人;</w:t>
      </w:r>
    </w:p>
    <w:p>
      <w:pPr>
        <w:spacing w:line="400" w:lineRule="atLeast"/>
        <w:ind w:left="0" w:firstLine="480" w:firstLineChars="200"/>
        <w:rPr>
          <w:rFonts w:ascii="Times New Roman" w:hAnsi="Times New Roman" w:eastAsia="隶书" w:cs="Times New Roman"/>
          <w:color w:val="auto"/>
          <w:sz w:val="24"/>
          <w:szCs w:val="24"/>
          <w:highlight w:val="none"/>
          <w:shd w:val="clear" w:color="auto" w:fill="auto"/>
        </w:rPr>
      </w:pPr>
      <w:r>
        <w:rPr>
          <w:rFonts w:ascii="Times New Roman" w:hAnsi="Times New Roman" w:eastAsia="隶书" w:cs="Times New Roman"/>
          <w:color w:val="auto"/>
          <w:sz w:val="24"/>
          <w:szCs w:val="24"/>
          <w:highlight w:val="none"/>
          <w:shd w:val="clear" w:color="auto" w:fill="auto"/>
        </w:rPr>
        <w:t>b.招标人直接或间接向投标人泄露标底、评标委员会成员等信息；</w:t>
      </w:r>
    </w:p>
    <w:p>
      <w:pPr>
        <w:spacing w:line="400" w:lineRule="atLeast"/>
        <w:ind w:left="0" w:firstLine="480" w:firstLineChars="200"/>
        <w:rPr>
          <w:rFonts w:ascii="Times New Roman" w:hAnsi="Times New Roman" w:eastAsia="隶书" w:cs="Times New Roman"/>
          <w:color w:val="auto"/>
          <w:sz w:val="24"/>
          <w:szCs w:val="24"/>
          <w:highlight w:val="none"/>
          <w:shd w:val="clear" w:color="auto" w:fill="auto"/>
        </w:rPr>
      </w:pPr>
      <w:r>
        <w:rPr>
          <w:rFonts w:ascii="Times New Roman" w:hAnsi="Times New Roman" w:eastAsia="隶书" w:cs="Times New Roman"/>
          <w:color w:val="auto"/>
          <w:sz w:val="24"/>
          <w:szCs w:val="24"/>
          <w:highlight w:val="none"/>
          <w:shd w:val="clear" w:color="auto" w:fill="auto"/>
        </w:rPr>
        <w:t>c.招标人明示或暗示投标人压低或抬高投标报价；</w:t>
      </w:r>
    </w:p>
    <w:p>
      <w:pPr>
        <w:spacing w:line="400" w:lineRule="atLeast"/>
        <w:ind w:left="0" w:firstLine="480" w:firstLineChars="200"/>
        <w:rPr>
          <w:rFonts w:ascii="Times New Roman" w:hAnsi="Times New Roman" w:eastAsia="隶书" w:cs="Times New Roman"/>
          <w:color w:val="auto"/>
          <w:sz w:val="24"/>
          <w:szCs w:val="24"/>
          <w:highlight w:val="none"/>
          <w:shd w:val="clear" w:color="auto" w:fill="auto"/>
        </w:rPr>
      </w:pPr>
      <w:r>
        <w:rPr>
          <w:rFonts w:ascii="Times New Roman" w:hAnsi="Times New Roman" w:eastAsia="隶书" w:cs="Times New Roman"/>
          <w:color w:val="auto"/>
          <w:sz w:val="24"/>
          <w:szCs w:val="24"/>
          <w:highlight w:val="none"/>
          <w:shd w:val="clear" w:color="auto" w:fill="auto"/>
        </w:rPr>
        <w:t>d.招标人授意投标人撤换、修改投标文件；</w:t>
      </w:r>
    </w:p>
    <w:p>
      <w:pPr>
        <w:spacing w:line="400" w:lineRule="atLeast"/>
        <w:ind w:left="0" w:firstLine="480" w:firstLineChars="200"/>
        <w:rPr>
          <w:rFonts w:ascii="Times New Roman" w:hAnsi="Times New Roman" w:eastAsia="隶书" w:cs="Times New Roman"/>
          <w:color w:val="auto"/>
          <w:sz w:val="24"/>
          <w:szCs w:val="24"/>
          <w:highlight w:val="none"/>
          <w:shd w:val="clear" w:color="auto" w:fill="auto"/>
        </w:rPr>
      </w:pPr>
      <w:r>
        <w:rPr>
          <w:rFonts w:ascii="Times New Roman" w:hAnsi="Times New Roman" w:eastAsia="隶书" w:cs="Times New Roman"/>
          <w:color w:val="auto"/>
          <w:sz w:val="24"/>
          <w:szCs w:val="24"/>
          <w:highlight w:val="none"/>
          <w:shd w:val="clear" w:color="auto" w:fill="auto"/>
        </w:rPr>
        <w:t>e.招标人明示或暗示投标人为特定投标人中标提供方便；</w:t>
      </w:r>
    </w:p>
    <w:p>
      <w:pPr>
        <w:spacing w:line="400" w:lineRule="atLeast"/>
        <w:ind w:left="0" w:firstLine="480" w:firstLineChars="200"/>
        <w:rPr>
          <w:rFonts w:ascii="Times New Roman" w:hAnsi="Times New Roman" w:eastAsia="隶书" w:cs="Times New Roman"/>
          <w:color w:val="auto"/>
          <w:sz w:val="24"/>
          <w:szCs w:val="24"/>
          <w:highlight w:val="none"/>
          <w:shd w:val="clear" w:color="auto" w:fill="auto"/>
        </w:rPr>
      </w:pPr>
      <w:r>
        <w:rPr>
          <w:rFonts w:ascii="Times New Roman" w:hAnsi="Times New Roman" w:eastAsia="隶书" w:cs="Times New Roman"/>
          <w:color w:val="auto"/>
          <w:sz w:val="24"/>
          <w:szCs w:val="24"/>
          <w:highlight w:val="none"/>
          <w:shd w:val="clear" w:color="auto" w:fill="auto"/>
        </w:rPr>
        <w:t>f.招标人与投标人为谋求特定投标人中标而采取的其他串通行为。</w:t>
      </w:r>
    </w:p>
    <w:p>
      <w:pPr>
        <w:spacing w:line="400" w:lineRule="atLeast"/>
        <w:ind w:left="0" w:firstLine="480" w:firstLineChars="200"/>
        <w:rPr>
          <w:rFonts w:ascii="Times New Roman" w:hAnsi="Times New Roman" w:eastAsia="隶书" w:cs="Times New Roman"/>
          <w:color w:val="auto"/>
          <w:sz w:val="24"/>
          <w:szCs w:val="24"/>
          <w:highlight w:val="none"/>
          <w:shd w:val="clear" w:color="auto" w:fill="auto"/>
        </w:rPr>
      </w:pPr>
      <w:r>
        <w:rPr>
          <w:rFonts w:ascii="Times New Roman" w:hAnsi="Times New Roman" w:eastAsia="隶书" w:cs="Times New Roman"/>
          <w:color w:val="auto"/>
          <w:sz w:val="24"/>
          <w:szCs w:val="24"/>
          <w:highlight w:val="none"/>
          <w:shd w:val="clear" w:color="auto" w:fill="auto"/>
        </w:rPr>
        <w:t>（4）投标人有下列情形之一的，属于弄虚作假的行为：</w:t>
      </w:r>
    </w:p>
    <w:p>
      <w:pPr>
        <w:spacing w:line="400" w:lineRule="atLeast"/>
        <w:ind w:left="0" w:firstLine="480" w:firstLineChars="200"/>
        <w:rPr>
          <w:rFonts w:ascii="Times New Roman" w:hAnsi="Times New Roman" w:eastAsia="隶书" w:cs="Times New Roman"/>
          <w:color w:val="auto"/>
          <w:sz w:val="24"/>
          <w:szCs w:val="24"/>
          <w:highlight w:val="none"/>
          <w:shd w:val="clear" w:color="auto" w:fill="auto"/>
        </w:rPr>
      </w:pPr>
      <w:r>
        <w:rPr>
          <w:rFonts w:ascii="Times New Roman" w:hAnsi="Times New Roman" w:eastAsia="隶书" w:cs="Times New Roman"/>
          <w:color w:val="auto"/>
          <w:sz w:val="24"/>
          <w:szCs w:val="24"/>
          <w:highlight w:val="none"/>
          <w:shd w:val="clear" w:color="auto" w:fill="auto"/>
        </w:rPr>
        <w:t>a.使用通过受让或租借等方式获取的资格、资质证书投标；</w:t>
      </w:r>
    </w:p>
    <w:p>
      <w:pPr>
        <w:spacing w:line="400" w:lineRule="atLeast"/>
        <w:ind w:left="0" w:firstLine="480" w:firstLineChars="200"/>
        <w:rPr>
          <w:rFonts w:ascii="Times New Roman" w:hAnsi="Times New Roman" w:eastAsia="隶书" w:cs="Times New Roman"/>
          <w:color w:val="auto"/>
          <w:sz w:val="24"/>
          <w:szCs w:val="24"/>
          <w:highlight w:val="none"/>
          <w:shd w:val="clear" w:color="auto" w:fill="auto"/>
        </w:rPr>
      </w:pPr>
      <w:r>
        <w:rPr>
          <w:rFonts w:ascii="Times New Roman" w:hAnsi="Times New Roman" w:eastAsia="隶书" w:cs="Times New Roman"/>
          <w:color w:val="auto"/>
          <w:sz w:val="24"/>
          <w:szCs w:val="24"/>
          <w:highlight w:val="none"/>
          <w:shd w:val="clear" w:color="auto" w:fill="auto"/>
        </w:rPr>
        <w:t>b.使用伪造、变造的许可证件；</w:t>
      </w:r>
    </w:p>
    <w:p>
      <w:pPr>
        <w:spacing w:line="400" w:lineRule="atLeast"/>
        <w:ind w:left="0" w:firstLine="480" w:firstLineChars="200"/>
        <w:rPr>
          <w:rFonts w:ascii="Times New Roman" w:hAnsi="Times New Roman" w:eastAsia="隶书" w:cs="Times New Roman"/>
          <w:color w:val="auto"/>
          <w:sz w:val="24"/>
          <w:szCs w:val="24"/>
          <w:highlight w:val="none"/>
          <w:shd w:val="clear" w:color="auto" w:fill="auto"/>
        </w:rPr>
      </w:pPr>
      <w:r>
        <w:rPr>
          <w:rFonts w:ascii="Times New Roman" w:hAnsi="Times New Roman" w:eastAsia="隶书" w:cs="Times New Roman"/>
          <w:color w:val="auto"/>
          <w:sz w:val="24"/>
          <w:szCs w:val="24"/>
          <w:highlight w:val="none"/>
          <w:shd w:val="clear" w:color="auto" w:fill="auto"/>
        </w:rPr>
        <w:t>c.提供虚假的财务状况或业绩；</w:t>
      </w:r>
    </w:p>
    <w:p>
      <w:pPr>
        <w:spacing w:line="400" w:lineRule="atLeast"/>
        <w:ind w:left="0" w:firstLine="480" w:firstLineChars="200"/>
        <w:rPr>
          <w:rFonts w:ascii="Times New Roman" w:hAnsi="Times New Roman" w:eastAsia="隶书" w:cs="Times New Roman"/>
          <w:color w:val="auto"/>
          <w:sz w:val="24"/>
          <w:szCs w:val="24"/>
          <w:highlight w:val="none"/>
          <w:shd w:val="clear" w:color="auto" w:fill="auto"/>
        </w:rPr>
      </w:pPr>
      <w:r>
        <w:rPr>
          <w:rFonts w:ascii="Times New Roman" w:hAnsi="Times New Roman" w:eastAsia="隶书" w:cs="Times New Roman"/>
          <w:color w:val="auto"/>
          <w:sz w:val="24"/>
          <w:szCs w:val="24"/>
          <w:highlight w:val="none"/>
          <w:shd w:val="clear" w:color="auto" w:fill="auto"/>
        </w:rPr>
        <w:t>d.提供虚假的项目负责人或主要技术人员简历、劳动关系证明；</w:t>
      </w:r>
    </w:p>
    <w:p>
      <w:pPr>
        <w:spacing w:line="400" w:lineRule="atLeast"/>
        <w:ind w:left="0" w:firstLine="480" w:firstLineChars="200"/>
        <w:rPr>
          <w:rFonts w:ascii="Times New Roman" w:hAnsi="Times New Roman" w:eastAsia="隶书" w:cs="Times New Roman"/>
          <w:color w:val="auto"/>
          <w:sz w:val="24"/>
          <w:szCs w:val="24"/>
          <w:highlight w:val="none"/>
          <w:shd w:val="clear" w:color="auto" w:fill="auto"/>
        </w:rPr>
      </w:pPr>
      <w:r>
        <w:rPr>
          <w:rFonts w:ascii="Times New Roman" w:hAnsi="Times New Roman" w:eastAsia="隶书" w:cs="Times New Roman"/>
          <w:color w:val="auto"/>
          <w:sz w:val="24"/>
          <w:szCs w:val="24"/>
          <w:highlight w:val="none"/>
          <w:shd w:val="clear" w:color="auto" w:fill="auto"/>
        </w:rPr>
        <w:t>e.提供虚假的信用状况；</w:t>
      </w:r>
    </w:p>
    <w:p>
      <w:pPr>
        <w:spacing w:line="400" w:lineRule="atLeast"/>
        <w:ind w:left="0" w:firstLine="480" w:firstLineChars="200"/>
        <w:rPr>
          <w:rFonts w:ascii="Times New Roman" w:hAnsi="Times New Roman" w:eastAsia="隶书" w:cs="Times New Roman"/>
          <w:color w:val="auto"/>
          <w:sz w:val="24"/>
          <w:szCs w:val="24"/>
          <w:highlight w:val="none"/>
          <w:shd w:val="clear" w:color="auto" w:fill="auto"/>
        </w:rPr>
      </w:pPr>
      <w:r>
        <w:rPr>
          <w:rFonts w:ascii="Times New Roman" w:hAnsi="Times New Roman" w:eastAsia="隶书" w:cs="Times New Roman"/>
          <w:color w:val="auto"/>
          <w:sz w:val="24"/>
          <w:szCs w:val="24"/>
          <w:highlight w:val="none"/>
          <w:shd w:val="clear" w:color="auto" w:fill="auto"/>
        </w:rPr>
        <w:t>f.其他弄虚作假的行为。</w:t>
      </w:r>
    </w:p>
    <w:p>
      <w:pPr>
        <w:keepNext/>
        <w:keepLines/>
        <w:widowControl w:val="0"/>
        <w:spacing w:before="240" w:after="240" w:line="400" w:lineRule="atLeast"/>
        <w:jc w:val="both"/>
        <w:outlineLvl w:val="0"/>
        <w:rPr>
          <w:rFonts w:ascii="Times New Roman" w:hAnsi="Times New Roman" w:eastAsia="黑体" w:cs="Times New Roman"/>
          <w:b w:val="0"/>
          <w:bCs/>
          <w:color w:val="auto"/>
          <w:kern w:val="44"/>
          <w:sz w:val="24"/>
          <w:szCs w:val="24"/>
          <w:highlight w:val="none"/>
          <w:shd w:val="clear" w:color="auto" w:fill="auto"/>
          <w:lang w:val="zh-CN" w:eastAsia="zh-CN" w:bidi="ar-SA"/>
        </w:rPr>
      </w:pPr>
      <w:bookmarkStart w:id="39" w:name="_Toc501257153"/>
      <w:bookmarkStart w:id="40" w:name="_Toc26386"/>
      <w:r>
        <w:rPr>
          <w:rFonts w:ascii="Times New Roman" w:hAnsi="Times New Roman" w:eastAsia="黑体" w:cs="Times New Roman"/>
          <w:b w:val="0"/>
          <w:bCs/>
          <w:color w:val="auto"/>
          <w:kern w:val="44"/>
          <w:sz w:val="24"/>
          <w:szCs w:val="24"/>
          <w:highlight w:val="none"/>
          <w:shd w:val="clear" w:color="auto" w:fill="auto"/>
          <w:lang w:val="zh-CN" w:eastAsia="zh-CN" w:bidi="ar-SA"/>
        </w:rPr>
        <w:t>3.7 投标文件的澄清和说明</w:t>
      </w:r>
      <w:bookmarkEnd w:id="39"/>
      <w:bookmarkEnd w:id="40"/>
    </w:p>
    <w:p>
      <w:pPr>
        <w:spacing w:line="400" w:lineRule="atLeast"/>
        <w:ind w:left="0" w:firstLine="480" w:firstLineChars="200"/>
        <w:rPr>
          <w:rFonts w:ascii="Times New Roman" w:hAnsi="Times New Roman" w:eastAsia="隶书" w:cs="Times New Roman"/>
          <w:color w:val="auto"/>
          <w:sz w:val="24"/>
          <w:szCs w:val="24"/>
          <w:highlight w:val="none"/>
          <w:shd w:val="clear" w:color="auto" w:fill="auto"/>
        </w:rPr>
      </w:pPr>
      <w:r>
        <w:rPr>
          <w:rFonts w:ascii="Times New Roman" w:hAnsi="Times New Roman" w:eastAsia="隶书" w:cs="Times New Roman"/>
          <w:color w:val="auto"/>
          <w:sz w:val="24"/>
          <w:szCs w:val="24"/>
          <w:highlight w:val="none"/>
          <w:shd w:val="clear" w:color="auto" w:fill="auto"/>
        </w:rPr>
        <w:t>3.7.1 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pPr>
        <w:spacing w:line="400" w:lineRule="atLeast"/>
        <w:ind w:left="0" w:firstLine="480" w:firstLineChars="200"/>
        <w:rPr>
          <w:rFonts w:ascii="Times New Roman" w:hAnsi="Times New Roman" w:eastAsia="隶书" w:cs="Times New Roman"/>
          <w:color w:val="auto"/>
          <w:sz w:val="24"/>
          <w:szCs w:val="24"/>
          <w:highlight w:val="none"/>
          <w:shd w:val="clear" w:color="auto" w:fill="auto"/>
        </w:rPr>
      </w:pPr>
      <w:r>
        <w:rPr>
          <w:rFonts w:ascii="Times New Roman" w:hAnsi="Times New Roman" w:eastAsia="隶书" w:cs="Times New Roman"/>
          <w:color w:val="auto"/>
          <w:sz w:val="24"/>
          <w:szCs w:val="24"/>
          <w:highlight w:val="none"/>
          <w:shd w:val="clear" w:color="auto" w:fill="auto"/>
        </w:rPr>
        <w:t>3.7.2 澄清和说明不得超出投标文件的范围或改变投标文件的实质性内容（算术性错误的修正除外）。投标人的书面澄清、说明属于投标文件的组成部分。</w:t>
      </w:r>
    </w:p>
    <w:p>
      <w:pPr>
        <w:spacing w:line="400" w:lineRule="atLeast"/>
        <w:ind w:left="0" w:firstLine="480" w:firstLineChars="200"/>
        <w:rPr>
          <w:rFonts w:ascii="Times New Roman" w:hAnsi="Times New Roman" w:eastAsia="隶书" w:cs="Times New Roman"/>
          <w:color w:val="auto"/>
          <w:sz w:val="24"/>
          <w:szCs w:val="24"/>
          <w:highlight w:val="none"/>
          <w:shd w:val="clear" w:color="auto" w:fill="auto"/>
        </w:rPr>
      </w:pPr>
      <w:r>
        <w:rPr>
          <w:rFonts w:ascii="Times New Roman" w:hAnsi="Times New Roman" w:eastAsia="隶书" w:cs="Times New Roman"/>
          <w:color w:val="auto"/>
          <w:sz w:val="24"/>
          <w:szCs w:val="24"/>
          <w:highlight w:val="none"/>
          <w:shd w:val="clear" w:color="auto" w:fill="auto"/>
        </w:rPr>
        <w:t>3.7.3 评标委员会不得暗示或诱导投标人作出澄清、说明，对投标人提交的澄清、说明有疑问的，可以要求投标人进一步澄清或说明，直至满足评标委员会的要求。</w:t>
      </w:r>
    </w:p>
    <w:p>
      <w:pPr>
        <w:spacing w:line="400" w:lineRule="atLeast"/>
        <w:ind w:left="0" w:firstLine="480" w:firstLineChars="200"/>
        <w:rPr>
          <w:rFonts w:ascii="Times New Roman" w:hAnsi="Times New Roman" w:eastAsia="隶书" w:cs="Times New Roman"/>
          <w:color w:val="auto"/>
          <w:sz w:val="24"/>
          <w:szCs w:val="24"/>
          <w:highlight w:val="none"/>
          <w:shd w:val="clear" w:color="auto" w:fill="auto"/>
        </w:rPr>
      </w:pPr>
      <w:r>
        <w:rPr>
          <w:rFonts w:ascii="Times New Roman" w:hAnsi="Times New Roman" w:eastAsia="隶书" w:cs="Times New Roman"/>
          <w:color w:val="auto"/>
          <w:sz w:val="24"/>
          <w:szCs w:val="24"/>
          <w:highlight w:val="none"/>
          <w:shd w:val="clear" w:color="auto" w:fill="auto"/>
        </w:rPr>
        <w:t>3.7.4 凡超出招标文件规定的或给发包人带来未曾要求的利益的变化、偏差或其他因素在评标时不予考虑。</w:t>
      </w:r>
    </w:p>
    <w:p>
      <w:pPr>
        <w:keepNext/>
        <w:keepLines/>
        <w:widowControl w:val="0"/>
        <w:spacing w:before="240" w:after="240" w:line="400" w:lineRule="atLeast"/>
        <w:jc w:val="both"/>
        <w:outlineLvl w:val="0"/>
        <w:rPr>
          <w:rFonts w:ascii="Times New Roman" w:hAnsi="Times New Roman" w:eastAsia="黑体" w:cs="Times New Roman"/>
          <w:b w:val="0"/>
          <w:bCs/>
          <w:color w:val="auto"/>
          <w:kern w:val="44"/>
          <w:sz w:val="24"/>
          <w:szCs w:val="24"/>
          <w:highlight w:val="none"/>
          <w:shd w:val="clear" w:color="auto" w:fill="auto"/>
          <w:lang w:val="zh-CN" w:eastAsia="zh-CN" w:bidi="ar-SA"/>
        </w:rPr>
      </w:pPr>
      <w:bookmarkStart w:id="41" w:name="_Toc501257154"/>
      <w:bookmarkStart w:id="42" w:name="_Toc2601"/>
      <w:r>
        <w:rPr>
          <w:rFonts w:ascii="Times New Roman" w:hAnsi="Times New Roman" w:eastAsia="黑体" w:cs="Times New Roman"/>
          <w:b w:val="0"/>
          <w:bCs/>
          <w:color w:val="auto"/>
          <w:kern w:val="44"/>
          <w:sz w:val="24"/>
          <w:szCs w:val="24"/>
          <w:highlight w:val="none"/>
          <w:shd w:val="clear" w:color="auto" w:fill="auto"/>
          <w:lang w:val="zh-CN" w:eastAsia="zh-CN" w:bidi="ar-SA"/>
        </w:rPr>
        <w:t>3.8 不得否决投标的情形</w:t>
      </w:r>
      <w:bookmarkEnd w:id="41"/>
      <w:bookmarkEnd w:id="42"/>
    </w:p>
    <w:p>
      <w:pPr>
        <w:spacing w:line="400" w:lineRule="atLeast"/>
        <w:ind w:left="0" w:firstLine="480" w:firstLineChars="200"/>
        <w:rPr>
          <w:rFonts w:ascii="Times New Roman" w:hAnsi="Times New Roman" w:eastAsia="隶书" w:cs="Times New Roman"/>
          <w:color w:val="auto"/>
          <w:sz w:val="24"/>
          <w:szCs w:val="24"/>
          <w:highlight w:val="none"/>
          <w:shd w:val="clear" w:color="auto" w:fill="auto"/>
        </w:rPr>
      </w:pPr>
      <w:r>
        <w:rPr>
          <w:rFonts w:ascii="Times New Roman" w:hAnsi="Times New Roman" w:eastAsia="隶书" w:cs="Times New Roman"/>
          <w:color w:val="auto"/>
          <w:sz w:val="24"/>
          <w:szCs w:val="24"/>
          <w:highlight w:val="none"/>
          <w:shd w:val="clear" w:color="auto" w:fill="auto"/>
        </w:rPr>
        <w:t>投标文件存在第二章“投标人须知”第1.12.3项所列情形的，均视为细微偏差，评标委员会不得否决投标人的投标，应按照第二章“投标人须知”第1.12.4项规定的原则处理。</w:t>
      </w:r>
    </w:p>
    <w:p>
      <w:pPr>
        <w:keepNext/>
        <w:keepLines/>
        <w:widowControl w:val="0"/>
        <w:spacing w:before="240" w:after="240" w:line="240" w:lineRule="atLeast"/>
        <w:jc w:val="both"/>
        <w:outlineLvl w:val="0"/>
        <w:rPr>
          <w:rFonts w:ascii="Times New Roman" w:hAnsi="Times New Roman" w:eastAsia="黑体" w:cs="Times New Roman"/>
          <w:b w:val="0"/>
          <w:bCs/>
          <w:color w:val="auto"/>
          <w:kern w:val="44"/>
          <w:sz w:val="24"/>
          <w:szCs w:val="24"/>
          <w:highlight w:val="none"/>
          <w:shd w:val="clear" w:color="auto" w:fill="auto"/>
          <w:lang w:val="zh-CN" w:eastAsia="zh-CN" w:bidi="ar-SA"/>
        </w:rPr>
      </w:pPr>
      <w:bookmarkStart w:id="43" w:name="_Toc501257155"/>
      <w:bookmarkStart w:id="44" w:name="_Toc22239"/>
      <w:r>
        <w:rPr>
          <w:rFonts w:ascii="Times New Roman" w:hAnsi="Times New Roman" w:eastAsia="黑体" w:cs="Times New Roman"/>
          <w:b w:val="0"/>
          <w:bCs/>
          <w:color w:val="auto"/>
          <w:kern w:val="44"/>
          <w:sz w:val="24"/>
          <w:szCs w:val="24"/>
          <w:highlight w:val="none"/>
          <w:shd w:val="clear" w:color="auto" w:fill="auto"/>
          <w:lang w:val="zh-CN" w:eastAsia="zh-CN" w:bidi="ar-SA"/>
        </w:rPr>
        <w:t>3.9 评标结果</w:t>
      </w:r>
      <w:bookmarkEnd w:id="43"/>
      <w:bookmarkEnd w:id="44"/>
    </w:p>
    <w:p>
      <w:pPr>
        <w:spacing w:line="400" w:lineRule="atLeast"/>
        <w:ind w:left="0" w:firstLine="480" w:firstLineChars="200"/>
        <w:rPr>
          <w:rFonts w:ascii="Times New Roman" w:hAnsi="Times New Roman" w:eastAsia="隶书" w:cs="Times New Roman"/>
          <w:color w:val="auto"/>
          <w:sz w:val="24"/>
          <w:szCs w:val="24"/>
          <w:highlight w:val="none"/>
          <w:shd w:val="clear" w:color="auto" w:fill="auto"/>
        </w:rPr>
      </w:pPr>
      <w:r>
        <w:rPr>
          <w:rFonts w:ascii="Times New Roman" w:hAnsi="Times New Roman" w:eastAsia="隶书" w:cs="Times New Roman"/>
          <w:color w:val="auto"/>
          <w:sz w:val="24"/>
          <w:szCs w:val="24"/>
          <w:highlight w:val="none"/>
          <w:shd w:val="clear" w:color="auto" w:fill="auto"/>
        </w:rPr>
        <w:t>3.9.1</w:t>
      </w:r>
      <w:r>
        <w:rPr>
          <w:rFonts w:hint="eastAsia" w:ascii="Times New Roman" w:hAnsi="Times New Roman" w:eastAsia="隶书" w:cs="Times New Roman"/>
          <w:color w:val="auto"/>
          <w:sz w:val="24"/>
          <w:szCs w:val="24"/>
          <w:highlight w:val="none"/>
          <w:shd w:val="clear" w:color="auto" w:fill="auto"/>
        </w:rPr>
        <w:t xml:space="preserve"> </w:t>
      </w:r>
      <w:r>
        <w:rPr>
          <w:rFonts w:ascii="Times New Roman" w:hAnsi="Times New Roman" w:eastAsia="隶书" w:cs="Times New Roman"/>
          <w:color w:val="auto"/>
          <w:sz w:val="24"/>
          <w:szCs w:val="24"/>
          <w:highlight w:val="none"/>
          <w:shd w:val="clear" w:color="auto" w:fill="auto"/>
        </w:rPr>
        <w:t>除第二章“投标人须知”前附表授权直接确定中标人外，评标委员会按照评标价由低到高的顺序推荐中标候选人，并标明排序。</w:t>
      </w:r>
    </w:p>
    <w:p>
      <w:pPr>
        <w:spacing w:line="400" w:lineRule="atLeast"/>
        <w:ind w:left="0" w:firstLine="480" w:firstLineChars="200"/>
        <w:rPr>
          <w:rFonts w:ascii="Times New Roman" w:hAnsi="Times New Roman" w:eastAsia="隶书" w:cs="Times New Roman"/>
          <w:color w:val="auto"/>
          <w:sz w:val="24"/>
          <w:szCs w:val="24"/>
          <w:highlight w:val="none"/>
          <w:shd w:val="clear" w:color="auto" w:fill="auto"/>
        </w:rPr>
      </w:pPr>
      <w:r>
        <w:rPr>
          <w:rFonts w:ascii="Times New Roman" w:hAnsi="Times New Roman" w:eastAsia="隶书" w:cs="Times New Roman"/>
          <w:color w:val="auto"/>
          <w:sz w:val="24"/>
          <w:szCs w:val="24"/>
          <w:highlight w:val="none"/>
          <w:shd w:val="clear" w:color="auto" w:fill="auto"/>
        </w:rPr>
        <w:t>3.9.2 评标委员会完成评标后，应向招标人提交书面评标报告。</w:t>
      </w:r>
    </w:p>
    <w:p>
      <w:pPr>
        <w:rPr>
          <w:color w:val="auto"/>
          <w:highlight w:val="none"/>
          <w:shd w:val="clear" w:color="auto" w:fill="auto"/>
        </w:rPr>
        <w:sectPr>
          <w:headerReference r:id="rId5" w:type="even"/>
          <w:footnotePr>
            <w:numFmt w:val="decimalEnclosedCircleChinese"/>
            <w:numRestart w:val="eachPage"/>
          </w:footnotePr>
          <w:pgSz w:w="11907" w:h="16840"/>
          <w:pgMar w:top="1588" w:right="1588" w:bottom="1474" w:left="1644"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2"/>
        <w:ind w:left="0" w:leftChars="0" w:firstLine="0" w:firstLineChars="0"/>
        <w:rPr>
          <w:rFonts w:hint="default"/>
          <w:lang w:val="en-US" w:eastAsia="zh-CN"/>
        </w:rPr>
      </w:pPr>
    </w:p>
    <w:sectPr>
      <w:pgSz w:w="11906" w:h="16838"/>
      <w:pgMar w:top="1440" w:right="1803" w:bottom="1440" w:left="1803" w:header="851" w:footer="992" w:gutter="0"/>
      <w:pgNumType w:fmt="decimal" w:start="1"/>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ind w:firstLine="480"/>
      </w:pPr>
      <w:r>
        <w:separator/>
      </w:r>
    </w:p>
  </w:footnote>
  <w:footnote w:type="continuationSeparator" w:id="3">
    <w:p>
      <w:pPr>
        <w:spacing w:line="240" w:lineRule="auto"/>
        <w:ind w:firstLine="480"/>
      </w:pPr>
      <w:r>
        <w:continuationSeparator/>
      </w:r>
    </w:p>
  </w:footnote>
  <w:footnote w:id="0">
    <w:p>
      <w:pPr>
        <w:widowControl w:val="0"/>
        <w:adjustRightInd w:val="0"/>
        <w:snapToGrid w:val="0"/>
        <w:spacing w:line="320" w:lineRule="atLeast"/>
        <w:ind w:left="180" w:hanging="180" w:hangingChars="100"/>
        <w:jc w:val="left"/>
        <w:textAlignment w:val="baseline"/>
        <w:rPr>
          <w:rStyle w:val="23"/>
          <w:rFonts w:hint="eastAsia" w:ascii="Times New Roman" w:hAnsi="Times New Roman" w:eastAsia="宋体" w:cs="Times New Roman"/>
          <w:kern w:val="0"/>
          <w:sz w:val="18"/>
          <w:szCs w:val="18"/>
          <w:lang w:val="zh-CN" w:eastAsia="zh-CN" w:bidi="ar-SA"/>
        </w:rPr>
      </w:pPr>
      <w:r>
        <w:rPr>
          <w:rStyle w:val="23"/>
          <w:rFonts w:ascii="Times New Roman" w:hAnsi="Times New Roman" w:eastAsia="宋体" w:cs="Times New Roman"/>
          <w:kern w:val="0"/>
          <w:sz w:val="18"/>
          <w:szCs w:val="18"/>
          <w:lang w:val="zh-CN" w:eastAsia="zh-CN" w:bidi="ar-SA"/>
        </w:rPr>
        <w:footnoteRef/>
      </w:r>
      <w:r>
        <w:rPr>
          <w:rFonts w:hint="eastAsia" w:ascii="Times New Roman" w:hAnsi="Times New Roman" w:eastAsia="宋体" w:cs="Times New Roman"/>
          <w:kern w:val="0"/>
          <w:sz w:val="18"/>
          <w:szCs w:val="18"/>
          <w:lang w:val="zh-CN" w:eastAsia="zh-CN" w:bidi="ar-SA"/>
        </w:rPr>
        <w:t xml:space="preserve"> 如</w:t>
      </w:r>
      <w:r>
        <w:rPr>
          <w:rStyle w:val="23"/>
          <w:rFonts w:ascii="Times New Roman" w:hAnsi="Times New Roman" w:eastAsia="宋体" w:cs="Times New Roman"/>
          <w:kern w:val="0"/>
          <w:sz w:val="18"/>
          <w:szCs w:val="18"/>
          <w:lang w:val="zh-CN" w:eastAsia="zh-CN" w:bidi="ar-SA"/>
        </w:rPr>
        <w:t>本项目招标</w:t>
      </w:r>
      <w:r>
        <w:rPr>
          <w:rStyle w:val="23"/>
          <w:rFonts w:hint="eastAsia" w:ascii="Times New Roman" w:hAnsi="Times New Roman" w:eastAsia="宋体" w:cs="Times New Roman"/>
          <w:kern w:val="0"/>
          <w:sz w:val="18"/>
          <w:szCs w:val="18"/>
          <w:lang w:val="zh-CN" w:eastAsia="zh-CN" w:bidi="ar-SA"/>
        </w:rPr>
        <w:t>由投标人按照招标人提供的</w:t>
      </w:r>
      <w:r>
        <w:rPr>
          <w:rFonts w:ascii="Times New Roman" w:hAnsi="Times New Roman" w:eastAsia="宋体" w:cs="Times New Roman"/>
          <w:kern w:val="0"/>
          <w:sz w:val="18"/>
          <w:szCs w:val="18"/>
          <w:lang w:val="zh-CN" w:eastAsia="zh-CN" w:bidi="ar-SA"/>
        </w:rPr>
        <w:t>书面</w:t>
      </w:r>
      <w:r>
        <w:rPr>
          <w:rStyle w:val="23"/>
          <w:rFonts w:hint="eastAsia" w:ascii="Times New Roman" w:hAnsi="Times New Roman" w:eastAsia="宋体" w:cs="Times New Roman"/>
          <w:kern w:val="0"/>
          <w:sz w:val="18"/>
          <w:szCs w:val="18"/>
          <w:lang w:val="zh-CN" w:eastAsia="zh-CN" w:bidi="ar-SA"/>
        </w:rPr>
        <w:t>工程量清单填写</w:t>
      </w:r>
      <w:r>
        <w:rPr>
          <w:rStyle w:val="23"/>
          <w:rFonts w:ascii="Times New Roman" w:hAnsi="Times New Roman" w:eastAsia="宋体" w:cs="Times New Roman"/>
          <w:kern w:val="0"/>
          <w:sz w:val="18"/>
          <w:szCs w:val="18"/>
          <w:lang w:val="zh-CN" w:eastAsia="zh-CN" w:bidi="ar-SA"/>
        </w:rPr>
        <w:t>本合同各工程子目的单价、合价和总额价</w:t>
      </w:r>
      <w:r>
        <w:rPr>
          <w:rStyle w:val="23"/>
          <w:rFonts w:hint="eastAsia" w:ascii="Times New Roman" w:hAnsi="Times New Roman" w:eastAsia="宋体" w:cs="Times New Roman"/>
          <w:kern w:val="0"/>
          <w:sz w:val="18"/>
          <w:szCs w:val="18"/>
          <w:lang w:val="zh-CN" w:eastAsia="zh-CN" w:bidi="ar-SA"/>
        </w:rPr>
        <w:t>，则</w:t>
      </w:r>
      <w:r>
        <w:rPr>
          <w:rStyle w:val="23"/>
          <w:rFonts w:ascii="Times New Roman" w:hAnsi="Times New Roman" w:eastAsia="宋体" w:cs="Times New Roman"/>
          <w:kern w:val="0"/>
          <w:sz w:val="18"/>
          <w:szCs w:val="18"/>
          <w:lang w:val="zh-CN" w:eastAsia="zh-CN" w:bidi="ar-SA"/>
        </w:rPr>
        <w:t>评标委员会按照</w:t>
      </w:r>
      <w:r>
        <w:rPr>
          <w:rStyle w:val="23"/>
          <w:rFonts w:hint="eastAsia" w:ascii="Times New Roman" w:hAnsi="Times New Roman" w:eastAsia="宋体" w:cs="Times New Roman"/>
          <w:kern w:val="0"/>
          <w:sz w:val="18"/>
          <w:szCs w:val="18"/>
          <w:lang w:val="zh-CN" w:eastAsia="zh-CN" w:bidi="ar-SA"/>
        </w:rPr>
        <w:t>本</w:t>
      </w:r>
      <w:r>
        <w:rPr>
          <w:rStyle w:val="23"/>
          <w:rFonts w:ascii="Times New Roman" w:hAnsi="Times New Roman" w:eastAsia="宋体" w:cs="Times New Roman"/>
          <w:kern w:val="0"/>
          <w:sz w:val="18"/>
          <w:szCs w:val="18"/>
          <w:lang w:val="zh-CN" w:eastAsia="zh-CN" w:bidi="ar-SA"/>
        </w:rPr>
        <w:t>章</w:t>
      </w:r>
      <w:r>
        <w:rPr>
          <w:rStyle w:val="23"/>
          <w:rFonts w:hint="eastAsia" w:ascii="Times New Roman" w:hAnsi="Times New Roman" w:eastAsia="宋体" w:cs="Times New Roman"/>
          <w:kern w:val="0"/>
          <w:sz w:val="18"/>
          <w:szCs w:val="18"/>
          <w:lang w:val="zh-CN" w:eastAsia="zh-CN" w:bidi="ar-SA"/>
        </w:rPr>
        <w:t>第3.4.2项和第3</w:t>
      </w:r>
      <w:r>
        <w:rPr>
          <w:rFonts w:hint="eastAsia" w:ascii="Times New Roman" w:hAnsi="Times New Roman" w:eastAsia="宋体" w:cs="Times New Roman"/>
          <w:kern w:val="0"/>
          <w:sz w:val="18"/>
          <w:szCs w:val="18"/>
          <w:lang w:val="zh-CN" w:eastAsia="zh-CN" w:bidi="ar-SA"/>
        </w:rPr>
        <w:t>.4.3项</w:t>
      </w:r>
      <w:r>
        <w:rPr>
          <w:rStyle w:val="23"/>
          <w:rFonts w:hint="eastAsia" w:ascii="Times New Roman" w:hAnsi="Times New Roman" w:eastAsia="宋体" w:cs="Times New Roman"/>
          <w:kern w:val="0"/>
          <w:sz w:val="18"/>
          <w:szCs w:val="18"/>
          <w:lang w:val="zh-CN" w:eastAsia="zh-CN" w:bidi="ar-SA"/>
        </w:rPr>
        <w:t>的</w:t>
      </w:r>
      <w:r>
        <w:rPr>
          <w:rStyle w:val="23"/>
          <w:rFonts w:ascii="Times New Roman" w:hAnsi="Times New Roman" w:eastAsia="宋体" w:cs="Times New Roman"/>
          <w:kern w:val="0"/>
          <w:sz w:val="18"/>
          <w:szCs w:val="18"/>
          <w:lang w:val="zh-CN" w:eastAsia="zh-CN" w:bidi="ar-SA"/>
        </w:rPr>
        <w:t>规定</w:t>
      </w:r>
      <w:r>
        <w:rPr>
          <w:rStyle w:val="23"/>
          <w:rFonts w:hint="eastAsia" w:ascii="Times New Roman" w:hAnsi="Times New Roman" w:eastAsia="宋体" w:cs="Times New Roman"/>
          <w:kern w:val="0"/>
          <w:sz w:val="18"/>
          <w:szCs w:val="18"/>
          <w:lang w:val="zh-CN" w:eastAsia="zh-CN" w:bidi="ar-SA"/>
        </w:rPr>
        <w:t>对投标人的投标报价进行修正。</w:t>
      </w:r>
      <w:r>
        <w:rPr>
          <w:rFonts w:hint="eastAsia" w:ascii="Times New Roman" w:hAnsi="Times New Roman" w:eastAsia="宋体" w:cs="Times New Roman"/>
          <w:kern w:val="0"/>
          <w:sz w:val="18"/>
          <w:szCs w:val="18"/>
          <w:lang w:val="zh-CN" w:eastAsia="zh-CN" w:bidi="ar-SA"/>
        </w:rPr>
        <w:t>如</w:t>
      </w:r>
      <w:r>
        <w:rPr>
          <w:rStyle w:val="23"/>
          <w:rFonts w:ascii="Times New Roman" w:hAnsi="Times New Roman" w:eastAsia="宋体" w:cs="Times New Roman"/>
          <w:kern w:val="0"/>
          <w:sz w:val="18"/>
          <w:szCs w:val="18"/>
          <w:lang w:val="zh-CN" w:eastAsia="zh-CN" w:bidi="ar-SA"/>
        </w:rPr>
        <w:t>本项目招标</w:t>
      </w:r>
      <w:r>
        <w:rPr>
          <w:rFonts w:hint="eastAsia" w:ascii="Times New Roman" w:hAnsi="Times New Roman" w:eastAsia="宋体" w:cs="Times New Roman"/>
          <w:kern w:val="0"/>
          <w:sz w:val="18"/>
          <w:szCs w:val="18"/>
          <w:lang w:val="zh-CN" w:eastAsia="zh-CN" w:bidi="ar-SA"/>
        </w:rPr>
        <w:t>由投标人按照招标人提供的</w:t>
      </w:r>
      <w:r>
        <w:rPr>
          <w:rFonts w:ascii="Times New Roman" w:hAnsi="Times New Roman" w:eastAsia="宋体" w:cs="Times New Roman"/>
          <w:kern w:val="0"/>
          <w:sz w:val="18"/>
          <w:szCs w:val="18"/>
          <w:lang w:val="zh-CN" w:eastAsia="zh-CN" w:bidi="ar-SA"/>
        </w:rPr>
        <w:t>工程量固化清单</w:t>
      </w:r>
      <w:r>
        <w:rPr>
          <w:rFonts w:hint="eastAsia" w:ascii="Times New Roman" w:hAnsi="Times New Roman" w:eastAsia="宋体" w:cs="Times New Roman"/>
          <w:kern w:val="0"/>
          <w:sz w:val="18"/>
          <w:szCs w:val="18"/>
          <w:lang w:val="zh-CN" w:eastAsia="zh-CN" w:bidi="ar-SA"/>
        </w:rPr>
        <w:t>电子文件填写工程量清单，无须按照本章第3.4.2项和第3.4.3项的规定对投标报价进行修正，第3.4.2项至第3.4.4项内容不适用。</w:t>
      </w:r>
    </w:p>
    <w:p>
      <w:pPr>
        <w:widowControl w:val="0"/>
        <w:adjustRightInd w:val="0"/>
        <w:snapToGrid w:val="0"/>
        <w:spacing w:line="300" w:lineRule="atLeast"/>
        <w:ind w:left="630" w:hanging="210"/>
        <w:jc w:val="left"/>
        <w:textAlignment w:val="baseline"/>
        <w:rPr>
          <w:rStyle w:val="23"/>
          <w:rFonts w:ascii="Times New Roman" w:hAnsi="Times New Roman" w:eastAsia="宋体" w:cs="Times New Roman"/>
          <w:kern w:val="0"/>
          <w:sz w:val="18"/>
          <w:szCs w:val="18"/>
          <w:lang w:val="zh-CN" w:eastAsia="zh-CN" w:bidi="ar-SA"/>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4" w:space="1"/>
      </w:pBdr>
      <w:snapToGrid w:val="0"/>
      <w:jc w:val="left"/>
      <w:rPr>
        <w:rFonts w:ascii="Times New Roman" w:hAnsi="Times New Roman" w:eastAsia="宋体" w:cs="Times New Roman"/>
        <w:kern w:val="2"/>
        <w:sz w:val="18"/>
        <w:szCs w:val="17"/>
        <w:lang w:val="en-US" w:eastAsia="zh-CN" w:bidi="ar-SA"/>
      </w:rPr>
    </w:pPr>
    <w:r>
      <w:rPr>
        <w:rStyle w:val="35"/>
        <w:rFonts w:hint="eastAsia" w:ascii="Times New Roman" w:hAnsi="Times New Roman" w:eastAsia="黑体" w:cs="Times New Roman"/>
        <w:b w:val="0"/>
        <w:bCs w:val="0"/>
        <w:kern w:val="10"/>
        <w:sz w:val="22"/>
        <w:szCs w:val="22"/>
        <w:lang w:val="en-US" w:eastAsia="zh-CN" w:bidi="ar-SA"/>
      </w:rPr>
      <w:t xml:space="preserve"> 贵定县2020年农村公路安全生命防护工程施工招标文件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 w:id="2"/>
    <w:footnote w:id="3"/>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5OTU1Y2Y2MTdlYzA0ODMyNzYwNTg2YzkyMTg1OGMifQ=="/>
  </w:docVars>
  <w:rsids>
    <w:rsidRoot w:val="00172A27"/>
    <w:rsid w:val="0552719E"/>
    <w:rsid w:val="058B511F"/>
    <w:rsid w:val="0C8852DC"/>
    <w:rsid w:val="0DB80361"/>
    <w:rsid w:val="157918B8"/>
    <w:rsid w:val="18E95070"/>
    <w:rsid w:val="1F9B72A7"/>
    <w:rsid w:val="238D1D8E"/>
    <w:rsid w:val="24DD548B"/>
    <w:rsid w:val="25E06C8F"/>
    <w:rsid w:val="289265E6"/>
    <w:rsid w:val="28BB203E"/>
    <w:rsid w:val="29A24E85"/>
    <w:rsid w:val="2B75282D"/>
    <w:rsid w:val="2C713ECA"/>
    <w:rsid w:val="30ED663E"/>
    <w:rsid w:val="33C11B9C"/>
    <w:rsid w:val="345A763B"/>
    <w:rsid w:val="348D19F8"/>
    <w:rsid w:val="35CC5E1C"/>
    <w:rsid w:val="3662484F"/>
    <w:rsid w:val="3A596216"/>
    <w:rsid w:val="3B9E56C3"/>
    <w:rsid w:val="3F7F76B0"/>
    <w:rsid w:val="40DE7B4B"/>
    <w:rsid w:val="428E3585"/>
    <w:rsid w:val="460A4541"/>
    <w:rsid w:val="465C0BFA"/>
    <w:rsid w:val="46B33C33"/>
    <w:rsid w:val="49947051"/>
    <w:rsid w:val="4A5A43A4"/>
    <w:rsid w:val="4D2B240A"/>
    <w:rsid w:val="5027597E"/>
    <w:rsid w:val="51737B2B"/>
    <w:rsid w:val="5B0019D0"/>
    <w:rsid w:val="644424D0"/>
    <w:rsid w:val="64D65C1D"/>
    <w:rsid w:val="66A33E6D"/>
    <w:rsid w:val="68DA749E"/>
    <w:rsid w:val="6A293BBC"/>
    <w:rsid w:val="6B3F4549"/>
    <w:rsid w:val="6EEE1E0B"/>
    <w:rsid w:val="6FCF3D12"/>
    <w:rsid w:val="74A824E5"/>
    <w:rsid w:val="75BA34A7"/>
    <w:rsid w:val="763C0296"/>
    <w:rsid w:val="7816743C"/>
    <w:rsid w:val="7A396DA8"/>
    <w:rsid w:val="7AF344B3"/>
    <w:rsid w:val="7DED414C"/>
    <w:rsid w:val="7F807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40" w:lineRule="exact"/>
      <w:ind w:left="0" w:firstLine="480" w:firstLineChars="200"/>
      <w:jc w:val="both"/>
    </w:pPr>
    <w:rPr>
      <w:rFonts w:eastAsia="宋体" w:asciiTheme="minorAscii" w:hAnsiTheme="minorAscii" w:cstheme="minorBidi"/>
      <w:kern w:val="2"/>
      <w:sz w:val="24"/>
      <w:szCs w:val="22"/>
      <w:lang w:val="en-US" w:eastAsia="zh-CN" w:bidi="ar-SA"/>
    </w:rPr>
  </w:style>
  <w:style w:type="paragraph" w:styleId="3">
    <w:name w:val="heading 1"/>
    <w:basedOn w:val="1"/>
    <w:next w:val="1"/>
    <w:link w:val="26"/>
    <w:qFormat/>
    <w:uiPriority w:val="0"/>
    <w:pPr>
      <w:keepNext/>
      <w:keepLines/>
      <w:spacing w:line="940" w:lineRule="atLeast"/>
      <w:ind w:firstLine="0" w:firstLineChars="0"/>
      <w:jc w:val="center"/>
      <w:outlineLvl w:val="0"/>
    </w:pPr>
    <w:rPr>
      <w:rFonts w:eastAsia="宋体" w:asciiTheme="minorAscii" w:hAnsiTheme="minorAscii"/>
      <w:b/>
      <w:bCs/>
      <w:kern w:val="44"/>
      <w:sz w:val="72"/>
      <w:szCs w:val="44"/>
      <w:lang w:val="zh-CN"/>
    </w:rPr>
  </w:style>
  <w:style w:type="paragraph" w:styleId="4">
    <w:name w:val="heading 2"/>
    <w:basedOn w:val="1"/>
    <w:next w:val="1"/>
    <w:link w:val="27"/>
    <w:semiHidden/>
    <w:unhideWhenUsed/>
    <w:qFormat/>
    <w:uiPriority w:val="0"/>
    <w:pPr>
      <w:keepNext/>
      <w:keepLines/>
      <w:spacing w:before="50" w:beforeLines="50" w:line="240" w:lineRule="auto"/>
      <w:jc w:val="left"/>
      <w:outlineLvl w:val="1"/>
    </w:pPr>
    <w:rPr>
      <w:rFonts w:ascii="宋体" w:hAnsi="宋体" w:cs="Times New Roman"/>
      <w:b/>
      <w:bCs/>
      <w:iCs/>
      <w:sz w:val="32"/>
      <w:szCs w:val="20"/>
    </w:rPr>
  </w:style>
  <w:style w:type="paragraph" w:styleId="5">
    <w:name w:val="heading 3"/>
    <w:basedOn w:val="1"/>
    <w:next w:val="1"/>
    <w:link w:val="28"/>
    <w:semiHidden/>
    <w:unhideWhenUsed/>
    <w:qFormat/>
    <w:uiPriority w:val="0"/>
    <w:pPr>
      <w:keepNext/>
      <w:keepLines/>
      <w:widowControl/>
      <w:spacing w:before="2400" w:beforeLines="2400" w:line="240" w:lineRule="auto"/>
      <w:jc w:val="left"/>
      <w:outlineLvl w:val="2"/>
    </w:pPr>
    <w:rPr>
      <w:rFonts w:ascii="宋体" w:hAnsi="宋体" w:eastAsia="黑体" w:cs="Times New Roman"/>
      <w:b/>
      <w:kern w:val="0"/>
      <w:sz w:val="32"/>
      <w:szCs w:val="20"/>
      <w:lang w:val="zh-CN"/>
    </w:rPr>
  </w:style>
  <w:style w:type="paragraph" w:styleId="6">
    <w:name w:val="heading 4"/>
    <w:basedOn w:val="1"/>
    <w:next w:val="1"/>
    <w:qFormat/>
    <w:uiPriority w:val="0"/>
    <w:pPr>
      <w:keepNext/>
      <w:keepLines/>
      <w:spacing w:before="280" w:after="290" w:line="376" w:lineRule="auto"/>
      <w:outlineLvl w:val="3"/>
    </w:pPr>
    <w:rPr>
      <w:rFonts w:ascii="Cambria" w:hAnsi="Cambria"/>
      <w:b/>
      <w:bCs/>
      <w:sz w:val="28"/>
      <w:szCs w:val="28"/>
      <w:lang w:val="zh-CN"/>
    </w:rPr>
  </w:style>
  <w:style w:type="paragraph" w:styleId="7">
    <w:name w:val="heading 7"/>
    <w:basedOn w:val="1"/>
    <w:next w:val="1"/>
    <w:link w:val="29"/>
    <w:semiHidden/>
    <w:unhideWhenUsed/>
    <w:qFormat/>
    <w:uiPriority w:val="0"/>
    <w:pPr>
      <w:keepNext/>
      <w:keepLines/>
      <w:widowControl/>
      <w:tabs>
        <w:tab w:val="left" w:pos="2520"/>
      </w:tabs>
      <w:spacing w:line="440" w:lineRule="exact"/>
      <w:ind w:left="0" w:firstLine="640" w:firstLineChars="200"/>
      <w:jc w:val="left"/>
      <w:outlineLvl w:val="6"/>
    </w:pPr>
    <w:rPr>
      <w:rFonts w:ascii="Times New Roman" w:hAnsi="Times New Roman" w:eastAsia="宋体"/>
      <w:bCs/>
      <w:kern w:val="0"/>
      <w:sz w:val="24"/>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ind w:firstLine="480"/>
      <w:jc w:val="both"/>
    </w:pPr>
    <w:rPr>
      <w:rFonts w:ascii="仿宋_GB2312" w:eastAsia="仿宋_GB2312"/>
    </w:rPr>
  </w:style>
  <w:style w:type="paragraph" w:styleId="8">
    <w:name w:val="table of authorities"/>
    <w:basedOn w:val="1"/>
    <w:next w:val="1"/>
    <w:qFormat/>
    <w:uiPriority w:val="0"/>
    <w:pPr>
      <w:ind w:left="420" w:leftChars="200"/>
    </w:pPr>
  </w:style>
  <w:style w:type="paragraph" w:styleId="9">
    <w:name w:val="Body Text"/>
    <w:basedOn w:val="1"/>
    <w:next w:val="1"/>
    <w:qFormat/>
    <w:uiPriority w:val="0"/>
    <w:pPr>
      <w:autoSpaceDE w:val="0"/>
      <w:autoSpaceDN w:val="0"/>
      <w:spacing w:line="520" w:lineRule="atLeast"/>
      <w:ind w:firstLine="0"/>
    </w:pPr>
    <w:rPr>
      <w:rFonts w:ascii="Times New Roman" w:hAnsi="Times New Roman" w:eastAsia="宋体" w:cs="Times New Roman"/>
    </w:rPr>
  </w:style>
  <w:style w:type="paragraph" w:styleId="10">
    <w:name w:val="Body Text Indent"/>
    <w:basedOn w:val="1"/>
    <w:qFormat/>
    <w:uiPriority w:val="99"/>
    <w:pPr>
      <w:spacing w:after="120"/>
      <w:ind w:left="420" w:leftChars="200"/>
    </w:pPr>
    <w:rPr>
      <w:szCs w:val="21"/>
    </w:rPr>
  </w:style>
  <w:style w:type="paragraph" w:styleId="11">
    <w:name w:val="toc 3"/>
    <w:basedOn w:val="1"/>
    <w:next w:val="1"/>
    <w:qFormat/>
    <w:uiPriority w:val="0"/>
    <w:pPr>
      <w:widowControl/>
      <w:spacing w:before="100" w:beforeLines="100" w:after="20" w:line="440" w:lineRule="exact"/>
      <w:ind w:left="0"/>
      <w:jc w:val="left"/>
    </w:pPr>
    <w:rPr>
      <w:kern w:val="0"/>
      <w:sz w:val="28"/>
      <w:szCs w:val="22"/>
    </w:rPr>
  </w:style>
  <w:style w:type="paragraph" w:styleId="12">
    <w:name w:val="footer"/>
    <w:basedOn w:val="1"/>
    <w:next w:val="13"/>
    <w:qFormat/>
    <w:uiPriority w:val="99"/>
    <w:pPr>
      <w:tabs>
        <w:tab w:val="center" w:pos="4153"/>
        <w:tab w:val="right" w:pos="8306"/>
      </w:tabs>
    </w:pPr>
    <w:rPr>
      <w:rFonts w:hAnsiTheme="minorHAnsi" w:eastAsiaTheme="minorEastAsia" w:cstheme="minorBidi"/>
      <w:kern w:val="2"/>
      <w:sz w:val="18"/>
      <w:szCs w:val="24"/>
    </w:rPr>
  </w:style>
  <w:style w:type="paragraph" w:customStyle="1" w:styleId="13">
    <w:name w:val="彩色列表 - 强调文字颜色 11"/>
    <w:basedOn w:val="1"/>
    <w:next w:val="1"/>
    <w:qFormat/>
    <w:uiPriority w:val="0"/>
    <w:pPr>
      <w:ind w:firstLine="420" w:firstLineChars="200"/>
    </w:pPr>
    <w:rPr>
      <w:rFonts w:ascii="Calibri" w:hAnsi="Calibri"/>
      <w:szCs w:val="22"/>
    </w:rPr>
  </w:style>
  <w:style w:type="paragraph" w:styleId="14">
    <w:name w:val="header"/>
    <w:basedOn w:val="1"/>
    <w:qFormat/>
    <w:uiPriority w:val="99"/>
    <w:pPr>
      <w:pBdr>
        <w:bottom w:val="single" w:color="auto" w:sz="6" w:space="0"/>
      </w:pBdr>
      <w:tabs>
        <w:tab w:val="center" w:pos="4153"/>
        <w:tab w:val="right" w:pos="8306"/>
      </w:tabs>
      <w:snapToGrid w:val="0"/>
    </w:pPr>
    <w:rPr>
      <w:rFonts w:hAnsiTheme="minorHAnsi" w:eastAsiaTheme="minorEastAsia" w:cstheme="minorBidi"/>
      <w:kern w:val="2"/>
      <w:sz w:val="18"/>
      <w:szCs w:val="24"/>
    </w:rPr>
  </w:style>
  <w:style w:type="paragraph" w:styleId="15">
    <w:name w:val="toc 1"/>
    <w:basedOn w:val="1"/>
    <w:next w:val="1"/>
    <w:qFormat/>
    <w:uiPriority w:val="0"/>
    <w:pPr>
      <w:tabs>
        <w:tab w:val="left" w:pos="425"/>
        <w:tab w:val="right" w:leader="dot" w:pos="8805"/>
      </w:tabs>
      <w:spacing w:before="50" w:beforeLines="50" w:after="50" w:afterLines="50" w:line="440" w:lineRule="exact"/>
      <w:ind w:firstLine="0" w:firstLineChars="0"/>
      <w:jc w:val="both"/>
    </w:pPr>
    <w:rPr>
      <w:rFonts w:eastAsia="黑体"/>
      <w:b/>
      <w:color w:val="000000"/>
      <w:sz w:val="28"/>
      <w:szCs w:val="20"/>
    </w:rPr>
  </w:style>
  <w:style w:type="paragraph" w:styleId="16">
    <w:name w:val="footnote text"/>
    <w:basedOn w:val="1"/>
    <w:qFormat/>
    <w:uiPriority w:val="0"/>
    <w:pPr>
      <w:adjustRightInd w:val="0"/>
      <w:snapToGrid w:val="0"/>
      <w:spacing w:line="420" w:lineRule="atLeast"/>
      <w:ind w:firstLine="454"/>
      <w:jc w:val="left"/>
      <w:textAlignment w:val="baseline"/>
    </w:pPr>
    <w:rPr>
      <w:kern w:val="0"/>
      <w:sz w:val="18"/>
      <w:szCs w:val="20"/>
      <w:lang w:val="zh-CN" w:eastAsia="zh-CN"/>
    </w:rPr>
  </w:style>
  <w:style w:type="paragraph" w:styleId="17">
    <w:name w:val="toc 2"/>
    <w:basedOn w:val="1"/>
    <w:next w:val="1"/>
    <w:qFormat/>
    <w:uiPriority w:val="0"/>
    <w:pPr>
      <w:spacing w:before="100" w:beforeLines="100" w:after="100" w:afterLines="100" w:line="440" w:lineRule="atLeast"/>
      <w:ind w:left="0" w:leftChars="0"/>
      <w:jc w:val="center"/>
    </w:pPr>
    <w:rPr>
      <w:rFonts w:eastAsia="黑体"/>
      <w:b/>
      <w:sz w:val="30"/>
    </w:rPr>
  </w:style>
  <w:style w:type="paragraph" w:styleId="18">
    <w:name w:val="Body Text First Indent 2"/>
    <w:basedOn w:val="10"/>
    <w:qFormat/>
    <w:uiPriority w:val="99"/>
    <w:pPr>
      <w:ind w:firstLine="420" w:firstLineChars="200"/>
    </w:pPr>
    <w:rPr>
      <w:rFonts w:ascii="宋体" w:hAnsi="宋体"/>
      <w:sz w:val="28"/>
      <w:szCs w:val="24"/>
    </w:rPr>
  </w:style>
  <w:style w:type="table" w:styleId="20">
    <w:name w:val="Table Gri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footnote reference"/>
    <w:qFormat/>
    <w:uiPriority w:val="0"/>
    <w:rPr>
      <w:vertAlign w:val="superscript"/>
    </w:rPr>
  </w:style>
  <w:style w:type="paragraph" w:customStyle="1" w:styleId="24">
    <w:name w:val="封面落款"/>
    <w:basedOn w:val="1"/>
    <w:next w:val="1"/>
    <w:qFormat/>
    <w:uiPriority w:val="0"/>
    <w:pPr>
      <w:widowControl/>
      <w:autoSpaceDE w:val="0"/>
      <w:autoSpaceDN w:val="0"/>
      <w:adjustRightInd w:val="0"/>
      <w:spacing w:line="440" w:lineRule="atLeast"/>
      <w:ind w:firstLine="0" w:firstLineChars="0"/>
      <w:jc w:val="center"/>
      <w:textAlignment w:val="bottom"/>
    </w:pPr>
    <w:rPr>
      <w:rFonts w:ascii="黑体" w:hAnsi="黑体" w:eastAsia="黑体"/>
      <w:kern w:val="0"/>
      <w:sz w:val="32"/>
      <w:szCs w:val="30"/>
    </w:rPr>
  </w:style>
  <w:style w:type="paragraph" w:customStyle="1" w:styleId="25">
    <w:name w:val="封面标题"/>
    <w:basedOn w:val="1"/>
    <w:next w:val="1"/>
    <w:qFormat/>
    <w:uiPriority w:val="0"/>
    <w:pPr>
      <w:widowControl/>
      <w:autoSpaceDE w:val="0"/>
      <w:autoSpaceDN w:val="0"/>
      <w:adjustRightInd w:val="0"/>
      <w:spacing w:before="300" w:beforeLines="300"/>
      <w:jc w:val="center"/>
      <w:textAlignment w:val="bottom"/>
    </w:pPr>
    <w:rPr>
      <w:rFonts w:eastAsia="黑体"/>
      <w:bCs/>
      <w:kern w:val="0"/>
      <w:sz w:val="44"/>
      <w:szCs w:val="32"/>
    </w:rPr>
  </w:style>
  <w:style w:type="character" w:customStyle="1" w:styleId="26">
    <w:name w:val="标题 1 字符1"/>
    <w:link w:val="3"/>
    <w:qFormat/>
    <w:uiPriority w:val="0"/>
    <w:rPr>
      <w:rFonts w:eastAsia="宋体" w:asciiTheme="minorAscii" w:hAnsiTheme="minorAscii"/>
      <w:b/>
      <w:bCs/>
      <w:kern w:val="44"/>
      <w:sz w:val="72"/>
      <w:szCs w:val="44"/>
    </w:rPr>
  </w:style>
  <w:style w:type="character" w:customStyle="1" w:styleId="27">
    <w:name w:val="标题 2 字符1"/>
    <w:link w:val="4"/>
    <w:qFormat/>
    <w:uiPriority w:val="0"/>
    <w:rPr>
      <w:rFonts w:ascii="宋体" w:hAnsi="宋体" w:eastAsia="宋体" w:cs="Times New Roman"/>
      <w:b/>
      <w:bCs/>
      <w:iCs/>
      <w:kern w:val="2"/>
      <w:sz w:val="32"/>
      <w:lang w:val="en-US" w:eastAsia="zh-CN"/>
    </w:rPr>
  </w:style>
  <w:style w:type="character" w:customStyle="1" w:styleId="28">
    <w:name w:val="标题 3 字符"/>
    <w:link w:val="5"/>
    <w:qFormat/>
    <w:uiPriority w:val="0"/>
    <w:rPr>
      <w:rFonts w:ascii="宋体" w:hAnsi="宋体" w:eastAsia="黑体" w:cs="Times New Roman"/>
      <w:b/>
      <w:sz w:val="32"/>
    </w:rPr>
  </w:style>
  <w:style w:type="character" w:customStyle="1" w:styleId="29">
    <w:name w:val="标题 7 字符"/>
    <w:link w:val="7"/>
    <w:qFormat/>
    <w:uiPriority w:val="9"/>
    <w:rPr>
      <w:rFonts w:ascii="Times New Roman" w:hAnsi="Times New Roman" w:eastAsia="宋体"/>
      <w:bCs/>
      <w:sz w:val="24"/>
      <w:szCs w:val="24"/>
    </w:rPr>
  </w:style>
  <w:style w:type="paragraph" w:customStyle="1" w:styleId="30">
    <w:name w:val="正文台头"/>
    <w:basedOn w:val="1"/>
    <w:next w:val="1"/>
    <w:qFormat/>
    <w:uiPriority w:val="0"/>
    <w:pPr>
      <w:spacing w:before="60" w:after="60" w:line="240" w:lineRule="auto"/>
      <w:ind w:firstLine="0" w:firstLineChars="0"/>
      <w:jc w:val="center"/>
    </w:pPr>
    <w:rPr>
      <w:rFonts w:hAnsi="宋体" w:eastAsia="黑体" w:cs="宋体"/>
      <w:kern w:val="2"/>
      <w:sz w:val="28"/>
      <w:szCs w:val="28"/>
      <w:lang w:val="zh-TW" w:eastAsia="zh-TW"/>
    </w:rPr>
  </w:style>
  <w:style w:type="paragraph" w:customStyle="1" w:styleId="31">
    <w:name w:val="正文靠左"/>
    <w:basedOn w:val="1"/>
    <w:next w:val="1"/>
    <w:qFormat/>
    <w:uiPriority w:val="0"/>
    <w:pPr>
      <w:ind w:firstLine="0" w:firstLineChars="0"/>
    </w:pPr>
    <w:rPr>
      <w:rFonts w:cs="宋体"/>
      <w:kern w:val="2"/>
      <w:sz w:val="21"/>
      <w:szCs w:val="21"/>
    </w:rPr>
  </w:style>
  <w:style w:type="paragraph" w:customStyle="1" w:styleId="32">
    <w:name w:val="2"/>
    <w:basedOn w:val="1"/>
    <w:qFormat/>
    <w:uiPriority w:val="0"/>
    <w:pPr>
      <w:snapToGrid/>
      <w:spacing w:before="60" w:after="60" w:line="420" w:lineRule="atLeast"/>
      <w:ind w:left="454" w:firstLine="454"/>
      <w:textAlignment w:val="baseline"/>
    </w:pPr>
    <w:rPr>
      <w:rFonts w:ascii="Times New Roman" w:hAnsi="Times New Roman" w:eastAsia="宋体" w:cs="Times New Roman"/>
      <w:snapToGrid/>
      <w:position w:val="5"/>
      <w:sz w:val="21"/>
    </w:rPr>
  </w:style>
  <w:style w:type="paragraph" w:styleId="33">
    <w:name w:val="List Paragraph"/>
    <w:basedOn w:val="1"/>
    <w:qFormat/>
    <w:uiPriority w:val="34"/>
    <w:pPr>
      <w:ind w:firstLine="420" w:firstLineChars="200"/>
    </w:pPr>
  </w:style>
  <w:style w:type="paragraph" w:customStyle="1" w:styleId="34">
    <w:name w:val="列出段落1"/>
    <w:basedOn w:val="1"/>
    <w:qFormat/>
    <w:uiPriority w:val="0"/>
    <w:pPr>
      <w:autoSpaceDE w:val="0"/>
      <w:autoSpaceDN w:val="0"/>
      <w:adjustRightInd w:val="0"/>
      <w:ind w:left="138" w:firstLine="478"/>
      <w:jc w:val="left"/>
    </w:pPr>
    <w:rPr>
      <w:rFonts w:ascii="宋体" w:cs="宋体"/>
      <w:kern w:val="0"/>
      <w:sz w:val="24"/>
    </w:rPr>
  </w:style>
  <w:style w:type="character" w:customStyle="1" w:styleId="35">
    <w:name w:val="font161"/>
    <w:qFormat/>
    <w:uiPriority w:val="0"/>
    <w:rPr>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13</Pages>
  <Words>6356</Words>
  <Characters>6833</Characters>
  <Lines>0</Lines>
  <Paragraphs>0</Paragraphs>
  <TotalTime>1</TotalTime>
  <ScaleCrop>false</ScaleCrop>
  <LinksUpToDate>false</LinksUpToDate>
  <CharactersWithSpaces>6883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北京环亚恒信</dc:creator>
  <cp:lastModifiedBy>嘻嘻嘻</cp:lastModifiedBy>
  <dcterms:modified xsi:type="dcterms:W3CDTF">2022-09-02T05:55:07Z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7F9BCE1968F04CD6B2BFCA2C8A6A17AA</vt:lpwstr>
  </property>
</Properties>
</file>