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1、附录</w:t>
      </w:r>
    </w:p>
    <w:p>
      <w:pPr>
        <w:ind w:firstLine="643" w:firstLineChars="200"/>
        <w:jc w:val="center"/>
        <w:rPr>
          <w:rFonts w:ascii="宋体" w:hAnsi="宋体" w:eastAsia="宋体" w:cs="宋体"/>
          <w:b/>
          <w:bCs/>
          <w:sz w:val="32"/>
          <w:szCs w:val="32"/>
        </w:rPr>
      </w:pPr>
      <w:r>
        <w:rPr>
          <w:rFonts w:hint="eastAsia" w:ascii="宋体" w:hAnsi="宋体" w:eastAsia="宋体" w:cs="宋体"/>
          <w:b/>
          <w:bCs/>
          <w:kern w:val="44"/>
          <w:sz w:val="32"/>
          <w:szCs w:val="32"/>
        </w:rPr>
        <w:t>附录1 资格审查条件（资质最低要求）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93"/>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08" w:hRule="atLeast"/>
        </w:trPr>
        <w:tc>
          <w:tcPr>
            <w:tcW w:w="1242" w:type="pct"/>
            <w:shd w:val="clear" w:color="auto" w:fill="auto"/>
            <w:vAlign w:val="center"/>
          </w:tcPr>
          <w:p>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标段名称</w:t>
            </w:r>
          </w:p>
        </w:tc>
        <w:tc>
          <w:tcPr>
            <w:tcW w:w="3757" w:type="pct"/>
            <w:shd w:val="clear" w:color="auto" w:fill="auto"/>
            <w:vAlign w:val="center"/>
          </w:tcPr>
          <w:p>
            <w:pPr>
              <w:snapToGrid w:val="0"/>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资质最低要求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77" w:hRule="atLeast"/>
        </w:trPr>
        <w:tc>
          <w:tcPr>
            <w:tcW w:w="1242" w:type="pct"/>
            <w:shd w:val="clear" w:color="auto" w:fill="auto"/>
            <w:vAlign w:val="center"/>
          </w:tcPr>
          <w:p>
            <w:pPr>
              <w:snapToGrid w:val="0"/>
              <w:spacing w:line="360" w:lineRule="auto"/>
              <w:ind w:firstLine="420" w:firstLineChars="200"/>
              <w:jc w:val="left"/>
              <w:rPr>
                <w:rFonts w:ascii="宋体" w:hAnsi="宋体" w:cs="宋体"/>
                <w:szCs w:val="21"/>
              </w:rPr>
            </w:pPr>
            <w:r>
              <w:rPr>
                <w:rFonts w:hint="eastAsia" w:ascii="宋体" w:hAnsi="宋体" w:cs="宋体"/>
                <w:szCs w:val="21"/>
              </w:rPr>
              <w:t>GAJL</w:t>
            </w:r>
            <w:r>
              <w:rPr>
                <w:rFonts w:ascii="宋体" w:hAnsi="宋体" w:cs="宋体"/>
                <w:szCs w:val="21"/>
              </w:rPr>
              <w:t>-A</w:t>
            </w:r>
          </w:p>
          <w:p>
            <w:pPr>
              <w:snapToGrid w:val="0"/>
              <w:spacing w:line="360" w:lineRule="auto"/>
              <w:ind w:firstLine="420" w:firstLineChars="200"/>
              <w:jc w:val="left"/>
              <w:rPr>
                <w:rFonts w:ascii="宋体" w:hAnsi="宋体" w:cs="Arial"/>
                <w:szCs w:val="21"/>
              </w:rPr>
            </w:pPr>
            <w:r>
              <w:rPr>
                <w:rFonts w:hint="eastAsia" w:ascii="宋体" w:hAnsi="宋体" w:cs="Arial"/>
                <w:szCs w:val="21"/>
              </w:rPr>
              <w:t>GAJL</w:t>
            </w:r>
            <w:r>
              <w:rPr>
                <w:rFonts w:ascii="宋体" w:hAnsi="宋体" w:cs="Arial"/>
                <w:szCs w:val="21"/>
              </w:rPr>
              <w:t>-B</w:t>
            </w:r>
          </w:p>
          <w:p>
            <w:pPr>
              <w:snapToGrid w:val="0"/>
              <w:spacing w:line="360" w:lineRule="auto"/>
              <w:ind w:firstLine="420" w:firstLineChars="200"/>
              <w:jc w:val="left"/>
              <w:rPr>
                <w:rFonts w:ascii="宋体" w:hAnsi="宋体" w:cs="Arial"/>
                <w:szCs w:val="21"/>
              </w:rPr>
            </w:pPr>
            <w:r>
              <w:rPr>
                <w:rFonts w:hint="eastAsia" w:ascii="宋体" w:hAnsi="宋体" w:cs="Arial"/>
                <w:szCs w:val="21"/>
              </w:rPr>
              <w:t>GAJL</w:t>
            </w:r>
            <w:r>
              <w:rPr>
                <w:rFonts w:ascii="宋体" w:hAnsi="宋体" w:cs="Arial"/>
                <w:szCs w:val="21"/>
              </w:rPr>
              <w:t>-C</w:t>
            </w:r>
          </w:p>
          <w:p>
            <w:pPr>
              <w:snapToGrid w:val="0"/>
              <w:spacing w:line="360" w:lineRule="auto"/>
              <w:ind w:firstLine="420" w:firstLineChars="200"/>
              <w:jc w:val="left"/>
              <w:rPr>
                <w:rFonts w:ascii="宋体" w:hAnsi="宋体" w:cs="Arial"/>
                <w:szCs w:val="21"/>
              </w:rPr>
            </w:pPr>
            <w:r>
              <w:rPr>
                <w:rFonts w:hint="eastAsia" w:ascii="宋体" w:hAnsi="宋体" w:cs="Arial"/>
                <w:szCs w:val="21"/>
              </w:rPr>
              <w:t>GAJL</w:t>
            </w:r>
            <w:r>
              <w:rPr>
                <w:rFonts w:ascii="宋体" w:hAnsi="宋体" w:cs="Arial"/>
                <w:szCs w:val="21"/>
              </w:rPr>
              <w:t>-D</w:t>
            </w:r>
          </w:p>
          <w:p>
            <w:pPr>
              <w:snapToGrid w:val="0"/>
              <w:spacing w:line="360" w:lineRule="auto"/>
              <w:ind w:firstLine="420" w:firstLineChars="200"/>
              <w:jc w:val="left"/>
              <w:rPr>
                <w:rFonts w:ascii="Times New Roman" w:hAnsi="Times New Roman" w:eastAsia="宋体" w:cs="Times New Roman"/>
                <w:b/>
                <w:bCs/>
                <w:kern w:val="0"/>
                <w:sz w:val="18"/>
                <w:szCs w:val="18"/>
              </w:rPr>
            </w:pPr>
            <w:r>
              <w:rPr>
                <w:rFonts w:hint="eastAsia" w:ascii="宋体" w:hAnsi="宋体" w:cs="Arial"/>
                <w:szCs w:val="21"/>
              </w:rPr>
              <w:t>GAJL</w:t>
            </w:r>
            <w:r>
              <w:rPr>
                <w:rFonts w:ascii="宋体" w:hAnsi="宋体" w:cs="Arial"/>
                <w:szCs w:val="21"/>
              </w:rPr>
              <w:t>-E</w:t>
            </w:r>
          </w:p>
        </w:tc>
        <w:tc>
          <w:tcPr>
            <w:tcW w:w="3757" w:type="pct"/>
            <w:shd w:val="clear" w:color="auto" w:fill="auto"/>
            <w:vAlign w:val="center"/>
          </w:tcPr>
          <w:p>
            <w:pPr>
              <w:snapToGrid w:val="0"/>
              <w:spacing w:line="360" w:lineRule="auto"/>
              <w:ind w:firstLine="420" w:firstLineChars="200"/>
              <w:jc w:val="left"/>
            </w:pPr>
            <w:r>
              <w:rPr>
                <w:rFonts w:hint="eastAsia"/>
              </w:rPr>
              <w:t>1.投标人持有有效的企业法人营业执照；</w:t>
            </w:r>
          </w:p>
          <w:p>
            <w:pPr>
              <w:snapToGrid w:val="0"/>
              <w:spacing w:line="360" w:lineRule="auto"/>
              <w:ind w:firstLine="420" w:firstLineChars="200"/>
              <w:jc w:val="left"/>
            </w:pPr>
            <w:r>
              <w:rPr>
                <w:rFonts w:hint="eastAsia"/>
              </w:rPr>
              <w:t>2.</w:t>
            </w:r>
            <w:r>
              <w:t>具备交通运输主管部门颁发的有效的公路工程甲级监理资质，且投标人应进入交通运输部“全国公路建设市场信用信息管理系统（http://glxy.mot.gov.cn）”中的公路工程施工监理资质企业名录，且投标人名称和资质与该名录中的相应企业名称和资质完全一致。</w:t>
            </w:r>
          </w:p>
        </w:tc>
      </w:tr>
    </w:tbl>
    <w:p>
      <w:pPr>
        <w:rPr>
          <w:rFonts w:ascii="Times New Roman" w:hAnsi="Times New Roman" w:eastAsia="黑体" w:cs="Times New Roman"/>
          <w:sz w:val="28"/>
          <w:szCs w:val="28"/>
        </w:rPr>
      </w:pPr>
      <w:bookmarkStart w:id="0" w:name="_Toc9718"/>
      <w:bookmarkStart w:id="1" w:name="_Toc17616"/>
      <w:bookmarkStart w:id="2" w:name="_Toc15229"/>
      <w:bookmarkStart w:id="3" w:name="_Toc3253"/>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jc w:val="center"/>
        <w:rPr>
          <w:rFonts w:ascii="Times New Roman" w:hAnsi="Times New Roman" w:eastAsia="黑体" w:cs="Times New Roman"/>
          <w:b/>
          <w:bCs/>
          <w:sz w:val="28"/>
          <w:szCs w:val="28"/>
        </w:rPr>
      </w:pPr>
      <w:r>
        <w:rPr>
          <w:rFonts w:hint="eastAsia" w:ascii="宋体" w:hAnsi="宋体" w:eastAsia="宋体" w:cs="宋体"/>
          <w:b/>
          <w:bCs/>
          <w:sz w:val="32"/>
          <w:szCs w:val="32"/>
        </w:rPr>
        <w:t>附录2资格审查条件（业绩最低要求）</w:t>
      </w:r>
      <w:bookmarkEnd w:id="0"/>
      <w:bookmarkEnd w:id="1"/>
      <w:bookmarkEnd w:id="2"/>
      <w:bookmarkEnd w:id="3"/>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7" w:hRule="atLeast"/>
        </w:trPr>
        <w:tc>
          <w:tcPr>
            <w:tcW w:w="5000" w:type="pct"/>
            <w:vAlign w:val="center"/>
          </w:tcPr>
          <w:p>
            <w:pPr>
              <w:snapToGrid w:val="0"/>
              <w:spacing w:line="400" w:lineRule="atLeast"/>
              <w:jc w:val="center"/>
              <w:rPr>
                <w:rFonts w:ascii="Times New Roman" w:hAnsi="Times New Roman" w:eastAsia="宋体" w:cs="Times New Roman"/>
                <w:szCs w:val="21"/>
              </w:rPr>
            </w:pPr>
            <w:r>
              <w:rPr>
                <w:rFonts w:ascii="Times New Roman" w:hAnsi="Times New Roman" w:eastAsia="宋体" w:cs="Times New Roman"/>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2" w:hRule="atLeast"/>
        </w:trPr>
        <w:tc>
          <w:tcPr>
            <w:tcW w:w="5000" w:type="pct"/>
            <w:vAlign w:val="center"/>
          </w:tcPr>
          <w:p>
            <w:pPr>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无业绩要求</w:t>
            </w:r>
          </w:p>
        </w:tc>
      </w:tr>
    </w:tbl>
    <w:p>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pStyle w:val="3"/>
        <w:snapToGrid w:val="0"/>
        <w:spacing w:line="240" w:lineRule="exact"/>
        <w:ind w:firstLine="201" w:firstLineChars="200"/>
        <w:jc w:val="center"/>
        <w:rPr>
          <w:rFonts w:ascii="Times New Roman" w:hAnsi="Times New Roman" w:eastAsia="黑体" w:cs="Times New Roman"/>
          <w:color w:val="auto"/>
          <w:sz w:val="10"/>
          <w:szCs w:val="10"/>
        </w:rPr>
      </w:pPr>
      <w:bookmarkStart w:id="4" w:name="_Toc30199"/>
      <w:bookmarkStart w:id="5" w:name="_Toc31804"/>
      <w:bookmarkStart w:id="6" w:name="_Toc28745"/>
      <w:bookmarkStart w:id="7" w:name="_Toc3171"/>
    </w:p>
    <w:p>
      <w:pPr>
        <w:pStyle w:val="3"/>
        <w:snapToGrid w:val="0"/>
        <w:spacing w:line="240" w:lineRule="atLeast"/>
        <w:ind w:firstLine="643" w:firstLineChars="200"/>
        <w:jc w:val="center"/>
        <w:rPr>
          <w:rFonts w:ascii="宋体" w:hAnsi="宋体" w:eastAsia="宋体" w:cs="宋体"/>
          <w:color w:val="auto"/>
          <w:sz w:val="32"/>
          <w:szCs w:val="32"/>
        </w:rPr>
      </w:pPr>
      <w:r>
        <w:rPr>
          <w:rFonts w:hint="eastAsia" w:ascii="宋体" w:hAnsi="宋体" w:eastAsia="宋体" w:cs="宋体"/>
          <w:color w:val="auto"/>
          <w:sz w:val="32"/>
          <w:szCs w:val="32"/>
        </w:rPr>
        <w:t>附录3资格审查条件（信誉最低要求）</w:t>
      </w:r>
      <w:bookmarkEnd w:id="4"/>
      <w:bookmarkEnd w:id="5"/>
      <w:bookmarkEnd w:id="6"/>
      <w:bookmarkEnd w:id="7"/>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0" w:hRule="atLeast"/>
        </w:trPr>
        <w:tc>
          <w:tcPr>
            <w:tcW w:w="5000" w:type="pct"/>
            <w:vAlign w:val="center"/>
          </w:tcPr>
          <w:p>
            <w:pPr>
              <w:snapToGrid w:val="0"/>
              <w:spacing w:line="320" w:lineRule="exact"/>
              <w:ind w:firstLine="420" w:firstLineChars="200"/>
              <w:jc w:val="center"/>
              <w:rPr>
                <w:rFonts w:ascii="宋体" w:hAnsi="宋体" w:eastAsia="宋体" w:cs="宋体"/>
                <w:szCs w:val="21"/>
              </w:rPr>
            </w:pPr>
            <w:r>
              <w:rPr>
                <w:rFonts w:hint="eastAsia" w:ascii="宋体" w:hAnsi="宋体" w:eastAsia="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60" w:hRule="atLeast"/>
        </w:trPr>
        <w:tc>
          <w:tcPr>
            <w:tcW w:w="5000" w:type="pct"/>
            <w:vAlign w:val="center"/>
          </w:tcPr>
          <w:p>
            <w:pPr>
              <w:pStyle w:val="6"/>
              <w:spacing w:line="360" w:lineRule="auto"/>
              <w:ind w:firstLine="0" w:firstLineChars="0"/>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-A</w:t>
            </w:r>
            <w:r>
              <w:rPr>
                <w:rFonts w:hint="eastAsia" w:ascii="宋体" w:hAnsi="宋体" w:eastAsia="宋体" w:cs="宋体"/>
                <w:b/>
                <w:bCs/>
                <w:szCs w:val="21"/>
              </w:rPr>
              <w:t>~</w:t>
            </w:r>
            <w:r>
              <w:rPr>
                <w:rFonts w:hint="eastAsia" w:ascii="宋体" w:hAnsi="宋体" w:eastAsia="宋体" w:cs="宋体"/>
                <w:szCs w:val="21"/>
              </w:rPr>
              <w:t>GAJL</w:t>
            </w:r>
            <w:r>
              <w:rPr>
                <w:rFonts w:ascii="宋体" w:hAnsi="宋体" w:eastAsia="宋体" w:cs="宋体"/>
                <w:szCs w:val="21"/>
              </w:rPr>
              <w:t>-E</w:t>
            </w:r>
            <w:r>
              <w:rPr>
                <w:rFonts w:hint="eastAsia" w:ascii="宋体" w:hAnsi="宋体" w:eastAsia="宋体" w:cs="宋体"/>
                <w:b/>
                <w:bCs/>
                <w:szCs w:val="21"/>
              </w:rPr>
              <w:t>标段：</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cs="宋体"/>
                <w:b/>
                <w:bCs/>
                <w:szCs w:val="21"/>
              </w:rPr>
              <w:t>不得存在</w:t>
            </w:r>
            <w:r>
              <w:rPr>
                <w:rFonts w:hint="eastAsia" w:ascii="宋体" w:hAnsi="宋体" w:eastAsia="宋体" w:cs="宋体"/>
                <w:szCs w:val="21"/>
              </w:rPr>
              <w:t>下列不良状况或不良信用记录：</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（1）被贵州省交通运输厅或交通运输部取消贵州省公路建设市场的投标资格且处于有效期内；</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（2）被责令停业，暂扣或吊销执照，或吊销资质证书；</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（3）进入清算程序，或被宣告破产，或其他丧失履约能力的情形；</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（4）在国家企业信用信息公示系统（http：//www.gsxt.gov.cn/）中被列入严重违法失信企业名单；</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（5）在“信用中国”网站（http：//www.creditchina.gov.cn/）中被列入失信被执行人名单；</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（6）投标人或其法定代表人、拟委任的驻地监理工程师在近三年内有行贿犯罪行为的（行贿犯罪行为的认定改至评标结束后，由招标人通过中国裁判文书网对中标候选人进行查询，</w:t>
            </w:r>
            <w:r>
              <w:rPr>
                <w:rFonts w:hint="eastAsia" w:ascii="宋体" w:hAnsi="宋体" w:eastAsia="宋体" w:cs="宋体"/>
                <w:b/>
                <w:bCs/>
                <w:szCs w:val="21"/>
              </w:rPr>
              <w:t>在投标阶段投标人须在投标文件中提供承诺函（格式自拟）</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（7）投标人最近三年内在公路工程建设领域发生过重大或特别重大安全事故；</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（8）投标人在贵州省公路建设市场发生过重大违约问题；</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（9）投标人涉及正在诉讼的案件，涉及正在诉讼的案件经评标委员会认定会对承担本项目造成重大影响；</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（10）投标人最新年度的信用评价结果为D级。</w:t>
            </w:r>
          </w:p>
        </w:tc>
      </w:tr>
    </w:tbl>
    <w:p>
      <w:pPr>
        <w:snapToGrid w:val="0"/>
        <w:spacing w:after="100" w:afterAutospacing="1" w:line="360" w:lineRule="auto"/>
        <w:ind w:firstLine="422" w:firstLineChars="200"/>
        <w:rPr>
          <w:rFonts w:ascii="宋体" w:hAnsi="宋体" w:eastAsia="宋体" w:cs="宋体"/>
          <w:b/>
          <w:bCs/>
          <w:sz w:val="18"/>
          <w:szCs w:val="18"/>
        </w:rPr>
      </w:pPr>
      <w:r>
        <w:rPr>
          <w:rFonts w:hint="eastAsia" w:ascii="宋体" w:hAnsi="宋体" w:eastAsia="宋体" w:cs="宋体"/>
          <w:b/>
          <w:bCs/>
          <w:szCs w:val="21"/>
        </w:rPr>
        <w:t>注：投标人最新信用评价等级的引用将参照《关于进一步加强和改进高速公路招投标及相关工作的通知》黔交建设〔2013〕36号文件、《贵州省交通运输厅关于印发〈贵州省高速公路设计施工企业信用评价实施细则（试行）〉的通知（黔交建设〔2016〕279号）》及《贵州省交通运输厅关于高速公路设计施工企业信用评价结果引用的补充通知（黔交建设〔2016〕291号）》（可在贵州省交通运输厅网站www.qjt.gov.cn上查询）中有关规定执行，具体引用原则详见投标人须知前附表第10.9款。</w:t>
      </w:r>
    </w:p>
    <w:p>
      <w:pPr>
        <w:snapToGrid w:val="0"/>
        <w:spacing w:beforeAutospacing="1" w:afterAutospacing="1" w:line="440" w:lineRule="exact"/>
        <w:ind w:firstLine="321" w:firstLineChars="200"/>
        <w:rPr>
          <w:rFonts w:ascii="Times New Roman" w:hAnsi="Times New Roman" w:eastAsia="黑体" w:cs="Times New Roman"/>
          <w:b/>
          <w:bCs/>
          <w:sz w:val="16"/>
          <w:szCs w:val="16"/>
        </w:rPr>
      </w:pPr>
    </w:p>
    <w:p>
      <w:pPr>
        <w:rPr>
          <w:rFonts w:ascii="Times New Roman" w:hAnsi="Times New Roman" w:eastAsia="黑体" w:cs="Times New Roman"/>
          <w:b/>
          <w:bCs/>
          <w:sz w:val="16"/>
          <w:szCs w:val="16"/>
        </w:rPr>
      </w:pPr>
      <w:r>
        <w:rPr>
          <w:rFonts w:ascii="Times New Roman" w:hAnsi="Times New Roman" w:eastAsia="黑体" w:cs="Times New Roman"/>
          <w:b/>
          <w:bCs/>
          <w:sz w:val="16"/>
          <w:szCs w:val="16"/>
        </w:rPr>
        <w:br w:type="page"/>
      </w:r>
    </w:p>
    <w:p>
      <w:pPr>
        <w:pStyle w:val="3"/>
        <w:snapToGrid w:val="0"/>
        <w:spacing w:line="240" w:lineRule="exact"/>
        <w:ind w:firstLine="201" w:firstLineChars="200"/>
        <w:jc w:val="center"/>
        <w:rPr>
          <w:rFonts w:ascii="Times New Roman" w:hAnsi="Times New Roman" w:eastAsia="黑体" w:cs="Times New Roman"/>
          <w:color w:val="auto"/>
          <w:sz w:val="10"/>
          <w:szCs w:val="10"/>
        </w:rPr>
      </w:pPr>
      <w:bookmarkStart w:id="8" w:name="_Toc27171"/>
      <w:bookmarkStart w:id="9" w:name="_Toc3004"/>
      <w:bookmarkStart w:id="10" w:name="_Toc29677"/>
      <w:bookmarkStart w:id="11" w:name="_Toc23592"/>
    </w:p>
    <w:p>
      <w:pPr>
        <w:pStyle w:val="3"/>
        <w:snapToGrid w:val="0"/>
        <w:spacing w:line="240" w:lineRule="atLeast"/>
        <w:ind w:firstLine="643" w:firstLineChars="200"/>
        <w:jc w:val="center"/>
        <w:rPr>
          <w:rFonts w:ascii="Times New Roman" w:hAnsi="Times New Roman" w:eastAsia="黑体" w:cs="Times New Roman"/>
          <w:color w:val="auto"/>
          <w:sz w:val="28"/>
          <w:szCs w:val="28"/>
        </w:rPr>
      </w:pPr>
      <w:r>
        <w:rPr>
          <w:rFonts w:hint="eastAsia" w:ascii="宋体" w:hAnsi="宋体" w:eastAsia="宋体" w:cs="宋体"/>
          <w:color w:val="auto"/>
          <w:sz w:val="32"/>
          <w:szCs w:val="32"/>
        </w:rPr>
        <w:t>附录4  资格审查条件（驻地监理工程师最低要求）</w:t>
      </w:r>
      <w:bookmarkEnd w:id="8"/>
      <w:bookmarkEnd w:id="9"/>
      <w:bookmarkEnd w:id="10"/>
      <w:bookmarkEnd w:id="11"/>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38"/>
        <w:gridCol w:w="981"/>
        <w:gridCol w:w="529"/>
        <w:gridCol w:w="371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0" w:hRule="atLeast"/>
        </w:trPr>
        <w:tc>
          <w:tcPr>
            <w:tcW w:w="441"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人员</w:t>
            </w:r>
          </w:p>
        </w:tc>
        <w:tc>
          <w:tcPr>
            <w:tcW w:w="586"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标段</w:t>
            </w:r>
          </w:p>
        </w:tc>
        <w:tc>
          <w:tcPr>
            <w:tcW w:w="316"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数量</w:t>
            </w:r>
          </w:p>
        </w:tc>
        <w:tc>
          <w:tcPr>
            <w:tcW w:w="2217"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资格要求</w:t>
            </w:r>
          </w:p>
        </w:tc>
        <w:tc>
          <w:tcPr>
            <w:tcW w:w="1437"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07" w:hRule="atLeast"/>
        </w:trPr>
        <w:tc>
          <w:tcPr>
            <w:tcW w:w="441"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驻地监理工程师</w:t>
            </w:r>
          </w:p>
        </w:tc>
        <w:tc>
          <w:tcPr>
            <w:tcW w:w="586"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-A</w:t>
            </w:r>
          </w:p>
          <w:p>
            <w:pPr>
              <w:snapToGrid w:val="0"/>
              <w:spacing w:line="320" w:lineRule="atLeast"/>
              <w:jc w:val="center"/>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-B</w:t>
            </w:r>
          </w:p>
          <w:p>
            <w:pPr>
              <w:snapToGrid w:val="0"/>
              <w:spacing w:line="320" w:lineRule="atLeast"/>
              <w:jc w:val="center"/>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-C</w:t>
            </w:r>
          </w:p>
          <w:p>
            <w:pPr>
              <w:snapToGrid w:val="0"/>
              <w:spacing w:line="320" w:lineRule="atLeast"/>
              <w:jc w:val="center"/>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-D</w:t>
            </w:r>
          </w:p>
          <w:p>
            <w:pPr>
              <w:snapToGrid w:val="0"/>
              <w:spacing w:line="320" w:lineRule="atLeast"/>
              <w:jc w:val="center"/>
              <w:rPr>
                <w:rFonts w:ascii="宋体" w:hAnsi="宋体" w:eastAsia="宋体" w:cs="宋体"/>
                <w:szCs w:val="21"/>
              </w:rPr>
            </w:pPr>
            <w:r>
              <w:rPr>
                <w:rFonts w:hint="eastAsia" w:ascii="宋体" w:hAnsi="宋体" w:eastAsia="宋体" w:cs="宋体"/>
                <w:szCs w:val="21"/>
              </w:rPr>
              <w:t>GAJL</w:t>
            </w:r>
            <w:r>
              <w:rPr>
                <w:rFonts w:ascii="宋体" w:hAnsi="宋体" w:eastAsia="宋体" w:cs="宋体"/>
                <w:szCs w:val="21"/>
              </w:rPr>
              <w:t>-E</w:t>
            </w:r>
          </w:p>
        </w:tc>
        <w:tc>
          <w:tcPr>
            <w:tcW w:w="316" w:type="pct"/>
            <w:shd w:val="clear" w:color="auto" w:fill="auto"/>
            <w:vAlign w:val="center"/>
          </w:tcPr>
          <w:p>
            <w:pPr>
              <w:snapToGrid w:val="0"/>
              <w:spacing w:line="320" w:lineRule="atLeast"/>
              <w:jc w:val="center"/>
              <w:rPr>
                <w:rFonts w:ascii="宋体" w:hAnsi="宋体" w:eastAsia="宋体" w:cs="宋体"/>
                <w:szCs w:val="21"/>
              </w:rPr>
            </w:pPr>
            <w:r>
              <w:rPr>
                <w:rFonts w:hint="eastAsia" w:ascii="宋体" w:hAnsi="宋体" w:eastAsia="宋体" w:cs="宋体"/>
                <w:szCs w:val="21"/>
              </w:rPr>
              <w:t>1</w:t>
            </w:r>
          </w:p>
          <w:p>
            <w:pPr>
              <w:snapToGrid w:val="0"/>
              <w:spacing w:line="320" w:lineRule="atLeast"/>
              <w:jc w:val="center"/>
              <w:rPr>
                <w:rFonts w:ascii="宋体" w:hAnsi="宋体" w:eastAsia="宋体" w:cs="宋体"/>
                <w:szCs w:val="21"/>
              </w:rPr>
            </w:pPr>
          </w:p>
        </w:tc>
        <w:tc>
          <w:tcPr>
            <w:tcW w:w="2217" w:type="pct"/>
            <w:shd w:val="clear" w:color="auto" w:fill="auto"/>
            <w:vAlign w:val="center"/>
          </w:tcPr>
          <w:p>
            <w:pPr>
              <w:snapToGrid w:val="0"/>
              <w:spacing w:line="320" w:lineRule="atLeast"/>
              <w:rPr>
                <w:rFonts w:ascii="宋体" w:hAnsi="宋体" w:eastAsia="宋体" w:cs="宋体"/>
                <w:szCs w:val="21"/>
              </w:rPr>
            </w:pPr>
            <w:r>
              <w:rPr>
                <w:rFonts w:hint="eastAsia" w:ascii="宋体" w:hAnsi="宋体" w:eastAsia="宋体" w:cs="宋体"/>
                <w:szCs w:val="21"/>
              </w:rPr>
              <w:t>拟任的驻地监理工程师具有公路工程相关专业高级工程师及以上技术职称，至少10年以上的公路工程施工监理工作经验，持有交通运输部（原交通部）颁发的监理工程师证书或持有注册监理工程师证书（交通运输工程专业），且已在投标人处进行岗位登记，年龄不超过60周岁。</w:t>
            </w:r>
          </w:p>
        </w:tc>
        <w:tc>
          <w:tcPr>
            <w:tcW w:w="1437" w:type="pct"/>
            <w:shd w:val="clear" w:color="auto" w:fill="auto"/>
            <w:vAlign w:val="center"/>
          </w:tcPr>
          <w:p>
            <w:pPr>
              <w:snapToGrid w:val="0"/>
              <w:spacing w:line="320" w:lineRule="atLeast"/>
              <w:rPr>
                <w:rFonts w:ascii="宋体" w:hAnsi="宋体" w:eastAsia="宋体" w:cs="宋体"/>
                <w:szCs w:val="21"/>
              </w:rPr>
            </w:pPr>
            <w:r>
              <w:rPr>
                <w:rFonts w:hint="eastAsia" w:ascii="宋体" w:hAnsi="宋体" w:eastAsia="宋体" w:cs="宋体"/>
                <w:szCs w:val="21"/>
              </w:rPr>
              <w:t>在岗状态按以下标准进行分类：</w:t>
            </w:r>
          </w:p>
          <w:p>
            <w:pPr>
              <w:snapToGrid w:val="0"/>
              <w:spacing w:line="320" w:lineRule="atLeast"/>
              <w:rPr>
                <w:rFonts w:ascii="宋体" w:hAnsi="宋体" w:eastAsia="宋体" w:cs="宋体"/>
                <w:szCs w:val="21"/>
              </w:rPr>
            </w:pPr>
            <w:r>
              <w:rPr>
                <w:rFonts w:hint="eastAsia" w:ascii="宋体" w:hAnsi="宋体" w:eastAsia="宋体" w:cs="宋体"/>
                <w:szCs w:val="21"/>
              </w:rPr>
              <w:t>a.未在任何在建项目上任职；</w:t>
            </w:r>
          </w:p>
          <w:p>
            <w:pPr>
              <w:snapToGrid w:val="0"/>
              <w:spacing w:line="320" w:lineRule="atLeast"/>
              <w:rPr>
                <w:rFonts w:ascii="宋体" w:hAnsi="宋体" w:eastAsia="宋体" w:cs="宋体"/>
                <w:szCs w:val="21"/>
              </w:rPr>
            </w:pPr>
            <w:r>
              <w:rPr>
                <w:rFonts w:hint="eastAsia" w:ascii="宋体" w:hAnsi="宋体" w:eastAsia="宋体" w:cs="宋体"/>
                <w:szCs w:val="21"/>
              </w:rPr>
              <w:t>b.在在建项目上任主要职务，但该项目即将完工，可确保本项目中标后到位；</w:t>
            </w:r>
          </w:p>
          <w:p>
            <w:pPr>
              <w:snapToGrid w:val="0"/>
              <w:spacing w:line="320" w:lineRule="atLeast"/>
              <w:rPr>
                <w:rFonts w:ascii="宋体" w:hAnsi="宋体" w:eastAsia="宋体" w:cs="宋体"/>
                <w:szCs w:val="21"/>
              </w:rPr>
            </w:pPr>
            <w:r>
              <w:rPr>
                <w:rFonts w:hint="eastAsia" w:ascii="宋体" w:hAnsi="宋体" w:eastAsia="宋体" w:cs="宋体"/>
                <w:szCs w:val="21"/>
              </w:rPr>
              <w:t>c.在在建项目上任一般职务，可随时调任本项目；</w:t>
            </w:r>
          </w:p>
          <w:p>
            <w:pPr>
              <w:snapToGrid w:val="0"/>
              <w:spacing w:line="320" w:lineRule="atLeast"/>
              <w:rPr>
                <w:rFonts w:ascii="宋体" w:hAnsi="宋体" w:eastAsia="宋体" w:cs="宋体"/>
                <w:szCs w:val="21"/>
              </w:rPr>
            </w:pPr>
            <w:r>
              <w:rPr>
                <w:rFonts w:hint="eastAsia" w:ascii="宋体" w:hAnsi="宋体" w:eastAsia="宋体" w:cs="宋体"/>
                <w:szCs w:val="21"/>
              </w:rPr>
              <w:t>d.在其它投标项目上作为拟派人员，但仅任一般职务，若其先行中标，则随时调任本项目；</w:t>
            </w:r>
          </w:p>
          <w:p>
            <w:pPr>
              <w:snapToGrid w:val="0"/>
              <w:spacing w:line="320" w:lineRule="atLeast"/>
              <w:rPr>
                <w:rFonts w:ascii="宋体" w:hAnsi="宋体" w:eastAsia="宋体" w:cs="宋体"/>
                <w:szCs w:val="21"/>
              </w:rPr>
            </w:pPr>
            <w:r>
              <w:rPr>
                <w:rFonts w:hint="eastAsia" w:ascii="宋体" w:hAnsi="宋体" w:eastAsia="宋体" w:cs="宋体"/>
                <w:szCs w:val="21"/>
              </w:rPr>
              <w:t>e.在其它投标项目上作为拟派人员，担任主要职务，若其先行中标，则放弃本项目中标资格；</w:t>
            </w:r>
          </w:p>
          <w:p>
            <w:pPr>
              <w:snapToGrid w:val="0"/>
              <w:spacing w:line="320" w:lineRule="atLeast"/>
              <w:rPr>
                <w:rFonts w:ascii="宋体" w:hAnsi="宋体" w:eastAsia="宋体" w:cs="宋体"/>
                <w:szCs w:val="21"/>
              </w:rPr>
            </w:pPr>
            <w:r>
              <w:rPr>
                <w:rFonts w:hint="eastAsia" w:ascii="宋体" w:hAnsi="宋体" w:eastAsia="宋体" w:cs="宋体"/>
                <w:szCs w:val="21"/>
              </w:rPr>
              <w:t>f.其它情况。</w:t>
            </w:r>
          </w:p>
        </w:tc>
      </w:tr>
    </w:tbl>
    <w:p>
      <w:pPr>
        <w:rPr>
          <w:rFonts w:ascii="Times New Roman" w:hAnsi="Times New Roman" w:eastAsia="黑体" w:cs="Times New Roman"/>
          <w:b/>
          <w:bCs/>
          <w:sz w:val="28"/>
          <w:szCs w:val="28"/>
        </w:rPr>
      </w:pPr>
      <w:r>
        <w:rPr>
          <w:rFonts w:ascii="Times New Roman" w:hAnsi="Times New Roman" w:eastAsia="黑体" w:cs="Times New Roman"/>
          <w:b/>
          <w:bCs/>
          <w:sz w:val="28"/>
          <w:szCs w:val="28"/>
        </w:rPr>
        <w:br w:type="page"/>
      </w:r>
    </w:p>
    <w:p>
      <w:pPr>
        <w:pStyle w:val="3"/>
        <w:snapToGrid w:val="0"/>
        <w:spacing w:before="480" w:line="340" w:lineRule="exact"/>
        <w:jc w:val="left"/>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2、评标办法</w:t>
      </w:r>
      <w:bookmarkStart w:id="12" w:name="_GoBack"/>
      <w:bookmarkEnd w:id="12"/>
    </w:p>
    <w:p>
      <w:pPr>
        <w:pStyle w:val="3"/>
        <w:snapToGrid w:val="0"/>
        <w:spacing w:before="480" w:line="340" w:lineRule="exact"/>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评标办法（综合评估法）</w:t>
      </w:r>
    </w:p>
    <w:p>
      <w:pPr>
        <w:pStyle w:val="3"/>
        <w:snapToGrid w:val="0"/>
        <w:spacing w:before="120" w:after="0" w:line="380" w:lineRule="atLeast"/>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评标办法前附表</w:t>
      </w:r>
    </w:p>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2"/>
        <w:gridCol w:w="1932"/>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4" w:hRule="atLeast"/>
          <w:jc w:val="center"/>
        </w:trPr>
        <w:tc>
          <w:tcPr>
            <w:tcW w:w="367" w:type="pct"/>
            <w:tcBorders>
              <w:tl2br w:val="nil"/>
              <w:tr2bl w:val="nil"/>
            </w:tcBorders>
            <w:vAlign w:val="center"/>
          </w:tcPr>
          <w:p>
            <w:pPr>
              <w:snapToGrid w:val="0"/>
              <w:spacing w:line="320" w:lineRule="exact"/>
              <w:jc w:val="center"/>
              <w:rPr>
                <w:rFonts w:ascii="宋体" w:hAnsi="宋体" w:eastAsia="宋体" w:cs="宋体"/>
                <w:b/>
                <w:bCs/>
                <w:szCs w:val="21"/>
              </w:rPr>
            </w:pPr>
            <w:r>
              <w:rPr>
                <w:rFonts w:hint="eastAsia" w:ascii="宋体" w:hAnsi="宋体" w:eastAsia="宋体" w:cs="宋体"/>
                <w:b/>
                <w:bCs/>
                <w:szCs w:val="21"/>
              </w:rPr>
              <w:t>条款号</w:t>
            </w:r>
          </w:p>
        </w:tc>
        <w:tc>
          <w:tcPr>
            <w:tcW w:w="4632" w:type="pct"/>
            <w:gridSpan w:val="2"/>
            <w:tcBorders>
              <w:tl2br w:val="nil"/>
              <w:tr2bl w:val="nil"/>
            </w:tcBorders>
            <w:vAlign w:val="center"/>
          </w:tcPr>
          <w:p>
            <w:pPr>
              <w:snapToGrid w:val="0"/>
              <w:spacing w:line="320" w:lineRule="exact"/>
              <w:jc w:val="center"/>
              <w:rPr>
                <w:rFonts w:ascii="宋体" w:hAnsi="宋体" w:eastAsia="宋体" w:cs="宋体"/>
                <w:b/>
                <w:bCs/>
                <w:spacing w:val="4"/>
                <w:szCs w:val="21"/>
              </w:rPr>
            </w:pPr>
            <w:r>
              <w:rPr>
                <w:rFonts w:hint="eastAsia" w:ascii="宋体" w:hAnsi="宋体" w:eastAsia="宋体" w:cs="宋体"/>
                <w:b/>
                <w:bCs/>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32" w:hRule="atLeast"/>
          <w:jc w:val="center"/>
        </w:trPr>
        <w:tc>
          <w:tcPr>
            <w:tcW w:w="367" w:type="pct"/>
            <w:tcBorders>
              <w:tl2br w:val="nil"/>
              <w:tr2bl w:val="nil"/>
            </w:tcBorders>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1</w:t>
            </w:r>
          </w:p>
        </w:tc>
        <w:tc>
          <w:tcPr>
            <w:tcW w:w="933" w:type="pct"/>
            <w:tcBorders>
              <w:tl2br w:val="nil"/>
              <w:tr2bl w:val="nil"/>
            </w:tcBorders>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评标方法</w:t>
            </w:r>
          </w:p>
        </w:tc>
        <w:tc>
          <w:tcPr>
            <w:tcW w:w="3698" w:type="pct"/>
            <w:tcBorders>
              <w:tl2br w:val="nil"/>
              <w:tr2bl w:val="nil"/>
            </w:tcBorders>
            <w:vAlign w:val="center"/>
          </w:tcPr>
          <w:p>
            <w:pPr>
              <w:snapToGrid w:val="0"/>
              <w:spacing w:line="360" w:lineRule="exact"/>
              <w:rPr>
                <w:rFonts w:ascii="宋体" w:hAnsi="宋体" w:eastAsia="宋体" w:cs="宋体"/>
                <w:szCs w:val="21"/>
              </w:rPr>
            </w:pPr>
            <w:r>
              <w:rPr>
                <w:rFonts w:hint="eastAsia" w:ascii="宋体" w:hAnsi="宋体" w:eastAsia="宋体" w:cs="宋体"/>
                <w:szCs w:val="21"/>
              </w:rPr>
              <w:t>综合评分相等时，评标委员会依次按照以下优先顺序推荐中标候选人或确定中标人：</w:t>
            </w:r>
          </w:p>
          <w:p>
            <w:pPr>
              <w:snapToGrid w:val="0"/>
              <w:spacing w:line="360" w:lineRule="exact"/>
              <w:rPr>
                <w:rFonts w:ascii="宋体" w:hAnsi="宋体" w:eastAsia="宋体" w:cs="宋体"/>
                <w:szCs w:val="21"/>
              </w:rPr>
            </w:pPr>
            <w:r>
              <w:rPr>
                <w:rFonts w:hint="eastAsia" w:ascii="宋体" w:hAnsi="宋体" w:eastAsia="宋体" w:cs="宋体"/>
                <w:szCs w:val="21"/>
              </w:rPr>
              <w:t>（1）评标价低的投标人优先；</w:t>
            </w:r>
          </w:p>
          <w:p>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（2）最新信用评价等级较高的投标人优先；</w:t>
            </w:r>
          </w:p>
          <w:p>
            <w:pPr>
              <w:snapToGrid w:val="0"/>
              <w:spacing w:line="360" w:lineRule="exact"/>
              <w:rPr>
                <w:rFonts w:ascii="宋体" w:hAnsi="宋体" w:eastAsia="宋体" w:cs="宋体"/>
                <w:szCs w:val="21"/>
              </w:rPr>
            </w:pPr>
            <w:r>
              <w:rPr>
                <w:rFonts w:hint="eastAsia" w:ascii="宋体" w:hAnsi="宋体" w:eastAsia="宋体" w:cs="宋体"/>
                <w:szCs w:val="21"/>
              </w:rPr>
              <w:t>（3）商务和技术得分较高的投标人优先；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84" w:hRule="atLeast"/>
          <w:jc w:val="center"/>
        </w:trPr>
        <w:tc>
          <w:tcPr>
            <w:tcW w:w="367" w:type="pct"/>
            <w:tcBorders>
              <w:tl2br w:val="nil"/>
              <w:tr2bl w:val="nil"/>
            </w:tcBorders>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2.1.1</w:t>
            </w:r>
          </w:p>
          <w:p>
            <w:pPr>
              <w:snapToGrid w:val="0"/>
              <w:spacing w:line="320" w:lineRule="exact"/>
              <w:jc w:val="center"/>
              <w:rPr>
                <w:rFonts w:ascii="宋体" w:hAnsi="宋体" w:eastAsia="宋体" w:cs="宋体"/>
                <w:szCs w:val="21"/>
              </w:rPr>
            </w:pPr>
            <w:r>
              <w:rPr>
                <w:rFonts w:hint="eastAsia" w:ascii="宋体" w:hAnsi="宋体" w:eastAsia="宋体" w:cs="宋体"/>
                <w:szCs w:val="21"/>
              </w:rPr>
              <w:t>2.1.3</w:t>
            </w:r>
          </w:p>
        </w:tc>
        <w:tc>
          <w:tcPr>
            <w:tcW w:w="933" w:type="pct"/>
            <w:tcBorders>
              <w:tl2br w:val="nil"/>
              <w:tr2bl w:val="nil"/>
            </w:tcBorders>
            <w:vAlign w:val="center"/>
          </w:tcPr>
          <w:p>
            <w:pPr>
              <w:snapToGrid w:val="0"/>
              <w:spacing w:line="320" w:lineRule="exact"/>
              <w:jc w:val="center"/>
              <w:rPr>
                <w:rFonts w:ascii="宋体" w:hAnsi="宋体" w:eastAsia="宋体" w:cs="宋体"/>
                <w:szCs w:val="21"/>
              </w:rPr>
            </w:pPr>
            <w:r>
              <w:rPr>
                <w:rFonts w:hint="eastAsia" w:ascii="宋体" w:hAnsi="宋体" w:eastAsia="宋体" w:cs="宋体"/>
                <w:szCs w:val="21"/>
              </w:rPr>
              <w:t>形式评审与响应性评审标准</w:t>
            </w:r>
          </w:p>
        </w:tc>
        <w:tc>
          <w:tcPr>
            <w:tcW w:w="3698" w:type="pct"/>
            <w:tcBorders>
              <w:tl2br w:val="nil"/>
              <w:tr2bl w:val="nil"/>
            </w:tcBorders>
            <w:vAlign w:val="center"/>
          </w:tcPr>
          <w:p>
            <w:pPr>
              <w:snapToGrid w:val="0"/>
              <w:spacing w:line="360" w:lineRule="auto"/>
              <w:rPr>
                <w:rFonts w:ascii="宋体" w:hAnsi="宋体" w:eastAsia="宋体" w:cs="宋体"/>
                <w:b/>
                <w:bCs/>
                <w:szCs w:val="21"/>
              </w:rPr>
            </w:pPr>
            <w:r>
              <w:rPr>
                <w:rFonts w:hint="eastAsia" w:ascii="宋体" w:hAnsi="宋体" w:eastAsia="宋体" w:cs="宋体"/>
                <w:b/>
                <w:bCs/>
                <w:szCs w:val="21"/>
              </w:rPr>
              <w:t>第一个信封（商务及技术文件）评审标准：</w:t>
            </w:r>
          </w:p>
          <w:p>
            <w:pPr>
              <w:snapToGrid w:val="0"/>
              <w:spacing w:line="360" w:lineRule="auto"/>
              <w:rPr>
                <w:rFonts w:ascii="宋体" w:hAnsi="宋体" w:eastAsia="宋体" w:cs="宋体"/>
                <w:szCs w:val="21"/>
              </w:rPr>
            </w:pPr>
            <w:r>
              <w:rPr>
                <w:rFonts w:hint="eastAsia" w:ascii="宋体" w:hAnsi="宋体" w:eastAsia="宋体" w:cs="宋体"/>
                <w:szCs w:val="21"/>
              </w:rPr>
              <w:t>（1）投标文件按照招标文件规定的格式、内容填写，字迹清晰可辨：</w:t>
            </w:r>
          </w:p>
          <w:p>
            <w:pPr>
              <w:snapToGrid w:val="0"/>
              <w:spacing w:line="360" w:lineRule="auto"/>
              <w:rPr>
                <w:rFonts w:ascii="宋体" w:hAnsi="宋体" w:eastAsia="宋体" w:cs="宋体"/>
                <w:szCs w:val="21"/>
              </w:rPr>
            </w:pPr>
            <w:r>
              <w:rPr>
                <w:rFonts w:hint="eastAsia" w:ascii="宋体" w:hAnsi="宋体" w:eastAsia="宋体" w:cs="宋体"/>
                <w:szCs w:val="21"/>
              </w:rPr>
              <w:t>a.投标函按招标文件规定填报了项目名称、标段号、补遗书编号（如有）、服务期限、工程质量要求及安全目标；</w:t>
            </w:r>
          </w:p>
          <w:p>
            <w:pPr>
              <w:snapToGrid w:val="0"/>
              <w:spacing w:line="360" w:lineRule="auto"/>
              <w:rPr>
                <w:rFonts w:ascii="宋体" w:hAnsi="宋体" w:eastAsia="宋体" w:cs="宋体"/>
                <w:szCs w:val="21"/>
              </w:rPr>
            </w:pPr>
            <w:r>
              <w:rPr>
                <w:rFonts w:hint="eastAsia" w:ascii="宋体" w:hAnsi="宋体" w:eastAsia="宋体" w:cs="宋体"/>
                <w:szCs w:val="21"/>
              </w:rPr>
              <w:t>b.投标文件组成齐全完整，内容均按规定填写。</w:t>
            </w:r>
          </w:p>
          <w:p>
            <w:pPr>
              <w:snapToGrid w:val="0"/>
              <w:spacing w:line="360" w:lineRule="auto"/>
              <w:rPr>
                <w:rFonts w:ascii="宋体" w:hAnsi="宋体" w:eastAsia="宋体" w:cs="宋体"/>
                <w:szCs w:val="21"/>
              </w:rPr>
            </w:pPr>
            <w:r>
              <w:rPr>
                <w:rFonts w:hint="eastAsia" w:ascii="宋体" w:hAnsi="宋体" w:eastAsia="宋体" w:cs="宋体"/>
                <w:szCs w:val="21"/>
              </w:rPr>
              <w:t>（2）投标文件上法定代表人或其委托代理人的个人电子印（签）章）/签字、投标人的单位电子印章齐全，符合招标文件规定。</w:t>
            </w:r>
          </w:p>
          <w:p>
            <w:pPr>
              <w:snapToGrid w:val="0"/>
              <w:spacing w:line="360" w:lineRule="auto"/>
              <w:rPr>
                <w:rFonts w:ascii="宋体" w:hAnsi="宋体" w:eastAsia="宋体" w:cs="宋体"/>
                <w:szCs w:val="21"/>
              </w:rPr>
            </w:pPr>
            <w:r>
              <w:rPr>
                <w:rFonts w:hint="eastAsia" w:ascii="宋体" w:hAnsi="宋体" w:eastAsia="宋体" w:cs="宋体"/>
                <w:szCs w:val="21"/>
              </w:rPr>
              <w:t>（3）投标人按照招标文件的规定提供了投标保证金：</w:t>
            </w:r>
          </w:p>
          <w:p>
            <w:pPr>
              <w:snapToGrid w:val="0"/>
              <w:spacing w:line="360" w:lineRule="auto"/>
              <w:rPr>
                <w:rFonts w:ascii="宋体" w:hAnsi="宋体" w:eastAsia="宋体" w:cs="宋体"/>
                <w:szCs w:val="21"/>
              </w:rPr>
            </w:pPr>
            <w:r>
              <w:rPr>
                <w:rFonts w:hint="eastAsia" w:ascii="宋体" w:hAnsi="宋体" w:eastAsia="宋体" w:cs="宋体"/>
                <w:szCs w:val="21"/>
              </w:rPr>
              <w:t>a.投标保证金金额符合招标文件规定的金额，且投标保证金有效期不少于投标有效期；</w:t>
            </w:r>
          </w:p>
          <w:p>
            <w:pPr>
              <w:snapToGrid w:val="0"/>
              <w:spacing w:line="360" w:lineRule="auto"/>
              <w:rPr>
                <w:rFonts w:ascii="宋体" w:hAnsi="宋体" w:eastAsia="宋体" w:cs="宋体"/>
                <w:szCs w:val="21"/>
              </w:rPr>
            </w:pPr>
            <w:r>
              <w:rPr>
                <w:rFonts w:hint="eastAsia" w:ascii="宋体" w:hAnsi="宋体" w:eastAsia="宋体" w:cs="宋体"/>
                <w:szCs w:val="21"/>
              </w:rPr>
              <w:t>b.若投标保证金采用现金或支票形式提交，投标人应在递交投标文件截止时间之前，将投标保证金由投标人的基本账户转入招标人指定账户；</w:t>
            </w:r>
          </w:p>
          <w:p>
            <w:pPr>
              <w:snapToGrid w:val="0"/>
              <w:spacing w:line="360" w:lineRule="auto"/>
              <w:rPr>
                <w:rFonts w:ascii="宋体" w:hAnsi="宋体" w:eastAsia="宋体" w:cs="宋体"/>
                <w:szCs w:val="21"/>
              </w:rPr>
            </w:pPr>
            <w:r>
              <w:rPr>
                <w:rFonts w:hint="eastAsia" w:ascii="宋体" w:hAnsi="宋体" w:eastAsia="宋体" w:cs="宋体"/>
                <w:szCs w:val="21"/>
              </w:rPr>
              <w:t>c.若投标保证金采用银行保函形式提交，银行保函的格式、开具保函的银行均满足招标文件要求，</w:t>
            </w:r>
            <w:r>
              <w:rPr>
                <w:rFonts w:hint="eastAsia" w:ascii="宋体" w:hAnsi="宋体" w:eastAsia="宋体" w:cs="宋体"/>
                <w:b/>
                <w:bCs/>
                <w:szCs w:val="21"/>
              </w:rPr>
              <w:t>且在递交投标文件截止时间之前向招标人提交了银行保函原件</w:t>
            </w:r>
            <w:r>
              <w:rPr>
                <w:rFonts w:hint="eastAsia" w:ascii="宋体" w:hAnsi="宋体" w:eastAsia="宋体" w:cs="宋体"/>
                <w:szCs w:val="21"/>
              </w:rPr>
              <w:t>。</w:t>
            </w:r>
          </w:p>
          <w:p>
            <w:pPr>
              <w:snapToGrid w:val="0"/>
              <w:spacing w:line="360" w:lineRule="auto"/>
              <w:rPr>
                <w:rFonts w:ascii="宋体" w:hAnsi="宋体" w:eastAsia="宋体" w:cs="宋体"/>
                <w:szCs w:val="21"/>
              </w:rPr>
            </w:pPr>
            <w:r>
              <w:rPr>
                <w:rFonts w:hint="eastAsia" w:ascii="宋体" w:hAnsi="宋体" w:eastAsia="宋体" w:cs="宋体"/>
                <w:szCs w:val="21"/>
              </w:rPr>
              <w:t>（4）投标人法定代表人授权委托代理人签署投标文件的，须提交授权委托书，且授权人和被授权人均在授权委托书上加盖个人电子印（签）章/签字。</w:t>
            </w:r>
          </w:p>
          <w:p>
            <w:pPr>
              <w:snapToGrid w:val="0"/>
              <w:spacing w:line="360" w:lineRule="auto"/>
              <w:rPr>
                <w:rFonts w:ascii="宋体" w:hAnsi="宋体" w:eastAsia="宋体" w:cs="宋体"/>
                <w:szCs w:val="21"/>
              </w:rPr>
            </w:pPr>
            <w:r>
              <w:rPr>
                <w:rFonts w:hint="eastAsia" w:ascii="宋体" w:hAnsi="宋体" w:eastAsia="宋体" w:cs="宋体"/>
                <w:szCs w:val="21"/>
              </w:rPr>
              <w:t>（5）投标人法定代表人亲自签署投标文件的，提供了法定代表人身份证明，且法定代表人在法定代表人身份证明上加盖个人电子印（签）章。</w:t>
            </w:r>
          </w:p>
          <w:p>
            <w:pPr>
              <w:snapToGrid w:val="0"/>
              <w:spacing w:line="360" w:lineRule="auto"/>
              <w:rPr>
                <w:rFonts w:ascii="宋体" w:hAnsi="宋体" w:eastAsia="宋体" w:cs="宋体"/>
                <w:szCs w:val="21"/>
              </w:rPr>
            </w:pPr>
            <w:r>
              <w:rPr>
                <w:rFonts w:hint="eastAsia" w:ascii="宋体" w:hAnsi="宋体" w:eastAsia="宋体" w:cs="宋体"/>
                <w:szCs w:val="21"/>
              </w:rPr>
              <w:t>（6）同一投标人未提交两个以上不同的投标文件，但招标文件要求提交备选投标的除外。</w:t>
            </w:r>
          </w:p>
          <w:p>
            <w:pPr>
              <w:snapToGrid w:val="0"/>
              <w:spacing w:line="360" w:lineRule="auto"/>
              <w:rPr>
                <w:rFonts w:ascii="宋体" w:hAnsi="宋体" w:eastAsia="宋体" w:cs="宋体"/>
                <w:szCs w:val="21"/>
              </w:rPr>
            </w:pPr>
            <w:r>
              <w:rPr>
                <w:rFonts w:hint="eastAsia" w:ascii="宋体" w:hAnsi="宋体" w:eastAsia="宋体" w:cs="宋体"/>
                <w:szCs w:val="21"/>
              </w:rPr>
              <w:t>（7）投标文件中未出现有关投标报价的内容。</w:t>
            </w:r>
          </w:p>
          <w:p>
            <w:pPr>
              <w:snapToGrid w:val="0"/>
              <w:spacing w:line="360" w:lineRule="auto"/>
              <w:rPr>
                <w:rFonts w:ascii="宋体" w:hAnsi="宋体" w:eastAsia="宋体" w:cs="宋体"/>
                <w:szCs w:val="21"/>
              </w:rPr>
            </w:pPr>
            <w:r>
              <w:rPr>
                <w:rFonts w:hint="eastAsia" w:ascii="宋体" w:hAnsi="宋体" w:eastAsia="宋体" w:cs="宋体"/>
                <w:szCs w:val="21"/>
              </w:rPr>
              <w:t>（8）投标文件载明的招标项目完成期限符合招标文件规定。</w:t>
            </w:r>
          </w:p>
          <w:p>
            <w:pPr>
              <w:snapToGrid w:val="0"/>
              <w:spacing w:line="360" w:lineRule="auto"/>
              <w:rPr>
                <w:rFonts w:ascii="宋体" w:hAnsi="宋体" w:eastAsia="宋体" w:cs="宋体"/>
                <w:szCs w:val="21"/>
              </w:rPr>
            </w:pPr>
            <w:r>
              <w:rPr>
                <w:rFonts w:hint="eastAsia" w:ascii="宋体" w:hAnsi="宋体" w:eastAsia="宋体" w:cs="宋体"/>
                <w:szCs w:val="21"/>
              </w:rPr>
              <w:t>（9）投标文件对招标文件的实质性要求和条件作出响应。</w:t>
            </w:r>
          </w:p>
          <w:p>
            <w:pPr>
              <w:snapToGrid w:val="0"/>
              <w:spacing w:line="360" w:lineRule="auto"/>
              <w:rPr>
                <w:rFonts w:ascii="宋体" w:hAnsi="宋体" w:eastAsia="宋体" w:cs="宋体"/>
                <w:szCs w:val="21"/>
              </w:rPr>
            </w:pPr>
            <w:r>
              <w:rPr>
                <w:rFonts w:hint="eastAsia" w:ascii="宋体" w:hAnsi="宋体" w:eastAsia="宋体" w:cs="宋体"/>
                <w:szCs w:val="21"/>
              </w:rPr>
              <w:t>（10）权利义务符合招标文件规定：</w:t>
            </w:r>
          </w:p>
        </w:tc>
      </w:tr>
    </w:tbl>
    <w:p/>
    <w:tbl>
      <w:tblPr>
        <w:tblStyle w:val="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2"/>
        <w:gridCol w:w="158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7" w:type="pct"/>
            <w:tcBorders>
              <w:top w:val="single" w:color="auto" w:sz="4" w:space="0"/>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条款号</w:t>
            </w:r>
          </w:p>
        </w:tc>
        <w:tc>
          <w:tcPr>
            <w:tcW w:w="4632" w:type="pct"/>
            <w:gridSpan w:val="2"/>
            <w:tcBorders>
              <w:top w:val="single" w:color="auto" w:sz="4" w:space="0"/>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9" w:hRule="atLeast"/>
          <w:jc w:val="center"/>
        </w:trPr>
        <w:tc>
          <w:tcPr>
            <w:tcW w:w="367" w:type="pct"/>
            <w:tcBorders>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2.1.1</w:t>
            </w:r>
          </w:p>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2.1.3</w:t>
            </w:r>
          </w:p>
        </w:tc>
        <w:tc>
          <w:tcPr>
            <w:tcW w:w="933" w:type="pct"/>
            <w:tcBorders>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形式评审与响应性评审标准</w:t>
            </w:r>
          </w:p>
        </w:tc>
        <w:tc>
          <w:tcPr>
            <w:tcW w:w="3699" w:type="pct"/>
            <w:tcBorders>
              <w:left w:val="single" w:color="auto" w:sz="4" w:space="0"/>
              <w:right w:val="single" w:color="auto" w:sz="4" w:space="0"/>
              <w:tl2br w:val="nil"/>
              <w:tr2bl w:val="nil"/>
            </w:tcBorders>
            <w:vAlign w:val="center"/>
          </w:tcPr>
          <w:p>
            <w:pPr>
              <w:snapToGrid w:val="0"/>
              <w:spacing w:line="360" w:lineRule="auto"/>
              <w:rPr>
                <w:rFonts w:ascii="宋体" w:hAnsi="宋体" w:eastAsia="宋体" w:cs="宋体"/>
                <w:szCs w:val="21"/>
              </w:rPr>
            </w:pPr>
            <w:r>
              <w:rPr>
                <w:rFonts w:hint="eastAsia" w:ascii="宋体" w:hAnsi="宋体" w:eastAsia="宋体" w:cs="宋体"/>
                <w:szCs w:val="21"/>
              </w:rPr>
              <w:t>a.投标人应接受招标文件规定的风险划分原则，未提出新的风险划分办法；</w:t>
            </w:r>
          </w:p>
          <w:p>
            <w:pPr>
              <w:snapToGrid w:val="0"/>
              <w:spacing w:line="360" w:lineRule="auto"/>
              <w:rPr>
                <w:rFonts w:ascii="宋体" w:hAnsi="宋体" w:eastAsia="宋体" w:cs="宋体"/>
                <w:szCs w:val="21"/>
              </w:rPr>
            </w:pPr>
            <w:r>
              <w:rPr>
                <w:rFonts w:hint="eastAsia" w:ascii="宋体" w:hAnsi="宋体" w:eastAsia="宋体" w:cs="宋体"/>
                <w:szCs w:val="21"/>
              </w:rPr>
              <w:t>b.投标人未增加委托人的责任范围，或减少投标人义务；</w:t>
            </w:r>
          </w:p>
          <w:p>
            <w:pPr>
              <w:snapToGrid w:val="0"/>
              <w:spacing w:line="360" w:lineRule="auto"/>
              <w:rPr>
                <w:rFonts w:ascii="宋体" w:hAnsi="宋体" w:eastAsia="宋体" w:cs="宋体"/>
                <w:szCs w:val="21"/>
              </w:rPr>
            </w:pPr>
            <w:r>
              <w:rPr>
                <w:rFonts w:hint="eastAsia" w:ascii="宋体" w:hAnsi="宋体" w:eastAsia="宋体" w:cs="宋体"/>
                <w:szCs w:val="21"/>
              </w:rPr>
              <w:t>c.投标人未提出不同的支付办法；</w:t>
            </w:r>
          </w:p>
          <w:p>
            <w:pPr>
              <w:snapToGrid w:val="0"/>
              <w:spacing w:line="360" w:lineRule="auto"/>
              <w:rPr>
                <w:rFonts w:ascii="宋体" w:hAnsi="宋体" w:eastAsia="宋体" w:cs="宋体"/>
                <w:szCs w:val="21"/>
              </w:rPr>
            </w:pPr>
            <w:r>
              <w:rPr>
                <w:rFonts w:hint="eastAsia" w:ascii="宋体" w:hAnsi="宋体" w:eastAsia="宋体" w:cs="宋体"/>
                <w:szCs w:val="21"/>
              </w:rPr>
              <w:t>d.投标人对合同纠纷、事故处理办法未提出异议；</w:t>
            </w:r>
          </w:p>
          <w:p>
            <w:pPr>
              <w:snapToGrid w:val="0"/>
              <w:spacing w:line="360" w:lineRule="auto"/>
              <w:rPr>
                <w:rFonts w:ascii="宋体" w:hAnsi="宋体" w:eastAsia="宋体" w:cs="宋体"/>
                <w:szCs w:val="21"/>
              </w:rPr>
            </w:pPr>
            <w:r>
              <w:rPr>
                <w:rFonts w:hint="eastAsia" w:ascii="宋体" w:hAnsi="宋体" w:eastAsia="宋体" w:cs="宋体"/>
                <w:szCs w:val="21"/>
              </w:rPr>
              <w:t>e.投标人在投标活动中无欺诈行为；</w:t>
            </w:r>
          </w:p>
          <w:p>
            <w:pPr>
              <w:snapToGrid w:val="0"/>
              <w:spacing w:line="360" w:lineRule="auto"/>
              <w:rPr>
                <w:rFonts w:ascii="宋体" w:hAnsi="宋体" w:eastAsia="宋体" w:cs="宋体"/>
                <w:szCs w:val="21"/>
              </w:rPr>
            </w:pPr>
            <w:r>
              <w:rPr>
                <w:rFonts w:hint="eastAsia" w:ascii="宋体" w:hAnsi="宋体" w:eastAsia="宋体" w:cs="宋体"/>
                <w:szCs w:val="21"/>
              </w:rPr>
              <w:t>f.投标人未对合同条款有重要保留。</w:t>
            </w:r>
          </w:p>
          <w:p>
            <w:pPr>
              <w:snapToGrid w:val="0"/>
              <w:spacing w:line="360" w:lineRule="auto"/>
              <w:rPr>
                <w:rFonts w:ascii="宋体" w:hAnsi="宋体" w:eastAsia="宋体" w:cs="宋体"/>
                <w:szCs w:val="21"/>
              </w:rPr>
            </w:pPr>
            <w:r>
              <w:rPr>
                <w:rFonts w:hint="eastAsia" w:ascii="宋体" w:hAnsi="宋体" w:eastAsia="宋体" w:cs="宋体"/>
                <w:szCs w:val="21"/>
              </w:rPr>
              <w:t>（11）纸质版投标文件份数符合招标文件第二章“投标人须知”第3.7.4项规定。</w:t>
            </w:r>
          </w:p>
          <w:p>
            <w:pPr>
              <w:snapToGrid w:val="0"/>
              <w:spacing w:line="360" w:lineRule="auto"/>
              <w:rPr>
                <w:rFonts w:ascii="宋体" w:hAnsi="宋体" w:eastAsia="宋体" w:cs="宋体"/>
                <w:b/>
                <w:bCs/>
                <w:szCs w:val="21"/>
              </w:rPr>
            </w:pPr>
            <w:r>
              <w:rPr>
                <w:rFonts w:hint="eastAsia" w:ascii="宋体" w:hAnsi="宋体" w:eastAsia="宋体" w:cs="宋体"/>
                <w:b/>
                <w:bCs/>
                <w:szCs w:val="21"/>
              </w:rPr>
              <w:t>第二个信封（报价文件）评审标准：</w:t>
            </w:r>
          </w:p>
          <w:p>
            <w:pPr>
              <w:snapToGrid w:val="0"/>
              <w:spacing w:line="360" w:lineRule="auto"/>
              <w:rPr>
                <w:rFonts w:ascii="宋体" w:hAnsi="宋体" w:eastAsia="宋体" w:cs="宋体"/>
                <w:szCs w:val="21"/>
              </w:rPr>
            </w:pPr>
            <w:r>
              <w:rPr>
                <w:rFonts w:hint="eastAsia" w:ascii="宋体" w:hAnsi="宋体" w:eastAsia="宋体" w:cs="宋体"/>
                <w:szCs w:val="21"/>
              </w:rPr>
              <w:t>（1）投标文件按照招标文件规定的格式、内容填写，字迹清晰可辨，内容齐全完整：</w:t>
            </w:r>
          </w:p>
          <w:p>
            <w:pPr>
              <w:snapToGrid w:val="0"/>
              <w:spacing w:line="360" w:lineRule="auto"/>
              <w:rPr>
                <w:rFonts w:ascii="宋体" w:hAnsi="宋体" w:eastAsia="宋体" w:cs="宋体"/>
                <w:szCs w:val="21"/>
              </w:rPr>
            </w:pPr>
            <w:r>
              <w:rPr>
                <w:rFonts w:hint="eastAsia" w:ascii="宋体" w:hAnsi="宋体" w:eastAsia="宋体" w:cs="宋体"/>
                <w:szCs w:val="21"/>
              </w:rPr>
              <w:t>a.投标函按招标文件规定填报了项目名称、标段号、补遗书编号（如有）、投标价（包括大写金额和小写金额）；</w:t>
            </w:r>
          </w:p>
          <w:p>
            <w:pPr>
              <w:snapToGrid w:val="0"/>
              <w:spacing w:line="360" w:lineRule="auto"/>
              <w:rPr>
                <w:rFonts w:ascii="宋体" w:hAnsi="宋体" w:eastAsia="宋体" w:cs="宋体"/>
                <w:szCs w:val="21"/>
              </w:rPr>
            </w:pPr>
            <w:r>
              <w:rPr>
                <w:rFonts w:hint="eastAsia" w:ascii="宋体" w:hAnsi="宋体" w:eastAsia="宋体" w:cs="宋体"/>
                <w:szCs w:val="21"/>
              </w:rPr>
              <w:t>b.已标价报价清单说明文字与招标文件规定一致，未进行实质性修改和删减；</w:t>
            </w:r>
          </w:p>
          <w:p>
            <w:pPr>
              <w:snapToGrid w:val="0"/>
              <w:spacing w:line="360" w:lineRule="auto"/>
              <w:rPr>
                <w:rFonts w:ascii="宋体" w:hAnsi="宋体" w:eastAsia="宋体" w:cs="宋体"/>
                <w:szCs w:val="21"/>
              </w:rPr>
            </w:pPr>
            <w:r>
              <w:rPr>
                <w:rFonts w:hint="eastAsia" w:ascii="宋体" w:hAnsi="宋体" w:eastAsia="宋体" w:cs="宋体"/>
                <w:szCs w:val="21"/>
              </w:rPr>
              <w:t>c.投标文件组成齐全完整，内容均按规定填写。</w:t>
            </w:r>
          </w:p>
          <w:p>
            <w:pPr>
              <w:snapToGrid w:val="0"/>
              <w:spacing w:line="360" w:lineRule="auto"/>
              <w:rPr>
                <w:rFonts w:ascii="宋体" w:hAnsi="宋体" w:eastAsia="宋体" w:cs="宋体"/>
                <w:szCs w:val="21"/>
              </w:rPr>
            </w:pPr>
            <w:r>
              <w:rPr>
                <w:rFonts w:hint="eastAsia" w:ascii="宋体" w:hAnsi="宋体" w:eastAsia="宋体" w:cs="宋体"/>
                <w:szCs w:val="21"/>
              </w:rPr>
              <w:t>（2）投标文件上法定代表人或其委托代理人的个人电子印（签）章/签字、投标人的单位电子印章齐全，符合招标文件规定。</w:t>
            </w:r>
          </w:p>
          <w:p>
            <w:pPr>
              <w:snapToGrid w:val="0"/>
              <w:spacing w:line="360" w:lineRule="auto"/>
              <w:rPr>
                <w:rFonts w:ascii="宋体" w:hAnsi="宋体" w:eastAsia="宋体" w:cs="宋体"/>
                <w:szCs w:val="21"/>
              </w:rPr>
            </w:pPr>
            <w:r>
              <w:rPr>
                <w:rFonts w:hint="eastAsia" w:ascii="宋体" w:hAnsi="宋体" w:eastAsia="宋体" w:cs="宋体"/>
                <w:szCs w:val="21"/>
              </w:rPr>
              <w:t>（3）投标报价未超过招标文件设定的最高投标限价。</w:t>
            </w:r>
          </w:p>
          <w:p>
            <w:pPr>
              <w:snapToGrid w:val="0"/>
              <w:spacing w:line="360" w:lineRule="auto"/>
              <w:rPr>
                <w:rFonts w:ascii="宋体" w:hAnsi="宋体" w:eastAsia="宋体" w:cs="宋体"/>
                <w:szCs w:val="21"/>
              </w:rPr>
            </w:pPr>
            <w:r>
              <w:rPr>
                <w:rFonts w:hint="eastAsia" w:ascii="宋体" w:hAnsi="宋体" w:eastAsia="宋体" w:cs="宋体"/>
                <w:szCs w:val="21"/>
              </w:rPr>
              <w:t>（4）投标报价的大写金额能够确定具体数值。</w:t>
            </w:r>
          </w:p>
          <w:p>
            <w:pPr>
              <w:snapToGrid w:val="0"/>
              <w:spacing w:line="360" w:lineRule="auto"/>
              <w:rPr>
                <w:rFonts w:ascii="宋体" w:hAnsi="宋体" w:eastAsia="宋体" w:cs="宋体"/>
                <w:szCs w:val="21"/>
              </w:rPr>
            </w:pPr>
            <w:r>
              <w:rPr>
                <w:rFonts w:hint="eastAsia" w:ascii="宋体" w:hAnsi="宋体" w:eastAsia="宋体" w:cs="宋体"/>
                <w:szCs w:val="21"/>
              </w:rPr>
              <w:t>（5）同一投标人未提交两个以上不同的投标报价，但招标文件要求提交备选投标的除外。</w:t>
            </w:r>
          </w:p>
          <w:p>
            <w:pPr>
              <w:snapToGrid w:val="0"/>
              <w:spacing w:line="360" w:lineRule="auto"/>
              <w:rPr>
                <w:rFonts w:ascii="Times New Roman" w:hAnsi="Times New Roman" w:eastAsia="宋体" w:cs="Times New Roman"/>
                <w:szCs w:val="21"/>
              </w:rPr>
            </w:pPr>
            <w:r>
              <w:rPr>
                <w:rFonts w:hint="eastAsia" w:ascii="宋体" w:hAnsi="宋体" w:eastAsia="宋体" w:cs="宋体"/>
                <w:szCs w:val="21"/>
              </w:rPr>
              <w:t>（6）纸质投标文件份数符合招标文件第二章“投标人须知”第3.7.4项规定。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64" w:hRule="atLeast"/>
          <w:jc w:val="center"/>
        </w:trPr>
        <w:tc>
          <w:tcPr>
            <w:tcW w:w="367" w:type="pct"/>
            <w:tcBorders>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2.1.2</w:t>
            </w:r>
          </w:p>
        </w:tc>
        <w:tc>
          <w:tcPr>
            <w:tcW w:w="933" w:type="pct"/>
            <w:tcBorders>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cs="Times New Roman"/>
              </w:rPr>
            </w:pPr>
            <w:r>
              <w:rPr>
                <w:rFonts w:ascii="Times New Roman" w:hAnsi="Times New Roman" w:cs="Times New Roman"/>
              </w:rPr>
              <w:t>资格评审标准</w:t>
            </w:r>
          </w:p>
        </w:tc>
        <w:tc>
          <w:tcPr>
            <w:tcW w:w="3699" w:type="pct"/>
            <w:tcBorders>
              <w:left w:val="single" w:color="auto" w:sz="4" w:space="0"/>
              <w:right w:val="single" w:color="auto" w:sz="4" w:space="0"/>
              <w:tl2br w:val="nil"/>
              <w:tr2bl w:val="nil"/>
            </w:tcBorders>
            <w:vAlign w:val="center"/>
          </w:tcPr>
          <w:p>
            <w:pPr>
              <w:snapToGrid w:val="0"/>
              <w:spacing w:line="360" w:lineRule="auto"/>
              <w:rPr>
                <w:rFonts w:ascii="Times New Roman" w:hAnsi="Times New Roman" w:cs="Times New Roman"/>
              </w:rPr>
            </w:pPr>
            <w:r>
              <w:rPr>
                <w:rFonts w:ascii="Times New Roman" w:hAnsi="Times New Roman" w:cs="Times New Roman"/>
              </w:rPr>
              <w:t>（1）投标人具备有效的营业执照、资质证书。</w:t>
            </w:r>
          </w:p>
          <w:p>
            <w:pPr>
              <w:snapToGrid w:val="0"/>
              <w:spacing w:line="360" w:lineRule="auto"/>
              <w:rPr>
                <w:rFonts w:ascii="Times New Roman" w:hAnsi="Times New Roman" w:cs="Times New Roman"/>
              </w:rPr>
            </w:pPr>
            <w:r>
              <w:rPr>
                <w:rFonts w:ascii="Times New Roman" w:hAnsi="Times New Roman" w:cs="Times New Roman"/>
              </w:rPr>
              <w:t>（2）投标人的资质等级符合招标文件规定。</w:t>
            </w:r>
          </w:p>
          <w:p>
            <w:pPr>
              <w:snapToGrid w:val="0"/>
              <w:spacing w:line="360" w:lineRule="auto"/>
              <w:rPr>
                <w:rFonts w:ascii="Times New Roman" w:hAnsi="Times New Roman" w:cs="Times New Roman"/>
              </w:rPr>
            </w:pPr>
            <w:r>
              <w:rPr>
                <w:rFonts w:ascii="Times New Roman" w:hAnsi="Times New Roman" w:cs="Times New Roman"/>
              </w:rPr>
              <w:t>（3）投标人的信誉符合招标文件规定。</w:t>
            </w:r>
          </w:p>
          <w:p>
            <w:pPr>
              <w:snapToGrid w:val="0"/>
              <w:spacing w:line="360" w:lineRule="auto"/>
              <w:rPr>
                <w:rFonts w:ascii="Times New Roman" w:hAnsi="Times New Roman" w:cs="Times New Roman"/>
              </w:rPr>
            </w:pPr>
            <w:r>
              <w:rPr>
                <w:rFonts w:ascii="Times New Roman" w:hAnsi="Times New Roman" w:cs="Times New Roman"/>
              </w:rPr>
              <w:t>（4）投标人的驻地监理工程师资格、在岗情况符合招标文件规定。</w:t>
            </w:r>
          </w:p>
          <w:p>
            <w:pPr>
              <w:snapToGrid w:val="0"/>
              <w:spacing w:line="360" w:lineRule="auto"/>
              <w:rPr>
                <w:rFonts w:ascii="Times New Roman" w:hAnsi="Times New Roman" w:cs="Times New Roman"/>
              </w:rPr>
            </w:pPr>
            <w:r>
              <w:rPr>
                <w:rFonts w:ascii="Times New Roman" w:hAnsi="Times New Roman" w:cs="Times New Roman"/>
              </w:rPr>
              <w:t>（5）投标人不存在第二章“投标人须知”第1.4.3项或第1.4.4项规定的任何一种情形。</w:t>
            </w:r>
          </w:p>
          <w:p>
            <w:pPr>
              <w:snapToGrid w:val="0"/>
              <w:spacing w:line="360" w:lineRule="auto"/>
              <w:rPr>
                <w:rFonts w:ascii="Times New Roman" w:hAnsi="Times New Roman" w:cs="Times New Roman"/>
              </w:rPr>
            </w:pPr>
            <w:r>
              <w:rPr>
                <w:rFonts w:ascii="Times New Roman" w:hAnsi="Times New Roman" w:cs="Times New Roman"/>
              </w:rPr>
              <w:t>（6）投标人符合第二章“投标人须知”第1.4.5项规定。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91" w:hRule="atLeast"/>
          <w:jc w:val="center"/>
        </w:trPr>
        <w:tc>
          <w:tcPr>
            <w:tcW w:w="367" w:type="pct"/>
            <w:tcBorders>
              <w:left w:val="single" w:color="auto" w:sz="4" w:space="0"/>
              <w:right w:val="single" w:color="auto" w:sz="4" w:space="0"/>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2.2.1</w:t>
            </w:r>
          </w:p>
        </w:tc>
        <w:tc>
          <w:tcPr>
            <w:tcW w:w="933" w:type="pct"/>
            <w:tcBorders>
              <w:left w:val="single" w:color="auto" w:sz="4" w:space="0"/>
              <w:right w:val="single" w:color="auto" w:sz="4" w:space="0"/>
              <w:tl2br w:val="nil"/>
              <w:tr2bl w:val="nil"/>
            </w:tcBorders>
            <w:vAlign w:val="center"/>
          </w:tcPr>
          <w:p>
            <w:pPr>
              <w:ind w:left="34" w:leftChars="16" w:right="31" w:rightChars="15" w:firstLine="1"/>
              <w:jc w:val="center"/>
              <w:rPr>
                <w:rFonts w:ascii="宋体" w:hAnsi="宋体"/>
                <w:szCs w:val="21"/>
              </w:rPr>
            </w:pPr>
            <w:r>
              <w:rPr>
                <w:rFonts w:ascii="宋体" w:hAnsi="宋体"/>
                <w:szCs w:val="21"/>
              </w:rPr>
              <w:t>分值构成</w:t>
            </w:r>
          </w:p>
          <w:p>
            <w:pPr>
              <w:ind w:left="34" w:leftChars="16" w:right="31" w:rightChars="15" w:firstLine="1"/>
              <w:jc w:val="center"/>
              <w:rPr>
                <w:rFonts w:hAnsi="Times New Roman" w:eastAsia="宋体" w:cs="Times New Roman"/>
                <w:szCs w:val="21"/>
              </w:rPr>
            </w:pPr>
            <w:r>
              <w:rPr>
                <w:rFonts w:ascii="宋体" w:hAnsi="宋体"/>
                <w:szCs w:val="21"/>
              </w:rPr>
              <w:t>（总分100分）</w:t>
            </w:r>
          </w:p>
        </w:tc>
        <w:tc>
          <w:tcPr>
            <w:tcW w:w="3699" w:type="pct"/>
            <w:tcBorders>
              <w:left w:val="single" w:color="auto" w:sz="4" w:space="0"/>
              <w:right w:val="single" w:color="auto" w:sz="4" w:space="0"/>
              <w:tl2br w:val="nil"/>
              <w:tr2bl w:val="nil"/>
            </w:tcBorders>
            <w:vAlign w:val="center"/>
          </w:tcPr>
          <w:p>
            <w:pPr>
              <w:spacing w:line="400" w:lineRule="exact"/>
              <w:ind w:firstLine="312"/>
              <w:rPr>
                <w:rFonts w:ascii="黑体" w:hAnsi="黑体" w:eastAsia="黑体" w:cs="黑体"/>
                <w:szCs w:val="21"/>
              </w:rPr>
            </w:pPr>
            <w:r>
              <w:rPr>
                <w:rFonts w:hint="eastAsia" w:ascii="黑体" w:hAnsi="黑体" w:eastAsia="黑体" w:cs="黑体"/>
                <w:szCs w:val="21"/>
              </w:rPr>
              <w:t>第一信封（商务及技术文件）评分分值构成：</w:t>
            </w:r>
          </w:p>
          <w:p>
            <w:pPr>
              <w:spacing w:line="400" w:lineRule="exact"/>
              <w:ind w:firstLine="312"/>
              <w:rPr>
                <w:rFonts w:ascii="黑体" w:hAnsi="黑体" w:eastAsia="黑体" w:cs="黑体"/>
                <w:szCs w:val="21"/>
              </w:rPr>
            </w:pPr>
            <w:r>
              <w:rPr>
                <w:rFonts w:hint="eastAsia" w:ascii="黑体" w:hAnsi="黑体" w:eastAsia="黑体" w:cs="黑体"/>
                <w:szCs w:val="21"/>
              </w:rPr>
              <w:t xml:space="preserve">技术建议书：40分  </w:t>
            </w:r>
          </w:p>
          <w:p>
            <w:pPr>
              <w:spacing w:line="400" w:lineRule="exact"/>
              <w:ind w:firstLine="312"/>
              <w:rPr>
                <w:rFonts w:ascii="黑体" w:hAnsi="黑体" w:eastAsia="黑体" w:cs="黑体"/>
                <w:szCs w:val="21"/>
              </w:rPr>
            </w:pPr>
            <w:r>
              <w:rPr>
                <w:rFonts w:hint="eastAsia" w:ascii="黑体" w:hAnsi="黑体" w:eastAsia="黑体" w:cs="黑体"/>
                <w:szCs w:val="21"/>
              </w:rPr>
              <w:t xml:space="preserve">主要人员：  17分 </w:t>
            </w:r>
          </w:p>
          <w:p>
            <w:pPr>
              <w:spacing w:line="400" w:lineRule="exact"/>
              <w:ind w:firstLine="312"/>
              <w:rPr>
                <w:rFonts w:ascii="黑体" w:hAnsi="黑体" w:eastAsia="黑体" w:cs="黑体"/>
                <w:szCs w:val="21"/>
              </w:rPr>
            </w:pPr>
            <w:r>
              <w:rPr>
                <w:rFonts w:hint="eastAsia" w:ascii="黑体" w:hAnsi="黑体" w:eastAsia="黑体" w:cs="黑体"/>
                <w:szCs w:val="21"/>
              </w:rPr>
              <w:t xml:space="preserve">业    绩：  20分 </w:t>
            </w:r>
          </w:p>
          <w:p>
            <w:pPr>
              <w:spacing w:line="400" w:lineRule="exact"/>
              <w:ind w:firstLine="312"/>
              <w:rPr>
                <w:szCs w:val="21"/>
              </w:rPr>
            </w:pPr>
            <w:r>
              <w:rPr>
                <w:rFonts w:hint="eastAsia" w:ascii="黑体" w:hAnsi="黑体" w:eastAsia="黑体" w:cs="黑体"/>
                <w:szCs w:val="21"/>
              </w:rPr>
              <w:t>现场陈述：  10分</w:t>
            </w:r>
          </w:p>
          <w:p>
            <w:pPr>
              <w:spacing w:line="400" w:lineRule="exact"/>
              <w:ind w:firstLine="312"/>
              <w:rPr>
                <w:rFonts w:ascii="黑体" w:hAnsi="黑体" w:eastAsia="黑体" w:cs="黑体"/>
                <w:szCs w:val="21"/>
              </w:rPr>
            </w:pPr>
            <w:r>
              <w:rPr>
                <w:rFonts w:hint="eastAsia" w:ascii="黑体" w:hAnsi="黑体" w:eastAsia="黑体" w:cs="黑体"/>
                <w:szCs w:val="21"/>
              </w:rPr>
              <w:t xml:space="preserve">履约信誉：  3分  </w:t>
            </w:r>
          </w:p>
          <w:p>
            <w:pPr>
              <w:spacing w:line="400" w:lineRule="exact"/>
              <w:ind w:firstLine="312"/>
              <w:rPr>
                <w:rFonts w:ascii="黑体" w:hAnsi="黑体" w:eastAsia="黑体" w:cs="黑体"/>
                <w:szCs w:val="21"/>
              </w:rPr>
            </w:pPr>
            <w:r>
              <w:rPr>
                <w:rFonts w:hint="eastAsia" w:ascii="黑体" w:hAnsi="黑体" w:eastAsia="黑体" w:cs="黑体"/>
                <w:szCs w:val="21"/>
              </w:rPr>
              <w:t>第二个信封（报价文件）评分标准构成：</w:t>
            </w:r>
          </w:p>
          <w:p>
            <w:pPr>
              <w:spacing w:line="400" w:lineRule="exact"/>
              <w:ind w:firstLine="312"/>
              <w:rPr>
                <w:rFonts w:ascii="Times New Roman" w:hAnsi="Times New Roman" w:eastAsia="宋体" w:cs="Times New Roman"/>
                <w:szCs w:val="21"/>
              </w:rPr>
            </w:pPr>
            <w:r>
              <w:rPr>
                <w:rFonts w:hint="eastAsia" w:ascii="黑体" w:hAnsi="黑体" w:eastAsia="黑体" w:cs="黑体"/>
                <w:szCs w:val="21"/>
              </w:rPr>
              <w:t>评标价：10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75" w:hRule="atLeast"/>
          <w:jc w:val="center"/>
        </w:trPr>
        <w:tc>
          <w:tcPr>
            <w:tcW w:w="367" w:type="pct"/>
            <w:tcBorders>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2.2.2</w:t>
            </w:r>
          </w:p>
        </w:tc>
        <w:tc>
          <w:tcPr>
            <w:tcW w:w="933" w:type="pct"/>
            <w:tcBorders>
              <w:tl2br w:val="nil"/>
              <w:tr2bl w:val="nil"/>
            </w:tcBorders>
            <w:vAlign w:val="center"/>
          </w:tcPr>
          <w:p>
            <w:pPr>
              <w:snapToGrid w:val="0"/>
              <w:spacing w:line="360" w:lineRule="exact"/>
              <w:jc w:val="center"/>
              <w:rPr>
                <w:rFonts w:ascii="Times New Roman" w:hAnsi="Times New Roman" w:cs="Times New Roman"/>
              </w:rPr>
            </w:pPr>
            <w:r>
              <w:rPr>
                <w:rFonts w:ascii="Times New Roman" w:hAnsi="Times New Roman" w:cs="Times New Roman"/>
              </w:rPr>
              <w:t>评标基准价计算方法</w:t>
            </w:r>
          </w:p>
        </w:tc>
        <w:tc>
          <w:tcPr>
            <w:tcW w:w="3699" w:type="pct"/>
            <w:tcBorders>
              <w:tl2br w:val="nil"/>
              <w:tr2bl w:val="nil"/>
            </w:tcBorders>
            <w:vAlign w:val="center"/>
          </w:tcPr>
          <w:p>
            <w:pPr>
              <w:spacing w:line="400" w:lineRule="exact"/>
              <w:rPr>
                <w:rFonts w:ascii="宋体" w:hAnsi="宋体" w:eastAsia="宋体"/>
                <w:szCs w:val="21"/>
              </w:rPr>
            </w:pPr>
            <w:r>
              <w:rPr>
                <w:rFonts w:hint="eastAsia" w:ascii="宋体" w:hAnsi="宋体" w:eastAsia="宋体"/>
                <w:szCs w:val="21"/>
              </w:rPr>
              <w:t>评标价=投标函文字报价</w:t>
            </w:r>
          </w:p>
          <w:p>
            <w:pPr>
              <w:spacing w:line="400" w:lineRule="exact"/>
              <w:rPr>
                <w:rFonts w:ascii="宋体" w:hAnsi="宋体" w:eastAsia="宋体"/>
                <w:szCs w:val="21"/>
              </w:rPr>
            </w:pPr>
            <w:r>
              <w:rPr>
                <w:rFonts w:hint="eastAsia" w:ascii="宋体" w:hAnsi="宋体" w:eastAsia="宋体"/>
                <w:szCs w:val="21"/>
              </w:rPr>
              <w:t>（2）评标价平均值的计算：</w:t>
            </w:r>
          </w:p>
          <w:p>
            <w:pPr>
              <w:spacing w:line="400" w:lineRule="exact"/>
              <w:rPr>
                <w:rFonts w:ascii="宋体" w:hAnsi="宋体" w:eastAsia="宋体"/>
                <w:szCs w:val="21"/>
              </w:rPr>
            </w:pPr>
            <w:r>
              <w:rPr>
                <w:rFonts w:hint="eastAsia" w:ascii="宋体" w:hAnsi="宋体" w:eastAsia="宋体"/>
                <w:szCs w:val="21"/>
              </w:rPr>
              <w:t>除按第二章“投标人须知”第5.2.4项规定开标现场被宣布为不进入评标基准价计算的投标报价之外，所有通过第一信封初步评审的投标人且价格在招标控制价的90%与100%之间（含90%和100%）的投标人的评标价去掉一个最高值和一个最低值后的算术平均值即为评标价平均值（如果参与评标价平均值计算的有效投标人少于5家时，则计算评标价平均值时不去掉最高值和最低值）。</w:t>
            </w:r>
          </w:p>
          <w:p>
            <w:pPr>
              <w:spacing w:line="400" w:lineRule="exact"/>
              <w:rPr>
                <w:rFonts w:ascii="宋体" w:hAnsi="宋体" w:eastAsia="宋体"/>
                <w:szCs w:val="21"/>
              </w:rPr>
            </w:pPr>
            <w:r>
              <w:rPr>
                <w:rFonts w:hint="eastAsia" w:ascii="宋体" w:hAnsi="宋体" w:eastAsia="宋体"/>
                <w:szCs w:val="21"/>
              </w:rPr>
              <w:t>（3）评标基准价的确定：</w:t>
            </w:r>
          </w:p>
          <w:p>
            <w:pPr>
              <w:spacing w:line="400" w:lineRule="exact"/>
              <w:rPr>
                <w:rFonts w:ascii="宋体" w:hAnsi="宋体" w:eastAsia="宋体"/>
                <w:szCs w:val="21"/>
              </w:rPr>
            </w:pPr>
            <w:r>
              <w:rPr>
                <w:rFonts w:hint="eastAsia" w:ascii="宋体" w:hAnsi="宋体" w:eastAsia="宋体"/>
                <w:szCs w:val="21"/>
              </w:rPr>
              <w:t>将评标价平均值直接作为评标基准价。</w:t>
            </w:r>
          </w:p>
          <w:p>
            <w:pPr>
              <w:spacing w:line="400" w:lineRule="exact"/>
              <w:rPr>
                <w:rFonts w:ascii="Times New Roman" w:hAnsi="Times New Roman" w:eastAsia="宋体" w:cs="Times New Roman"/>
                <w:szCs w:val="21"/>
              </w:rPr>
            </w:pPr>
            <w:r>
              <w:rPr>
                <w:rFonts w:hint="eastAsia" w:ascii="宋体" w:hAnsi="宋体" w:eastAsia="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85" w:hRule="atLeast"/>
          <w:jc w:val="center"/>
        </w:trPr>
        <w:tc>
          <w:tcPr>
            <w:tcW w:w="367" w:type="pct"/>
            <w:tcBorders>
              <w:tl2br w:val="nil"/>
              <w:tr2bl w:val="nil"/>
            </w:tcBorders>
            <w:vAlign w:val="center"/>
          </w:tcPr>
          <w:p>
            <w:pPr>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2.2.3</w:t>
            </w:r>
          </w:p>
        </w:tc>
        <w:tc>
          <w:tcPr>
            <w:tcW w:w="933" w:type="pct"/>
            <w:tcBorders>
              <w:tl2br w:val="nil"/>
              <w:tr2bl w:val="nil"/>
            </w:tcBorders>
            <w:vAlign w:val="center"/>
          </w:tcPr>
          <w:p>
            <w:pPr>
              <w:snapToGrid w:val="0"/>
              <w:spacing w:line="360" w:lineRule="exact"/>
              <w:jc w:val="center"/>
              <w:rPr>
                <w:rFonts w:ascii="Times New Roman" w:hAnsi="Times New Roman" w:cs="Times New Roman"/>
              </w:rPr>
            </w:pPr>
            <w:r>
              <w:rPr>
                <w:rFonts w:ascii="Times New Roman" w:hAnsi="Times New Roman" w:cs="Times New Roman"/>
              </w:rPr>
              <w:t>评标价的偏差率计算公式</w:t>
            </w:r>
          </w:p>
        </w:tc>
        <w:tc>
          <w:tcPr>
            <w:tcW w:w="3699" w:type="pct"/>
            <w:tcBorders>
              <w:tl2br w:val="nil"/>
              <w:tr2bl w:val="nil"/>
            </w:tcBorders>
            <w:vAlign w:val="center"/>
          </w:tcPr>
          <w:p>
            <w:pPr>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偏差率=100%×（投标人评标价－评标基准价）/评标基准价</w:t>
            </w:r>
          </w:p>
          <w:p>
            <w:pPr>
              <w:snapToGrid w:val="0"/>
              <w:spacing w:line="360" w:lineRule="exact"/>
              <w:rPr>
                <w:rFonts w:ascii="Times New Roman" w:hAnsi="Times New Roman" w:eastAsia="宋体" w:cs="Times New Roman"/>
                <w:szCs w:val="21"/>
              </w:rPr>
            </w:pPr>
            <w:r>
              <w:rPr>
                <w:rFonts w:hint="eastAsia" w:ascii="宋体" w:hAnsi="宋体"/>
                <w:szCs w:val="21"/>
              </w:rPr>
              <w:t>偏差率保留3位小数（四舍五入）</w:t>
            </w:r>
          </w:p>
        </w:tc>
      </w:tr>
    </w:tbl>
    <w:p>
      <w:pPr>
        <w:jc w:val="right"/>
      </w:pPr>
      <w:r>
        <w:rPr>
          <w:rFonts w:hint="eastAsia"/>
        </w:rPr>
        <w:t>续上表</w:t>
      </w:r>
    </w:p>
    <w:tbl>
      <w:tblPr>
        <w:tblStyle w:val="7"/>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0"/>
        <w:gridCol w:w="1098"/>
        <w:gridCol w:w="378"/>
        <w:gridCol w:w="371"/>
        <w:gridCol w:w="974"/>
        <w:gridCol w:w="614"/>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Merge w:val="restart"/>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条款号</w:t>
            </w:r>
          </w:p>
        </w:tc>
        <w:tc>
          <w:tcPr>
            <w:tcW w:w="2020" w:type="pct"/>
            <w:gridSpan w:val="5"/>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评分因素与权重分值</w:t>
            </w:r>
          </w:p>
        </w:tc>
        <w:tc>
          <w:tcPr>
            <w:tcW w:w="2614" w:type="pct"/>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646" w:type="pct"/>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评分因素</w:t>
            </w:r>
          </w:p>
        </w:tc>
        <w:tc>
          <w:tcPr>
            <w:tcW w:w="440" w:type="pct"/>
            <w:gridSpan w:val="2"/>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评分因素权重分值</w:t>
            </w:r>
          </w:p>
        </w:tc>
        <w:tc>
          <w:tcPr>
            <w:tcW w:w="571" w:type="pct"/>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各评分因素细分项</w:t>
            </w:r>
          </w:p>
        </w:tc>
        <w:tc>
          <w:tcPr>
            <w:tcW w:w="361" w:type="pct"/>
            <w:vAlign w:val="center"/>
          </w:tcPr>
          <w:p>
            <w:pPr>
              <w:adjustRightInd w:val="0"/>
              <w:snapToGrid w:val="0"/>
              <w:spacing w:line="360" w:lineRule="exact"/>
              <w:jc w:val="center"/>
              <w:rPr>
                <w:rFonts w:ascii="Times New Roman" w:hAnsi="Times New Roman" w:eastAsia="宋体" w:cs="Times New Roman"/>
                <w:b/>
                <w:bCs/>
                <w:szCs w:val="21"/>
              </w:rPr>
            </w:pPr>
            <w:r>
              <w:rPr>
                <w:rFonts w:ascii="Times New Roman" w:hAnsi="Times New Roman" w:eastAsia="宋体" w:cs="Times New Roman"/>
                <w:b/>
                <w:bCs/>
                <w:szCs w:val="21"/>
              </w:rPr>
              <w:t>分值</w:t>
            </w:r>
          </w:p>
        </w:tc>
        <w:tc>
          <w:tcPr>
            <w:tcW w:w="2614" w:type="pct"/>
            <w:vAlign w:val="center"/>
          </w:tcPr>
          <w:p>
            <w:pPr>
              <w:adjustRightInd w:val="0"/>
              <w:snapToGrid w:val="0"/>
              <w:spacing w:line="3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Merge w:val="restar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2.2.4</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646" w:type="pct"/>
            <w:vMerge w:val="restar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技术建议书（适用所有监理标段）</w:t>
            </w:r>
          </w:p>
        </w:tc>
        <w:tc>
          <w:tcPr>
            <w:tcW w:w="440" w:type="pct"/>
            <w:gridSpan w:val="2"/>
            <w:vMerge w:val="restar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u w:val="single"/>
              </w:rPr>
              <w:t>40</w:t>
            </w:r>
            <w:r>
              <w:rPr>
                <w:rFonts w:ascii="Times New Roman" w:hAnsi="Times New Roman" w:eastAsia="宋体" w:cs="Times New Roman"/>
                <w:szCs w:val="21"/>
              </w:rPr>
              <w:t>分</w:t>
            </w:r>
          </w:p>
        </w:tc>
        <w:tc>
          <w:tcPr>
            <w:tcW w:w="571"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监理大纲（或监理方案）</w:t>
            </w:r>
            <w:r>
              <w:rPr>
                <w:rFonts w:hint="eastAsia" w:ascii="Times New Roman" w:hAnsi="Times New Roman" w:eastAsia="宋体" w:cs="Times New Roman"/>
                <w:szCs w:val="21"/>
              </w:rPr>
              <w:t>和监理措施</w:t>
            </w:r>
          </w:p>
        </w:tc>
        <w:tc>
          <w:tcPr>
            <w:tcW w:w="361"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u w:val="single"/>
              </w:rPr>
              <w:t>10</w:t>
            </w:r>
            <w:r>
              <w:rPr>
                <w:rFonts w:ascii="Times New Roman" w:hAnsi="Times New Roman" w:eastAsia="宋体" w:cs="Times New Roman"/>
                <w:szCs w:val="21"/>
              </w:rPr>
              <w:t>分</w:t>
            </w:r>
          </w:p>
        </w:tc>
        <w:tc>
          <w:tcPr>
            <w:tcW w:w="2614"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根据投标人编制的监理大纲（监理方案）</w:t>
            </w:r>
            <w:r>
              <w:rPr>
                <w:rFonts w:hint="eastAsia" w:ascii="Times New Roman" w:hAnsi="Times New Roman" w:eastAsia="宋体" w:cs="Times New Roman"/>
                <w:szCs w:val="21"/>
              </w:rPr>
              <w:t>和监理措施</w:t>
            </w:r>
            <w:r>
              <w:rPr>
                <w:rFonts w:ascii="Times New Roman" w:hAnsi="Times New Roman" w:eastAsia="宋体" w:cs="Times New Roman"/>
                <w:szCs w:val="21"/>
              </w:rPr>
              <w:t>的合理性、可行性、保障性方面进行总体评定，得6~10分。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646"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440" w:type="pct"/>
            <w:gridSpan w:val="2"/>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571"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本工程监理工作的重点与难点分析</w:t>
            </w:r>
          </w:p>
        </w:tc>
        <w:tc>
          <w:tcPr>
            <w:tcW w:w="361"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u w:val="single"/>
              </w:rPr>
              <w:t>15</w:t>
            </w:r>
            <w:r>
              <w:rPr>
                <w:rFonts w:ascii="Times New Roman" w:hAnsi="Times New Roman" w:eastAsia="宋体" w:cs="Times New Roman"/>
                <w:szCs w:val="21"/>
              </w:rPr>
              <w:t>分</w:t>
            </w:r>
          </w:p>
        </w:tc>
        <w:tc>
          <w:tcPr>
            <w:tcW w:w="2614"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对本工程建设重点、难点问题的认识及对应提出的处理措施的合理性、可行性和有效性进行评定，得9~15分。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365"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646"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440" w:type="pct"/>
            <w:gridSpan w:val="2"/>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571" w:type="pct"/>
            <w:vAlign w:val="center"/>
          </w:tcPr>
          <w:p>
            <w:pPr>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监理工作程序</w:t>
            </w:r>
          </w:p>
        </w:tc>
        <w:tc>
          <w:tcPr>
            <w:tcW w:w="361"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10分</w:t>
            </w:r>
          </w:p>
        </w:tc>
        <w:tc>
          <w:tcPr>
            <w:tcW w:w="2614"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根据工程质</w:t>
            </w:r>
            <w:r>
              <w:rPr>
                <w:rFonts w:hint="eastAsia" w:ascii="Times New Roman" w:hAnsi="Times New Roman" w:eastAsia="宋体" w:cs="Times New Roman"/>
                <w:szCs w:val="21"/>
              </w:rPr>
              <w:t>工程质量控制、进度控制、施工安全控制、施工环境保护、费用控制、合同及其他事项管理、文件资料管理</w:t>
            </w:r>
            <w:r>
              <w:rPr>
                <w:rFonts w:ascii="Times New Roman" w:hAnsi="Times New Roman" w:eastAsia="宋体" w:cs="Times New Roman"/>
                <w:szCs w:val="21"/>
              </w:rPr>
              <w:t>等各项监理</w:t>
            </w:r>
            <w:r>
              <w:rPr>
                <w:rFonts w:hint="eastAsia" w:ascii="Times New Roman" w:hAnsi="Times New Roman" w:eastAsia="宋体" w:cs="Times New Roman"/>
                <w:szCs w:val="21"/>
              </w:rPr>
              <w:t>工作程序</w:t>
            </w:r>
            <w:r>
              <w:rPr>
                <w:rFonts w:ascii="Times New Roman" w:hAnsi="Times New Roman" w:eastAsia="宋体" w:cs="Times New Roman"/>
                <w:szCs w:val="21"/>
              </w:rPr>
              <w:t>的合理性、可行性和有效性进行评定，得6~10分。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0" w:hRule="atLeast"/>
          <w:jc w:val="center"/>
        </w:trPr>
        <w:tc>
          <w:tcPr>
            <w:tcW w:w="365"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646"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440" w:type="pct"/>
            <w:gridSpan w:val="2"/>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571"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对本项目建设管理的建议</w:t>
            </w:r>
          </w:p>
        </w:tc>
        <w:tc>
          <w:tcPr>
            <w:tcW w:w="361"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5分</w:t>
            </w:r>
          </w:p>
        </w:tc>
        <w:tc>
          <w:tcPr>
            <w:tcW w:w="2614" w:type="pct"/>
            <w:vAlign w:val="center"/>
          </w:tcPr>
          <w:p>
            <w:pPr>
              <w:adjustRightInd w:val="0"/>
              <w:snapToGrid w:val="0"/>
              <w:spacing w:line="360" w:lineRule="exact"/>
              <w:rPr>
                <w:rFonts w:ascii="Times New Roman" w:hAnsi="Times New Roman" w:eastAsia="宋体" w:cs="Times New Roman"/>
                <w:szCs w:val="21"/>
              </w:rPr>
            </w:pPr>
            <w:r>
              <w:rPr>
                <w:rFonts w:ascii="Times New Roman" w:hAnsi="Times New Roman" w:eastAsia="宋体" w:cs="Times New Roman"/>
                <w:szCs w:val="21"/>
              </w:rPr>
              <w:t>对投标人提出的本项目建设管理风险及预防建议措施的针对性、合理性、可靠性进行评分，得3~5分。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2.2.4</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646"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主要人员</w:t>
            </w:r>
          </w:p>
        </w:tc>
        <w:tc>
          <w:tcPr>
            <w:tcW w:w="440" w:type="pct"/>
            <w:gridSpan w:val="2"/>
            <w:vAlign w:val="center"/>
          </w:tcPr>
          <w:p>
            <w:pPr>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17</w:t>
            </w:r>
            <w:r>
              <w:rPr>
                <w:rFonts w:ascii="Times New Roman" w:hAnsi="Times New Roman" w:eastAsia="宋体" w:cs="Times New Roman"/>
                <w:szCs w:val="21"/>
              </w:rPr>
              <w:t>分</w:t>
            </w:r>
          </w:p>
        </w:tc>
        <w:tc>
          <w:tcPr>
            <w:tcW w:w="571"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驻地监理工程师职资格与业绩</w:t>
            </w:r>
          </w:p>
        </w:tc>
        <w:tc>
          <w:tcPr>
            <w:tcW w:w="361" w:type="pct"/>
            <w:vAlign w:val="center"/>
          </w:tcPr>
          <w:p>
            <w:pPr>
              <w:adjustRightInd w:val="0"/>
              <w:snapToGrid w:val="0"/>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17</w:t>
            </w:r>
            <w:r>
              <w:rPr>
                <w:rFonts w:ascii="Times New Roman" w:hAnsi="Times New Roman" w:eastAsia="宋体" w:cs="Times New Roman"/>
                <w:szCs w:val="21"/>
              </w:rPr>
              <w:t>分</w:t>
            </w:r>
          </w:p>
        </w:tc>
        <w:tc>
          <w:tcPr>
            <w:tcW w:w="2614" w:type="pct"/>
            <w:vAlign w:val="center"/>
          </w:tcPr>
          <w:p>
            <w:pPr>
              <w:adjustRightInd w:val="0"/>
              <w:snapToGrid w:val="0"/>
              <w:spacing w:line="360" w:lineRule="exact"/>
            </w:pPr>
            <w:r>
              <w:rPr>
                <w:rFonts w:hint="eastAsia"/>
              </w:rPr>
              <w:t>（1）拟任的驻地监理工程师</w:t>
            </w:r>
            <w:r>
              <w:t>满足最低资格条件</w:t>
            </w:r>
            <w:r>
              <w:rPr>
                <w:rFonts w:hint="eastAsia"/>
              </w:rPr>
              <w:t>要求的，得12</w:t>
            </w:r>
            <w:r>
              <w:t>分</w:t>
            </w:r>
            <w:r>
              <w:rPr>
                <w:rFonts w:hint="eastAsia"/>
              </w:rPr>
              <w:t>；</w:t>
            </w:r>
          </w:p>
          <w:p>
            <w:pPr>
              <w:adjustRightInd w:val="0"/>
              <w:snapToGrid w:val="0"/>
              <w:spacing w:line="360" w:lineRule="exact"/>
            </w:pPr>
            <w:r>
              <w:rPr>
                <w:rFonts w:hint="eastAsia"/>
              </w:rPr>
              <w:t>（2）拟任的驻地监理工程师在满足最低资格条件的基础上，每担任过1个高速公路驻地监理工程师或总监理工程师业绩得5分，本项最多得5分。</w:t>
            </w:r>
          </w:p>
          <w:p>
            <w:pPr>
              <w:adjustRightInd w:val="0"/>
              <w:snapToGrid w:val="0"/>
              <w:spacing w:line="360" w:lineRule="exact"/>
              <w:rPr>
                <w:rFonts w:ascii="黑体" w:hAnsi="黑体" w:eastAsia="黑体" w:cs="黑体"/>
                <w:bCs/>
                <w:spacing w:val="20"/>
                <w:kern w:val="28"/>
                <w:szCs w:val="21"/>
              </w:rPr>
            </w:pPr>
            <w:r>
              <w:rPr>
                <w:rFonts w:hint="eastAsia"/>
              </w:rPr>
              <w:t>注：应满足投标人须知总则3.5.4条相关要求。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2.2.4</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646"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评标价</w:t>
            </w:r>
          </w:p>
        </w:tc>
        <w:tc>
          <w:tcPr>
            <w:tcW w:w="440" w:type="pct"/>
            <w:gridSpan w:val="2"/>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u w:val="single"/>
              </w:rPr>
              <w:t>10</w:t>
            </w:r>
            <w:r>
              <w:rPr>
                <w:rFonts w:ascii="Times New Roman" w:hAnsi="Times New Roman" w:eastAsia="宋体" w:cs="Times New Roman"/>
                <w:szCs w:val="21"/>
              </w:rPr>
              <w:t>分</w:t>
            </w:r>
          </w:p>
        </w:tc>
        <w:tc>
          <w:tcPr>
            <w:tcW w:w="3547" w:type="pct"/>
            <w:gridSpan w:val="3"/>
            <w:vAlign w:val="center"/>
          </w:tcPr>
          <w:p>
            <w:pPr>
              <w:adjustRightInd w:val="0"/>
              <w:snapToGrid w:val="0"/>
              <w:spacing w:line="360" w:lineRule="exact"/>
              <w:rPr>
                <w:rFonts w:ascii="宋体" w:hAnsi="宋体" w:eastAsia="宋体" w:cs="宋体"/>
                <w:szCs w:val="21"/>
              </w:rPr>
            </w:pPr>
            <w:r>
              <w:rPr>
                <w:rFonts w:hint="eastAsia" w:ascii="宋体" w:hAnsi="宋体" w:eastAsia="宋体" w:cs="宋体"/>
                <w:szCs w:val="21"/>
              </w:rPr>
              <w:t>当投标人的评标价等于评标基准价时得满分。评标价每高于评标基准价一个百分点扣0.2分；低于最高投标限价90%的评标价不参与计算评标基准价，且每低于评标基准价一个百分点扣0.2分；低于评标基准价但不低于最高投标限价90%的评标价每低于评标基准价一个百分点扣0.1分。中间值按比例内插，四舍五入，保留两位小数。</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用公式表示如下：</w:t>
            </w:r>
          </w:p>
          <w:p>
            <w:pPr>
              <w:pStyle w:val="2"/>
              <w:rPr>
                <w:rFonts w:ascii="宋体" w:hAnsi="宋体" w:eastAsia="宋体" w:cs="宋体"/>
                <w:sz w:val="21"/>
                <w:szCs w:val="21"/>
              </w:rPr>
            </w:pPr>
          </w:p>
          <w:p>
            <w:pPr>
              <w:adjustRightInd w:val="0"/>
              <w:snapToGrid w:val="0"/>
              <w:spacing w:line="360" w:lineRule="exact"/>
              <w:rPr>
                <w:rFonts w:ascii="宋体" w:hAnsi="宋体" w:eastAsia="宋体" w:cs="宋体"/>
                <w:szCs w:val="21"/>
              </w:rPr>
            </w:pPr>
            <m:oMathPara>
              <m:oMathParaPr>
                <m:jc m:val="left"/>
              </m:oMathParaPr>
              <m:oMath>
                <m:r>
                  <m:rPr>
                    <m:sty m:val="p"/>
                  </m:rPr>
                  <w:rPr>
                    <w:rFonts w:hint="eastAsia" w:ascii="Cambria Math" w:hAnsi="Cambria Math" w:eastAsia="宋体" w:cs="宋体"/>
                    <w:kern w:val="0"/>
                    <w:szCs w:val="21"/>
                  </w:rPr>
                  <m:t>F1=F−</m:t>
                </m:r>
                <m:f>
                  <m:fPr>
                    <m:ctrlPr>
                      <w:rPr>
                        <w:rFonts w:hint="eastAsia" w:ascii="Cambria Math" w:hAnsi="Cambria Math" w:eastAsia="宋体" w:cs="宋体"/>
                        <w:kern w:val="0"/>
                        <w:szCs w:val="21"/>
                      </w:rPr>
                    </m:ctrlPr>
                  </m:fPr>
                  <m:num>
                    <m:d>
                      <m:dPr>
                        <m:begChr m:val="|"/>
                        <m:endChr m:val="|"/>
                        <m:ctrlPr>
                          <w:rPr>
                            <w:rFonts w:hint="eastAsia" w:ascii="Cambria Math" w:hAnsi="Cambria Math" w:eastAsia="宋体" w:cs="宋体"/>
                            <w:kern w:val="0"/>
                            <w:szCs w:val="21"/>
                          </w:rPr>
                        </m:ctrlPr>
                      </m:dPr>
                      <m:e>
                        <m:r>
                          <m:rPr>
                            <m:sty m:val="p"/>
                          </m:rPr>
                          <w:rPr>
                            <w:rFonts w:hint="eastAsia" w:ascii="Cambria Math" w:hAnsi="Cambria Math" w:eastAsia="宋体" w:cs="宋体"/>
                            <w:kern w:val="0"/>
                            <w:szCs w:val="21"/>
                          </w:rPr>
                          <m:t>D1−D</m:t>
                        </m:r>
                        <m:ctrlPr>
                          <w:rPr>
                            <w:rFonts w:hint="eastAsia" w:ascii="Cambria Math" w:hAnsi="Cambria Math" w:eastAsia="宋体" w:cs="宋体"/>
                            <w:kern w:val="0"/>
                            <w:szCs w:val="21"/>
                          </w:rPr>
                        </m:ctrlPr>
                      </m:e>
                    </m:d>
                    <m:ctrlPr>
                      <w:rPr>
                        <w:rFonts w:hint="eastAsia" w:ascii="Cambria Math" w:hAnsi="Cambria Math" w:eastAsia="宋体" w:cs="宋体"/>
                        <w:kern w:val="0"/>
                        <w:szCs w:val="21"/>
                      </w:rPr>
                    </m:ctrlPr>
                  </m:num>
                  <m:den>
                    <m:r>
                      <m:rPr>
                        <m:sty m:val="p"/>
                      </m:rPr>
                      <w:rPr>
                        <w:rFonts w:hint="eastAsia" w:ascii="Cambria Math" w:hAnsi="Cambria Math" w:eastAsia="宋体" w:cs="宋体"/>
                        <w:kern w:val="0"/>
                        <w:szCs w:val="21"/>
                      </w:rPr>
                      <m:t>D</m:t>
                    </m:r>
                    <m:ctrlPr>
                      <w:rPr>
                        <w:rFonts w:hint="eastAsia" w:ascii="Cambria Math" w:hAnsi="Cambria Math" w:eastAsia="宋体" w:cs="宋体"/>
                        <w:kern w:val="0"/>
                        <w:szCs w:val="21"/>
                      </w:rPr>
                    </m:ctrlPr>
                  </m:den>
                </m:f>
                <m:r>
                  <m:rPr>
                    <m:sty m:val="p"/>
                  </m:rPr>
                  <w:rPr>
                    <w:rFonts w:hint="eastAsia" w:ascii="Cambria Math" w:hAnsi="Cambria Math" w:eastAsia="宋体" w:cs="宋体"/>
                    <w:kern w:val="0"/>
                    <w:szCs w:val="21"/>
                  </w:rPr>
                  <m:t>×100</m:t>
                </m:r>
                <m:r>
                  <m:rPr>
                    <m:sty m:val="b"/>
                  </m:rPr>
                  <w:rPr>
                    <w:rFonts w:hint="eastAsia" w:ascii="Cambria Math" w:hAnsi="Cambria Math" w:eastAsia="宋体" w:cs="宋体"/>
                    <w:kern w:val="0"/>
                    <w:szCs w:val="21"/>
                  </w:rPr>
                  <m:t>×E</m:t>
                </m:r>
              </m:oMath>
            </m:oMathPara>
          </w:p>
          <w:p>
            <w:pPr>
              <w:pStyle w:val="2"/>
              <w:rPr>
                <w:rFonts w:ascii="宋体" w:hAnsi="宋体" w:eastAsia="宋体" w:cs="宋体"/>
                <w:sz w:val="21"/>
                <w:szCs w:val="21"/>
              </w:rPr>
            </w:pPr>
          </w:p>
          <w:p>
            <w:pPr>
              <w:adjustRightInd w:val="0"/>
              <w:snapToGrid w:val="0"/>
              <w:spacing w:line="360" w:lineRule="exact"/>
              <w:rPr>
                <w:rFonts w:ascii="宋体" w:hAnsi="宋体" w:eastAsia="宋体" w:cs="宋体"/>
                <w:szCs w:val="21"/>
              </w:rPr>
            </w:pPr>
            <w:r>
              <w:rPr>
                <w:rFonts w:hint="eastAsia" w:ascii="宋体" w:hAnsi="宋体" w:eastAsia="宋体" w:cs="宋体"/>
                <w:szCs w:val="21"/>
              </w:rPr>
              <w:t>式中：F1——投标人评标价得分；</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F——评标价得分所占的百分比权重，F=10;</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D1——投标人的评标价；</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D——评标基准价。 </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若D1＞D，则E=0.2；</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若D1&lt;D，且D1≥最高限价90%，则E=0.1。</w:t>
            </w:r>
          </w:p>
          <w:p>
            <w:pPr>
              <w:adjustRightInd w:val="0"/>
              <w:snapToGrid w:val="0"/>
              <w:spacing w:line="360" w:lineRule="exact"/>
              <w:rPr>
                <w:rFonts w:ascii="宋体" w:hAnsi="宋体" w:eastAsia="宋体" w:cs="宋体"/>
                <w:szCs w:val="21"/>
              </w:rPr>
            </w:pPr>
            <w:r>
              <w:rPr>
                <w:rFonts w:hint="eastAsia" w:ascii="宋体" w:hAnsi="宋体" w:eastAsia="宋体" w:cs="宋体"/>
                <w:szCs w:val="21"/>
              </w:rPr>
              <w:t xml:space="preserve">     若D1&lt;最高限价90%，则E=0.2，评标价得分最低为0分。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5" w:type="pct"/>
            <w:vMerge w:val="restar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2.2.4</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646" w:type="pct"/>
            <w:vMerge w:val="restar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其他因素</w:t>
            </w:r>
          </w:p>
          <w:p>
            <w:pPr>
              <w:adjustRightInd w:val="0"/>
              <w:snapToGrid w:val="0"/>
              <w:spacing w:line="360" w:lineRule="exact"/>
              <w:jc w:val="center"/>
              <w:rPr>
                <w:rFonts w:ascii="Times New Roman" w:hAnsi="Times New Roman" w:eastAsia="宋体" w:cs="Times New Roman"/>
                <w:szCs w:val="21"/>
              </w:rPr>
            </w:pPr>
          </w:p>
        </w:tc>
        <w:tc>
          <w:tcPr>
            <w:tcW w:w="222"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业绩</w:t>
            </w:r>
          </w:p>
        </w:tc>
        <w:tc>
          <w:tcPr>
            <w:tcW w:w="218"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0</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分</w:t>
            </w:r>
          </w:p>
        </w:tc>
        <w:tc>
          <w:tcPr>
            <w:tcW w:w="571" w:type="pct"/>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业绩（适用所有监理标段）</w:t>
            </w:r>
          </w:p>
        </w:tc>
        <w:tc>
          <w:tcPr>
            <w:tcW w:w="361" w:type="pct"/>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20分</w:t>
            </w:r>
          </w:p>
        </w:tc>
        <w:tc>
          <w:tcPr>
            <w:tcW w:w="2614" w:type="pct"/>
            <w:vAlign w:val="center"/>
          </w:tcPr>
          <w:p>
            <w:pPr>
              <w:snapToGrid w:val="0"/>
              <w:spacing w:line="320" w:lineRule="exact"/>
              <w:rPr>
                <w:rFonts w:ascii="宋体" w:hAnsi="宋体" w:eastAsia="宋体" w:cs="宋体"/>
                <w:bCs/>
                <w:spacing w:val="20"/>
                <w:kern w:val="28"/>
                <w:szCs w:val="21"/>
              </w:rPr>
            </w:pPr>
            <w:r>
              <w:rPr>
                <w:rFonts w:hint="eastAsia" w:ascii="宋体" w:hAnsi="宋体" w:eastAsia="宋体" w:cs="宋体"/>
              </w:rPr>
              <w:t>投标人近5年内承担过（含在建）1个新建或改扩建高速公路施工（土建）监理项目的，得</w:t>
            </w:r>
            <w:r>
              <w:rPr>
                <w:rFonts w:hint="eastAsia" w:ascii="宋体" w:hAnsi="宋体" w:eastAsia="宋体" w:cs="宋体"/>
                <w:bCs/>
                <w:spacing w:val="20"/>
                <w:kern w:val="28"/>
                <w:szCs w:val="21"/>
              </w:rPr>
              <w:t>10分，在此基础上每增加1个高速公路施工监理业绩加5分，最多得20分。</w:t>
            </w:r>
          </w:p>
          <w:p>
            <w:pPr>
              <w:snapToGrid w:val="0"/>
              <w:spacing w:line="320" w:lineRule="exact"/>
              <w:rPr>
                <w:rFonts w:ascii="宋体" w:hAnsi="宋体" w:eastAsia="宋体" w:cs="宋体"/>
                <w:bCs/>
                <w:spacing w:val="20"/>
                <w:kern w:val="28"/>
                <w:szCs w:val="21"/>
              </w:rPr>
            </w:pPr>
            <w:r>
              <w:rPr>
                <w:rFonts w:hint="eastAsia" w:ascii="宋体" w:hAnsi="宋体" w:eastAsia="宋体" w:cs="宋体"/>
                <w:bCs/>
                <w:spacing w:val="20"/>
                <w:kern w:val="28"/>
                <w:szCs w:val="21"/>
              </w:rPr>
              <w:t>注：1.提供证明资料应能清晰辨认。</w:t>
            </w:r>
          </w:p>
          <w:p>
            <w:pPr>
              <w:adjustRightInd w:val="0"/>
              <w:snapToGrid w:val="0"/>
              <w:spacing w:line="320" w:lineRule="exact"/>
              <w:rPr>
                <w:rFonts w:ascii="宋体" w:hAnsi="宋体" w:eastAsia="宋体" w:cs="宋体"/>
                <w:szCs w:val="21"/>
              </w:rPr>
            </w:pPr>
            <w:r>
              <w:rPr>
                <w:rFonts w:hint="eastAsia" w:ascii="宋体" w:hAnsi="宋体" w:eastAsia="宋体" w:cs="宋体"/>
                <w:bCs/>
                <w:spacing w:val="20"/>
                <w:kern w:val="28"/>
                <w:szCs w:val="21"/>
              </w:rPr>
              <w:t>2.应满足投标人须知前附表3.5.2条相关要求。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3" w:hRule="atLeast"/>
          <w:jc w:val="center"/>
        </w:trPr>
        <w:tc>
          <w:tcPr>
            <w:tcW w:w="365"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646" w:type="pct"/>
            <w:vMerge w:val="continue"/>
            <w:vAlign w:val="center"/>
          </w:tcPr>
          <w:p>
            <w:pPr>
              <w:adjustRightInd w:val="0"/>
              <w:snapToGrid w:val="0"/>
              <w:spacing w:line="360" w:lineRule="exact"/>
              <w:jc w:val="center"/>
              <w:rPr>
                <w:rFonts w:ascii="Times New Roman" w:hAnsi="Times New Roman" w:eastAsia="宋体" w:cs="Times New Roman"/>
                <w:szCs w:val="21"/>
              </w:rPr>
            </w:pPr>
          </w:p>
        </w:tc>
        <w:tc>
          <w:tcPr>
            <w:tcW w:w="222"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履约信誉</w:t>
            </w:r>
          </w:p>
        </w:tc>
        <w:tc>
          <w:tcPr>
            <w:tcW w:w="218" w:type="pct"/>
            <w:vAlign w:val="center"/>
          </w:tcPr>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信</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用</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评</w:t>
            </w:r>
          </w:p>
          <w:p>
            <w:pPr>
              <w:adjustRightInd w:val="0"/>
              <w:snapToGrid w:val="0"/>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价</w:t>
            </w:r>
          </w:p>
        </w:tc>
        <w:tc>
          <w:tcPr>
            <w:tcW w:w="571" w:type="pct"/>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信用评价等级</w:t>
            </w:r>
          </w:p>
        </w:tc>
        <w:tc>
          <w:tcPr>
            <w:tcW w:w="361" w:type="pct"/>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3分</w:t>
            </w:r>
          </w:p>
        </w:tc>
        <w:tc>
          <w:tcPr>
            <w:tcW w:w="2614" w:type="pct"/>
            <w:vAlign w:val="center"/>
          </w:tcPr>
          <w:p>
            <w:pPr>
              <w:adjustRightInd w:val="0"/>
              <w:snapToGrid w:val="0"/>
              <w:spacing w:line="320" w:lineRule="exact"/>
              <w:rPr>
                <w:rFonts w:ascii="宋体" w:hAnsi="宋体" w:eastAsia="宋体" w:cs="宋体"/>
                <w:szCs w:val="21"/>
              </w:rPr>
            </w:pPr>
            <w:r>
              <w:rPr>
                <w:rFonts w:hint="eastAsia" w:ascii="宋体" w:hAnsi="宋体" w:eastAsia="宋体" w:cs="宋体"/>
                <w:szCs w:val="21"/>
              </w:rPr>
              <w:t>（1）投标人的最新信用等级被评为AA级的，得3分；</w:t>
            </w:r>
          </w:p>
          <w:p>
            <w:pPr>
              <w:adjustRightInd w:val="0"/>
              <w:snapToGrid w:val="0"/>
              <w:spacing w:line="320" w:lineRule="exact"/>
              <w:rPr>
                <w:rFonts w:ascii="宋体" w:hAnsi="宋体" w:eastAsia="宋体" w:cs="宋体"/>
                <w:szCs w:val="21"/>
              </w:rPr>
            </w:pPr>
            <w:r>
              <w:rPr>
                <w:rFonts w:hint="eastAsia" w:ascii="宋体" w:hAnsi="宋体" w:eastAsia="宋体" w:cs="宋体"/>
                <w:szCs w:val="21"/>
              </w:rPr>
              <w:t>（2）投标人的最新信用等级被评为A级的，得1.5分；</w:t>
            </w:r>
          </w:p>
          <w:p>
            <w:pPr>
              <w:adjustRightInd w:val="0"/>
              <w:snapToGrid w:val="0"/>
              <w:spacing w:line="320" w:lineRule="exact"/>
              <w:rPr>
                <w:rFonts w:ascii="宋体" w:hAnsi="宋体" w:eastAsia="宋体" w:cs="宋体"/>
                <w:szCs w:val="21"/>
              </w:rPr>
            </w:pPr>
            <w:r>
              <w:rPr>
                <w:rFonts w:hint="eastAsia" w:ascii="宋体" w:hAnsi="宋体" w:eastAsia="宋体" w:cs="宋体"/>
                <w:szCs w:val="21"/>
              </w:rPr>
              <w:t>（3）投标人的最新信用等级被评为B级的，得0分；</w:t>
            </w:r>
          </w:p>
          <w:p>
            <w:pPr>
              <w:adjustRightInd w:val="0"/>
              <w:snapToGrid w:val="0"/>
              <w:spacing w:line="320" w:lineRule="exact"/>
              <w:rPr>
                <w:rFonts w:ascii="宋体" w:hAnsi="宋体" w:eastAsia="宋体" w:cs="宋体"/>
                <w:szCs w:val="21"/>
              </w:rPr>
            </w:pPr>
            <w:r>
              <w:rPr>
                <w:rFonts w:hint="eastAsia" w:ascii="宋体" w:hAnsi="宋体" w:eastAsia="宋体" w:cs="宋体"/>
                <w:szCs w:val="21"/>
              </w:rPr>
              <w:t>（4）投标人的最新信用等级被评为C级的，得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3" w:hRule="atLeast"/>
          <w:jc w:val="center"/>
        </w:trPr>
        <w:tc>
          <w:tcPr>
            <w:tcW w:w="365" w:type="pct"/>
            <w:vAlign w:val="center"/>
          </w:tcPr>
          <w:p>
            <w:pPr>
              <w:pStyle w:val="9"/>
              <w:spacing w:line="240" w:lineRule="auto"/>
              <w:ind w:left="30"/>
              <w:jc w:val="left"/>
              <w:rPr>
                <w:rFonts w:ascii="Times New Roman" w:hAnsi="Times New Roman" w:eastAsia="宋体" w:cs="Times New Roman"/>
                <w:szCs w:val="21"/>
              </w:rPr>
            </w:pPr>
            <w:r>
              <w:rPr>
                <w:rFonts w:hint="eastAsia" w:ascii="Times New Roman" w:hAnsi="Times New Roman" w:eastAsia="宋体" w:cs="Times New Roman"/>
                <w:spacing w:val="0"/>
                <w:kern w:val="2"/>
                <w:szCs w:val="21"/>
              </w:rPr>
              <w:t>2.2.4（5）</w:t>
            </w:r>
          </w:p>
        </w:tc>
        <w:tc>
          <w:tcPr>
            <w:tcW w:w="1659" w:type="pct"/>
            <w:gridSpan w:val="4"/>
            <w:vAlign w:val="center"/>
          </w:tcPr>
          <w:p>
            <w:pPr>
              <w:snapToGrid w:val="0"/>
              <w:spacing w:line="300" w:lineRule="auto"/>
              <w:jc w:val="center"/>
              <w:rPr>
                <w:rFonts w:ascii="Times New Roman" w:hAnsi="Times New Roman" w:eastAsia="宋体" w:cs="Times New Roman"/>
                <w:szCs w:val="21"/>
              </w:rPr>
            </w:pPr>
            <w:r>
              <w:rPr>
                <w:rFonts w:hint="eastAsia" w:ascii="黑体" w:hAnsi="黑体" w:eastAsia="黑体" w:cs="黑体"/>
                <w:bCs/>
                <w:spacing w:val="20"/>
                <w:kern w:val="28"/>
                <w:szCs w:val="21"/>
              </w:rPr>
              <w:t>驻地监理工程师现场陈述</w:t>
            </w:r>
          </w:p>
        </w:tc>
        <w:tc>
          <w:tcPr>
            <w:tcW w:w="361" w:type="pct"/>
            <w:vAlign w:val="center"/>
          </w:tcPr>
          <w:p>
            <w:pPr>
              <w:snapToGrid w:val="0"/>
              <w:spacing w:line="300" w:lineRule="auto"/>
              <w:rPr>
                <w:rFonts w:ascii="Times New Roman" w:hAnsi="Times New Roman" w:eastAsia="宋体" w:cs="Times New Roman"/>
                <w:szCs w:val="21"/>
              </w:rPr>
            </w:pPr>
            <w:r>
              <w:rPr>
                <w:rFonts w:hint="eastAsia" w:ascii="黑体" w:hAnsi="黑体" w:eastAsia="黑体" w:cs="黑体"/>
                <w:bCs/>
                <w:szCs w:val="21"/>
              </w:rPr>
              <w:t>10分</w:t>
            </w:r>
          </w:p>
        </w:tc>
        <w:tc>
          <w:tcPr>
            <w:tcW w:w="2614" w:type="pct"/>
            <w:vAlign w:val="center"/>
          </w:tcPr>
          <w:p>
            <w:pPr>
              <w:spacing w:line="320" w:lineRule="exact"/>
              <w:rPr>
                <w:rFonts w:ascii="宋体" w:hAnsi="宋体" w:eastAsia="宋体" w:cs="宋体"/>
                <w:spacing w:val="20"/>
                <w:kern w:val="28"/>
                <w:szCs w:val="21"/>
              </w:rPr>
            </w:pPr>
            <w:r>
              <w:rPr>
                <w:rFonts w:hint="eastAsia" w:ascii="宋体" w:hAnsi="宋体" w:eastAsia="宋体" w:cs="宋体"/>
                <w:bCs/>
                <w:spacing w:val="20"/>
                <w:kern w:val="28"/>
                <w:szCs w:val="21"/>
              </w:rPr>
              <w:t>根据对监理标段工程概况、监理工作的要点、重点陈述情况评定，优秀得9~10分，良好得7-8分，合格得5-6，较差得1-5分。不参与现场陈述的，得0分。</w:t>
            </w:r>
          </w:p>
          <w:p>
            <w:pPr>
              <w:snapToGrid w:val="0"/>
              <w:spacing w:line="320" w:lineRule="exact"/>
              <w:rPr>
                <w:rFonts w:ascii="Times New Roman" w:hAnsi="Times New Roman" w:cs="Times New Roman"/>
              </w:rPr>
            </w:pPr>
            <w:r>
              <w:rPr>
                <w:rFonts w:hint="eastAsia" w:ascii="宋体" w:hAnsi="宋体" w:eastAsia="宋体" w:cs="宋体"/>
                <w:bCs/>
                <w:spacing w:val="20"/>
                <w:kern w:val="28"/>
                <w:szCs w:val="21"/>
              </w:rPr>
              <w:t>注：1.驻地监理工程师现场陈述应携带身份证原件及复印件，复印件应加盖公章，陈述前交招标代理机构。2.现场陈述时间一般控制在5～8分钟。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000" w:type="pct"/>
            <w:gridSpan w:val="7"/>
          </w:tcPr>
          <w:p>
            <w:pPr>
              <w:adjustRightInd w:val="0"/>
              <w:snapToGrid w:val="0"/>
              <w:spacing w:line="360" w:lineRule="exact"/>
              <w:rPr>
                <w:rFonts w:ascii="Times New Roman" w:hAnsi="Times New Roman" w:cs="Times New Roman"/>
              </w:rPr>
            </w:pPr>
            <w:r>
              <w:rPr>
                <w:rFonts w:ascii="Times New Roman" w:hAnsi="Times New Roman" w:cs="Times New Roman"/>
              </w:rPr>
              <w:t>需要补充的其他内容：</w:t>
            </w:r>
          </w:p>
          <w:p>
            <w:pPr>
              <w:adjustRightInd w:val="0"/>
              <w:snapToGrid w:val="0"/>
              <w:spacing w:line="360" w:lineRule="exact"/>
              <w:rPr>
                <w:rFonts w:ascii="Times New Roman" w:hAnsi="Times New Roman" w:cs="Times New Roman"/>
              </w:rPr>
            </w:pPr>
            <w:r>
              <w:rPr>
                <w:rFonts w:ascii="Times New Roman" w:hAnsi="Times New Roman" w:cs="Times New Roman"/>
              </w:rPr>
              <w:t>3.3 第二个信封开标补充以下内容</w:t>
            </w:r>
          </w:p>
          <w:p>
            <w:pPr>
              <w:adjustRightInd w:val="0"/>
              <w:snapToGrid w:val="0"/>
              <w:spacing w:line="360" w:lineRule="exact"/>
              <w:rPr>
                <w:rFonts w:ascii="Times New Roman" w:hAnsi="Times New Roman" w:cs="Times New Roman"/>
                <w:szCs w:val="21"/>
              </w:rPr>
            </w:pPr>
            <w:r>
              <w:rPr>
                <w:rFonts w:ascii="Times New Roman" w:hAnsi="Times New Roman" w:cs="Times New Roman"/>
                <w:szCs w:val="21"/>
              </w:rPr>
              <w:t>第二个信封开标结束后，如评标委员会经复核确认第一个信封（商务及技术文件）评审结果有误，评标委员会有权根据招标文件评标办法规定的评审标准对第一信封评审结果进行修正，并按照本章第2.2.2 项的规定对评标基准价进行修正。</w:t>
            </w:r>
          </w:p>
          <w:p>
            <w:pPr>
              <w:adjustRightInd w:val="0"/>
              <w:snapToGrid w:val="0"/>
              <w:spacing w:line="360" w:lineRule="exact"/>
              <w:rPr>
                <w:rFonts w:ascii="Times New Roman" w:hAnsi="Times New Roman" w:cs="Times New Roman"/>
                <w:szCs w:val="21"/>
              </w:rPr>
            </w:pPr>
            <w:r>
              <w:rPr>
                <w:rFonts w:ascii="Times New Roman" w:hAnsi="Times New Roman" w:cs="Times New Roman"/>
                <w:szCs w:val="21"/>
              </w:rPr>
              <w:t>3.6.1在评标过程中，评标委员会应查询交通运输主管部门“公路建设市场信用信息管理系统”或省级主管部门“公</w:t>
            </w:r>
            <w:r>
              <w:rPr>
                <w:rFonts w:ascii="Times New Roman" w:hAnsi="Times New Roman" w:cs="Times New Roman"/>
              </w:rPr>
              <w:t>路建设市场信用信息管理系统”或相关信用系统</w:t>
            </w:r>
            <w:r>
              <w:rPr>
                <w:rFonts w:ascii="Times New Roman" w:hAnsi="Times New Roman" w:cs="Times New Roman"/>
                <w:szCs w:val="21"/>
              </w:rPr>
              <w:t>或审查投标文件中提供的证明文件，对投标人的资质、业绩、主要人员资历和目前在岗情况、信用等级等信息进行核实。若投标文件载明的信息与交通运输主管部门“公路建设市场信用信息管理系统”</w:t>
            </w:r>
            <w:r>
              <w:rPr>
                <w:rFonts w:ascii="Times New Roman" w:hAnsi="Times New Roman" w:cs="Times New Roman"/>
              </w:rPr>
              <w:t>或省级主管部门“公路建设市场信用信息管理系统”或相关信用系统</w:t>
            </w:r>
            <w:r>
              <w:rPr>
                <w:rFonts w:ascii="Times New Roman" w:hAnsi="Times New Roman" w:cs="Times New Roman"/>
                <w:szCs w:val="21"/>
              </w:rPr>
              <w:t>发布的信息或与招标文件规定不符，使得投标人的资格条件不符合招标文件规定的，评标委员会应否决其投标。</w:t>
            </w:r>
          </w:p>
          <w:p>
            <w:pPr>
              <w:pStyle w:val="5"/>
              <w:ind w:firstLine="0" w:firstLineChars="0"/>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3.9.1 除第二章“投标人须知”前附表授权直接确定中标人外，评标委员会按照得分由高到低的顺序推荐中标候选人，并标明排序，</w:t>
            </w:r>
            <w:r>
              <w:rPr>
                <w:rFonts w:ascii="Times New Roman" w:hAnsi="Times New Roman" w:cs="Times New Roman"/>
                <w:color w:val="auto"/>
                <w:kern w:val="2"/>
                <w:sz w:val="21"/>
                <w:szCs w:val="21"/>
              </w:rPr>
              <w:t>若投标人同时在多个标段列为第一中标候选人，</w:t>
            </w:r>
            <w:r>
              <w:rPr>
                <w:rFonts w:hint="eastAsia" w:ascii="Times New Roman" w:hAnsi="Times New Roman" w:cs="Times New Roman"/>
                <w:color w:val="auto"/>
                <w:kern w:val="2"/>
                <w:sz w:val="21"/>
                <w:szCs w:val="21"/>
              </w:rPr>
              <w:t>评标委员会</w:t>
            </w:r>
            <w:r>
              <w:rPr>
                <w:rFonts w:ascii="Times New Roman" w:hAnsi="Times New Roman" w:cs="Times New Roman"/>
                <w:color w:val="auto"/>
                <w:kern w:val="2"/>
                <w:sz w:val="21"/>
                <w:szCs w:val="21"/>
              </w:rPr>
              <w:t>将</w:t>
            </w:r>
            <w:r>
              <w:rPr>
                <w:rFonts w:hint="eastAsia" w:ascii="Times New Roman" w:hAnsi="Times New Roman" w:cs="Times New Roman"/>
                <w:color w:val="auto"/>
                <w:kern w:val="2"/>
                <w:sz w:val="21"/>
                <w:szCs w:val="21"/>
              </w:rPr>
              <w:t>以标段序号的先后顺序确定其</w:t>
            </w:r>
            <w:r>
              <w:rPr>
                <w:rFonts w:ascii="Times New Roman" w:hAnsi="Times New Roman" w:cs="Times New Roman"/>
                <w:color w:val="auto"/>
                <w:kern w:val="2"/>
                <w:sz w:val="21"/>
                <w:szCs w:val="21"/>
              </w:rPr>
              <w:t>中标候选人资格</w:t>
            </w:r>
            <w:r>
              <w:rPr>
                <w:rFonts w:hint="eastAsia" w:ascii="Times New Roman" w:hAnsi="Times New Roman" w:cs="Times New Roman"/>
                <w:color w:val="auto"/>
                <w:kern w:val="2"/>
                <w:sz w:val="21"/>
                <w:szCs w:val="21"/>
              </w:rPr>
              <w:t>，允许中标数量以外的标段将不再作为中标候选人，其他中标候选人资格依次递补</w:t>
            </w:r>
            <w:r>
              <w:rPr>
                <w:rFonts w:ascii="Times New Roman" w:hAnsi="Times New Roman" w:cs="Times New Roman"/>
                <w:color w:val="auto"/>
                <w:kern w:val="2"/>
                <w:sz w:val="21"/>
                <w:szCs w:val="21"/>
              </w:rPr>
              <w:t>。</w:t>
            </w:r>
          </w:p>
          <w:p>
            <w:pPr>
              <w:adjustRightInd w:val="0"/>
              <w:snapToGrid w:val="0"/>
              <w:spacing w:line="360" w:lineRule="exact"/>
              <w:rPr>
                <w:rFonts w:ascii="Times New Roman" w:hAnsi="Times New Roman" w:cs="Times New Roman"/>
              </w:rPr>
            </w:pPr>
            <w:r>
              <w:rPr>
                <w:rFonts w:ascii="Times New Roman" w:hAnsi="Times New Roman" w:cs="Times New Roman"/>
              </w:rPr>
              <w:t>注：</w:t>
            </w:r>
          </w:p>
          <w:p>
            <w:pPr>
              <w:adjustRightInd w:val="0"/>
              <w:snapToGrid w:val="0"/>
              <w:spacing w:line="360" w:lineRule="exact"/>
              <w:rPr>
                <w:rFonts w:ascii="Times New Roman" w:hAnsi="Times New Roman" w:cs="Times New Roman"/>
              </w:rPr>
            </w:pPr>
            <w:r>
              <w:rPr>
                <w:rFonts w:hint="eastAsia" w:ascii="Times New Roman" w:hAnsi="Times New Roman" w:cs="Times New Roman"/>
              </w:rPr>
              <w:t>①</w:t>
            </w:r>
            <w:r>
              <w:rPr>
                <w:rFonts w:ascii="Times New Roman" w:hAnsi="Times New Roman" w:cs="Times New Roman"/>
              </w:rPr>
              <w:t>各评分因素（评标价、主要人员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adjustRightInd w:val="0"/>
              <w:snapToGrid w:val="0"/>
              <w:spacing w:line="360" w:lineRule="exact"/>
              <w:rPr>
                <w:rFonts w:ascii="Times New Roman" w:hAnsi="Times New Roman" w:cs="Times New Roman"/>
              </w:rPr>
            </w:pPr>
            <w:r>
              <w:rPr>
                <w:rFonts w:hint="eastAsia" w:ascii="Times New Roman" w:hAnsi="Times New Roman" w:cs="Times New Roman"/>
              </w:rPr>
              <w:t>②参照《贵州省交通运输厅关于印发〈贵州省高速公路设计施工企业信用评价实施细则（试行）〉的通知》（黔交建设〔2016〕279号）及《贵州省交通运输厅关于高速公路设计施工企业信用评价结果引用的补充通知》黔交建设〔2016〕291号文件的规定</w:t>
            </w:r>
            <w:r>
              <w:rPr>
                <w:rFonts w:ascii="Times New Roman" w:hAnsi="Times New Roman" w:cs="Times New Roman"/>
              </w:rPr>
              <w:t>，投标人的信用评价等级按以下顺序引用（排序在前的优先）：</w:t>
            </w:r>
          </w:p>
          <w:p>
            <w:pPr>
              <w:adjustRightInd w:val="0"/>
              <w:snapToGrid w:val="0"/>
              <w:spacing w:line="360" w:lineRule="exact"/>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a</w:t>
            </w:r>
            <w:r>
              <w:rPr>
                <w:rFonts w:hint="eastAsia" w:ascii="Cambria Math" w:hAnsi="Cambria Math" w:cs="Cambria Math"/>
              </w:rPr>
              <w:t>.</w:t>
            </w:r>
            <w:r>
              <w:rPr>
                <w:rFonts w:ascii="Times New Roman" w:hAnsi="Times New Roman" w:cs="Times New Roman"/>
              </w:rPr>
              <w:t>贵州省交通运输厅</w:t>
            </w:r>
            <w:r>
              <w:rPr>
                <w:rFonts w:hint="eastAsia" w:ascii="Times New Roman" w:hAnsi="Times New Roman" w:cs="Times New Roman"/>
              </w:rPr>
              <w:t>最新</w:t>
            </w:r>
            <w:r>
              <w:rPr>
                <w:rFonts w:ascii="Times New Roman" w:hAnsi="Times New Roman" w:cs="Times New Roman"/>
              </w:rPr>
              <w:t>年度信用评价等级；</w:t>
            </w:r>
          </w:p>
          <w:p>
            <w:pPr>
              <w:adjustRightInd w:val="0"/>
              <w:snapToGrid w:val="0"/>
              <w:spacing w:line="360" w:lineRule="exact"/>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c.</w:t>
            </w:r>
            <w:r>
              <w:rPr>
                <w:rFonts w:ascii="Times New Roman" w:hAnsi="Times New Roman" w:cs="Times New Roman"/>
              </w:rPr>
              <w:t>交通运输部</w:t>
            </w:r>
            <w:r>
              <w:rPr>
                <w:rFonts w:hint="eastAsia" w:ascii="Times New Roman" w:hAnsi="Times New Roman" w:cs="Times New Roman"/>
              </w:rPr>
              <w:t>最新</w:t>
            </w:r>
            <w:r>
              <w:rPr>
                <w:rFonts w:ascii="Times New Roman" w:hAnsi="Times New Roman" w:cs="Times New Roman"/>
              </w:rPr>
              <w:t>年度信用评价等级；</w:t>
            </w:r>
          </w:p>
          <w:p>
            <w:pPr>
              <w:adjustRightInd w:val="0"/>
              <w:snapToGrid w:val="0"/>
              <w:spacing w:line="360" w:lineRule="exact"/>
              <w:rPr>
                <w:rFonts w:ascii="Times New Roman" w:hAnsi="Times New Roman" w:cs="Times New Roman"/>
              </w:rPr>
            </w:pPr>
            <w:r>
              <w:rPr>
                <w:rFonts w:ascii="Times New Roman" w:hAnsi="Times New Roman" w:cs="Times New Roman"/>
              </w:rPr>
              <w:t>　　</w:t>
            </w:r>
            <w:r>
              <w:rPr>
                <w:rFonts w:hint="eastAsia" w:ascii="Times New Roman" w:hAnsi="Times New Roman" w:cs="Times New Roman"/>
              </w:rPr>
              <w:t>d.</w:t>
            </w:r>
            <w:r>
              <w:rPr>
                <w:rFonts w:ascii="Times New Roman" w:hAnsi="Times New Roman" w:cs="Times New Roman"/>
              </w:rPr>
              <w:t>投标单位注册地交通运输厅（局、委）</w:t>
            </w:r>
            <w:r>
              <w:rPr>
                <w:rFonts w:hint="eastAsia" w:ascii="Times New Roman" w:hAnsi="Times New Roman" w:cs="Times New Roman"/>
              </w:rPr>
              <w:t>最新</w:t>
            </w:r>
            <w:r>
              <w:rPr>
                <w:rFonts w:ascii="Times New Roman" w:hAnsi="Times New Roman" w:cs="Times New Roman"/>
              </w:rPr>
              <w:t>年度信用评价等级。</w:t>
            </w:r>
          </w:p>
          <w:p>
            <w:pPr>
              <w:adjustRightInd w:val="0"/>
              <w:snapToGrid w:val="0"/>
              <w:spacing w:line="360" w:lineRule="exact"/>
              <w:rPr>
                <w:rFonts w:ascii="Times New Roman" w:hAnsi="Times New Roman" w:cs="Times New Roman"/>
              </w:rPr>
            </w:pPr>
            <w:r>
              <w:rPr>
                <w:rFonts w:ascii="Times New Roman" w:hAnsi="Times New Roman" w:cs="Times New Roman"/>
              </w:rPr>
              <w:t>　　以上同一优先级中，投标专业对应的专业评价优先于不分专业的综合评价，综合评价优先于非投标专业对应的专业评价</w:t>
            </w:r>
            <w:r>
              <w:rPr>
                <w:rFonts w:hint="eastAsia" w:ascii="Times New Roman" w:hAnsi="Times New Roman" w:cs="Times New Roman"/>
              </w:rPr>
              <w:t>，在新一年度的信用评价结果公布前，上一年度对应的评价即为最新的信用评价</w:t>
            </w:r>
            <w:r>
              <w:rPr>
                <w:rFonts w:ascii="Times New Roman" w:hAnsi="Times New Roman" w:cs="Times New Roman"/>
              </w:rPr>
              <w:t>。</w:t>
            </w:r>
          </w:p>
          <w:p>
            <w:pPr>
              <w:adjustRightInd w:val="0"/>
              <w:snapToGrid w:val="0"/>
              <w:spacing w:line="360" w:lineRule="exact"/>
              <w:rPr>
                <w:rFonts w:ascii="Times New Roman" w:hAnsi="Times New Roman" w:cs="Times New Roman"/>
              </w:rPr>
            </w:pPr>
            <w:r>
              <w:rPr>
                <w:rFonts w:ascii="Times New Roman" w:hAnsi="Times New Roman" w:cs="Times New Roman"/>
              </w:rPr>
              <w:t>　　无上述3种信用评价等级时，其信用评价等级按以下原则确定：</w:t>
            </w:r>
          </w:p>
          <w:p>
            <w:pPr>
              <w:adjustRightInd w:val="0"/>
              <w:snapToGrid w:val="0"/>
              <w:spacing w:line="360" w:lineRule="exact"/>
              <w:rPr>
                <w:rFonts w:ascii="Times New Roman" w:hAnsi="Times New Roman" w:cs="Times New Roman"/>
              </w:rPr>
            </w:pPr>
            <w:r>
              <w:rPr>
                <w:rFonts w:ascii="Times New Roman" w:hAnsi="Times New Roman" w:cs="Times New Roman"/>
              </w:rPr>
              <w:t>　　——没有发现不良信用记录的，按A级对待；</w:t>
            </w:r>
          </w:p>
          <w:p>
            <w:pPr>
              <w:adjustRightInd w:val="0"/>
              <w:snapToGrid w:val="0"/>
              <w:spacing w:line="360" w:lineRule="exact"/>
              <w:rPr>
                <w:rFonts w:ascii="Times New Roman" w:hAnsi="Times New Roman" w:cs="Times New Roman"/>
              </w:rPr>
            </w:pPr>
            <w:r>
              <w:rPr>
                <w:rFonts w:ascii="Times New Roman" w:hAnsi="Times New Roman" w:cs="Times New Roman"/>
              </w:rPr>
              <w:t>　　——有一般不良记录的，按B级对待；</w:t>
            </w:r>
          </w:p>
          <w:p>
            <w:pPr>
              <w:adjustRightInd w:val="0"/>
              <w:snapToGrid w:val="0"/>
              <w:spacing w:line="360" w:lineRule="exact"/>
              <w:rPr>
                <w:rFonts w:ascii="Times New Roman" w:hAnsi="Times New Roman" w:cs="Times New Roman"/>
              </w:rPr>
            </w:pPr>
            <w:r>
              <w:rPr>
                <w:rFonts w:ascii="Times New Roman" w:hAnsi="Times New Roman" w:cs="Times New Roman"/>
              </w:rPr>
              <w:t>　　——仅有1次达到直接定为D级不良记录的，或仅有2次达到直接定为C级不良记录的，按C级对待；</w:t>
            </w:r>
          </w:p>
          <w:p>
            <w:pPr>
              <w:adjustRightInd w:val="0"/>
              <w:snapToGrid w:val="0"/>
              <w:spacing w:line="360" w:lineRule="exact"/>
              <w:rPr>
                <w:rFonts w:ascii="Times New Roman" w:hAnsi="Times New Roman" w:cs="Times New Roman"/>
              </w:rPr>
            </w:pPr>
            <w:r>
              <w:rPr>
                <w:rFonts w:ascii="Times New Roman" w:hAnsi="Times New Roman" w:cs="Times New Roman"/>
              </w:rPr>
              <w:t>　　——发生直接定为D级不良记录超过1次的，或直接定为C级不良记录超过2次的，或直接定为D、C级不良记录合计2次的，按D级对待。</w:t>
            </w:r>
          </w:p>
        </w:tc>
      </w:tr>
    </w:tbl>
    <w:p>
      <w:pPr>
        <w:pStyle w:val="2"/>
        <w:numPr>
          <w:numId w:val="0"/>
        </w:numPr>
        <w:rPr>
          <w:rFonts w:hint="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zAxYTM1ZTg3MmUyZWU3MjVjMjAzODlhZTY5MzcifQ=="/>
  </w:docVars>
  <w:rsids>
    <w:rsidRoot w:val="00000000"/>
    <w:rsid w:val="79E6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spacing w:line="420" w:lineRule="atLeast"/>
      <w:ind w:firstLine="454"/>
    </w:pPr>
    <w:rPr>
      <w:rFonts w:ascii="Times New Roman"/>
    </w:rPr>
  </w:style>
  <w:style w:type="paragraph" w:styleId="5">
    <w:name w:val="Body Text Indent 2"/>
    <w:basedOn w:val="1"/>
    <w:semiHidden/>
    <w:qFormat/>
    <w:uiPriority w:val="0"/>
    <w:pPr>
      <w:overflowPunct w:val="0"/>
      <w:autoSpaceDE w:val="0"/>
      <w:adjustRightInd w:val="0"/>
      <w:spacing w:line="420" w:lineRule="atLeast"/>
      <w:ind w:firstLine="504" w:firstLineChars="210"/>
    </w:pPr>
    <w:rPr>
      <w:color w:val="0000FF"/>
      <w:kern w:val="0"/>
      <w:sz w:val="24"/>
    </w:rPr>
  </w:style>
  <w:style w:type="paragraph" w:styleId="6">
    <w:name w:val="Body Text First Indent 2"/>
    <w:basedOn w:val="4"/>
    <w:unhideWhenUsed/>
    <w:qFormat/>
    <w:uiPriority w:val="99"/>
    <w:pPr>
      <w:spacing w:after="120"/>
      <w:ind w:left="420" w:leftChars="200" w:firstLine="420" w:firstLineChars="200"/>
    </w:pPr>
  </w:style>
  <w:style w:type="paragraph" w:customStyle="1" w:styleId="9">
    <w:name w:val="6'"/>
    <w:basedOn w:val="1"/>
    <w:qFormat/>
    <w:uiPriority w:val="0"/>
    <w:pPr>
      <w:autoSpaceDE w:val="0"/>
      <w:autoSpaceDN w:val="0"/>
      <w:snapToGrid w:val="0"/>
      <w:spacing w:line="320" w:lineRule="exact"/>
      <w:jc w:val="center"/>
    </w:pPr>
    <w:rPr>
      <w:spacing w:val="20"/>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2022-09-29T02:24:13Z</dcterms:created>
  <dc:creator>Administrator</dc:creator>
  <cp:lastModifiedBy>Administrator</cp:lastModifiedBy>
  <dcterms:modified xsi:type="dcterms:W3CDTF">2022-09-29T02:35:46Z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AEFEBD44554C469395F6F77F2D560758</vt:lpwstr>
  </property>
</Properties>
</file>