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60" w:after="60" w:line="360" w:lineRule="auto"/>
        <w:jc w:val="center"/>
        <w:rPr>
          <w:rFonts w:hint="eastAsia" w:asciiTheme="minorEastAsia" w:hAnsiTheme="minorEastAsia" w:eastAsiaTheme="minorEastAsia" w:cstheme="minorEastAsia"/>
          <w:b w:val="0"/>
          <w:color w:val="auto"/>
          <w:sz w:val="28"/>
          <w:szCs w:val="28"/>
          <w:highlight w:val="none"/>
        </w:rPr>
      </w:pPr>
      <w:bookmarkStart w:id="0" w:name="_Toc452799479"/>
      <w:bookmarkStart w:id="1" w:name="_Toc456819221"/>
      <w:bookmarkStart w:id="2" w:name="_Toc456819417"/>
      <w:bookmarkStart w:id="3" w:name="_Toc524597613"/>
      <w:bookmarkStart w:id="4" w:name="_Toc483267981"/>
      <w:bookmarkStart w:id="5" w:name="_Toc353742522"/>
      <w:r>
        <w:rPr>
          <w:rFonts w:hint="eastAsia" w:asciiTheme="minorEastAsia" w:hAnsiTheme="minorEastAsia" w:eastAsiaTheme="minorEastAsia" w:cstheme="minorEastAsia"/>
          <w:snapToGrid w:val="0"/>
          <w:color w:val="auto"/>
          <w:kern w:val="0"/>
          <w:sz w:val="28"/>
          <w:szCs w:val="28"/>
          <w:highlight w:val="none"/>
        </w:rPr>
        <w:t>附录1 资格审查条件（资质最低要求）</w:t>
      </w:r>
      <w:bookmarkEnd w:id="0"/>
      <w:bookmarkEnd w:id="1"/>
      <w:bookmarkEnd w:id="2"/>
      <w:bookmarkEnd w:id="3"/>
      <w:bookmarkEnd w:id="4"/>
      <w:bookmarkEnd w:id="5"/>
    </w:p>
    <w:p>
      <w:pPr>
        <w:jc w:val="center"/>
        <w:rPr>
          <w:rFonts w:hint="eastAsia" w:asciiTheme="minorEastAsia" w:hAnsiTheme="minorEastAsia" w:eastAsiaTheme="minorEastAsia" w:cstheme="minorEastAsia"/>
          <w:b/>
          <w:color w:val="auto"/>
          <w:sz w:val="21"/>
          <w:szCs w:val="21"/>
          <w:highlight w:val="none"/>
        </w:rPr>
      </w:pPr>
    </w:p>
    <w:tbl>
      <w:tblPr>
        <w:tblStyle w:val="7"/>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1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4"/>
                <w:szCs w:val="24"/>
                <w:highlight w:val="none"/>
              </w:rPr>
              <w:t>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8" w:hRule="atLeast"/>
          <w:jc w:val="center"/>
        </w:trPr>
        <w:tc>
          <w:tcPr>
            <w:tcW w:w="9213" w:type="dxa"/>
            <w:vAlign w:val="center"/>
          </w:tcPr>
          <w:p>
            <w:pPr>
              <w:widowControl/>
              <w:spacing w:line="360" w:lineRule="auto"/>
              <w:ind w:firstLine="480" w:firstLineChars="200"/>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 xml:space="preserve">投标人需同时满足以下两项资质要求： </w:t>
            </w:r>
          </w:p>
          <w:p>
            <w:pPr>
              <w:widowControl/>
              <w:spacing w:line="360" w:lineRule="auto"/>
              <w:ind w:firstLine="480" w:firstLineChars="200"/>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 xml:space="preserve">1、具有独立法人资格，同时具有有效的工商营业执照； </w:t>
            </w:r>
          </w:p>
          <w:p>
            <w:pPr>
              <w:widowControl/>
              <w:spacing w:line="360" w:lineRule="auto"/>
              <w:ind w:firstLine="480" w:firstLineChars="200"/>
              <w:jc w:val="both"/>
              <w:rPr>
                <w:rFonts w:hint="eastAsia" w:asciiTheme="minorEastAsia" w:hAnsiTheme="minorEastAsia" w:eastAsiaTheme="minorEastAsia" w:cstheme="minorEastAsia"/>
                <w:bCs/>
                <w:color w:val="auto"/>
                <w:sz w:val="24"/>
                <w:szCs w:val="24"/>
                <w:highlight w:val="none"/>
              </w:rPr>
            </w:pPr>
            <w:r>
              <w:rPr>
                <w:rFonts w:hint="default"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lang w:val="en-US" w:eastAsia="zh-CN"/>
              </w:rPr>
              <w:t xml:space="preserve">、具有工程设计公路行业甲级（或工程设计综合资质甲级证书）及交通运输部核发的在有效期内的公路工程试验检测机构综合甲级资质证书； </w:t>
            </w:r>
          </w:p>
          <w:p>
            <w:pPr>
              <w:widowControl/>
              <w:spacing w:line="360" w:lineRule="auto"/>
              <w:ind w:firstLine="480" w:firstLineChars="200"/>
              <w:jc w:val="both"/>
              <w:rPr>
                <w:rFonts w:hint="eastAsia" w:asciiTheme="minorEastAsia" w:hAnsiTheme="minorEastAsia" w:eastAsiaTheme="minorEastAsia" w:cstheme="minorEastAsia"/>
                <w:bCs/>
                <w:color w:val="auto"/>
                <w:sz w:val="24"/>
                <w:szCs w:val="24"/>
                <w:highlight w:val="none"/>
              </w:rPr>
            </w:pPr>
            <w:r>
              <w:rPr>
                <w:rFonts w:hint="default" w:asciiTheme="minorEastAsia" w:hAnsiTheme="minorEastAsia" w:eastAsiaTheme="minorEastAsia" w:cstheme="minorEastAsia"/>
                <w:bCs/>
                <w:color w:val="auto"/>
                <w:sz w:val="24"/>
                <w:szCs w:val="24"/>
                <w:highlight w:val="none"/>
                <w:lang w:val="en-US" w:eastAsia="zh-CN"/>
              </w:rPr>
              <w:t>3</w:t>
            </w:r>
            <w:r>
              <w:rPr>
                <w:rFonts w:hint="eastAsia" w:asciiTheme="minorEastAsia" w:hAnsiTheme="minorEastAsia" w:eastAsiaTheme="minorEastAsia" w:cstheme="minorEastAsia"/>
                <w:bCs/>
                <w:color w:val="auto"/>
                <w:sz w:val="24"/>
                <w:szCs w:val="24"/>
                <w:highlight w:val="none"/>
                <w:lang w:val="en-US" w:eastAsia="zh-CN"/>
              </w:rPr>
              <w:t>、具有质量技术监督部门颁发的计量认证证书</w:t>
            </w:r>
            <w:r>
              <w:rPr>
                <w:rFonts w:hint="default" w:asciiTheme="minorEastAsia" w:hAnsiTheme="minorEastAsia" w:eastAsiaTheme="minorEastAsia" w:cstheme="minorEastAsia"/>
                <w:bCs/>
                <w:color w:val="auto"/>
                <w:sz w:val="24"/>
                <w:szCs w:val="24"/>
                <w:highlight w:val="none"/>
                <w:lang w:val="en-US" w:eastAsia="zh-CN"/>
              </w:rPr>
              <w:t xml:space="preserve">(CMA </w:t>
            </w:r>
            <w:r>
              <w:rPr>
                <w:rFonts w:hint="eastAsia" w:asciiTheme="minorEastAsia" w:hAnsiTheme="minorEastAsia" w:eastAsiaTheme="minorEastAsia" w:cstheme="minorEastAsia"/>
                <w:bCs/>
                <w:color w:val="auto"/>
                <w:sz w:val="24"/>
                <w:szCs w:val="24"/>
                <w:highlight w:val="none"/>
                <w:lang w:val="en-US" w:eastAsia="zh-CN"/>
              </w:rPr>
              <w:t>证书</w:t>
            </w:r>
            <w:r>
              <w:rPr>
                <w:rFonts w:hint="default" w:asciiTheme="minorEastAsia" w:hAnsiTheme="minorEastAsia" w:eastAsia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lang w:val="en-US" w:eastAsia="zh-CN"/>
              </w:rPr>
              <w:t xml:space="preserve">。 </w:t>
            </w:r>
          </w:p>
          <w:p>
            <w:pPr>
              <w:widowControl/>
              <w:spacing w:line="360" w:lineRule="auto"/>
              <w:ind w:firstLine="480" w:firstLineChars="200"/>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 xml:space="preserve">注：若为联合体，计量认证证书由联合体牵头单位提供。 </w:t>
            </w:r>
          </w:p>
        </w:tc>
      </w:tr>
    </w:tbl>
    <w:p>
      <w:pPr>
        <w:autoSpaceDE/>
        <w:autoSpaceDN/>
        <w:adjustRightInd/>
        <w:snapToGrid w:val="0"/>
        <w:textAlignment w:val="auto"/>
        <w:rPr>
          <w:rFonts w:hint="eastAsia" w:asciiTheme="minorEastAsia" w:hAnsiTheme="minorEastAsia" w:eastAsiaTheme="minorEastAsia" w:cstheme="minorEastAsia"/>
          <w:color w:val="auto"/>
          <w:sz w:val="21"/>
          <w:szCs w:val="21"/>
          <w:highlight w:val="none"/>
        </w:rPr>
      </w:pPr>
    </w:p>
    <w:p>
      <w:pPr>
        <w:autoSpaceDE/>
        <w:autoSpaceDN/>
        <w:adjustRightInd/>
        <w:snapToGrid w:val="0"/>
        <w:textAlignment w:val="auto"/>
        <w:rPr>
          <w:rFonts w:hint="eastAsia" w:asciiTheme="minorEastAsia" w:hAnsiTheme="minorEastAsia" w:eastAsiaTheme="minorEastAsia" w:cstheme="minorEastAsia"/>
          <w:color w:val="auto"/>
          <w:sz w:val="21"/>
          <w:szCs w:val="21"/>
          <w:highlight w:val="none"/>
        </w:rPr>
      </w:pPr>
    </w:p>
    <w:p>
      <w:pPr>
        <w:autoSpaceDE/>
        <w:autoSpaceDN/>
        <w:adjustRightInd/>
        <w:snapToGrid w:val="0"/>
        <w:textAlignment w:val="auto"/>
        <w:rPr>
          <w:rFonts w:hint="eastAsia" w:asciiTheme="minorEastAsia" w:hAnsiTheme="minorEastAsia" w:eastAsiaTheme="minorEastAsia" w:cstheme="minorEastAsia"/>
          <w:color w:val="auto"/>
          <w:sz w:val="21"/>
          <w:szCs w:val="21"/>
          <w:highlight w:val="none"/>
        </w:rPr>
      </w:pPr>
    </w:p>
    <w:p>
      <w:pPr>
        <w:autoSpaceDE/>
        <w:autoSpaceDN/>
        <w:adjustRightInd/>
        <w:snapToGrid w:val="0"/>
        <w:textAlignment w:val="auto"/>
        <w:rPr>
          <w:rFonts w:hint="eastAsia" w:asciiTheme="minorEastAsia" w:hAnsiTheme="minorEastAsia" w:eastAsiaTheme="minorEastAsia" w:cstheme="minorEastAsia"/>
          <w:color w:val="auto"/>
          <w:sz w:val="21"/>
          <w:szCs w:val="21"/>
          <w:highlight w:val="none"/>
        </w:rPr>
      </w:pPr>
    </w:p>
    <w:p>
      <w:pPr>
        <w:autoSpaceDE/>
        <w:autoSpaceDN/>
        <w:adjustRightInd/>
        <w:snapToGrid w:val="0"/>
        <w:textAlignment w:val="auto"/>
        <w:rPr>
          <w:rFonts w:hint="eastAsia" w:asciiTheme="minorEastAsia" w:hAnsiTheme="minorEastAsia" w:eastAsiaTheme="minorEastAsia" w:cstheme="minorEastAsia"/>
          <w:color w:val="auto"/>
          <w:sz w:val="21"/>
          <w:szCs w:val="21"/>
          <w:highlight w:val="none"/>
        </w:rPr>
      </w:pPr>
    </w:p>
    <w:p>
      <w:pPr>
        <w:autoSpaceDE/>
        <w:autoSpaceDN/>
        <w:adjustRightInd/>
        <w:snapToGrid w:val="0"/>
        <w:textAlignment w:val="auto"/>
        <w:rPr>
          <w:rFonts w:hint="eastAsia" w:asciiTheme="minorEastAsia" w:hAnsiTheme="minorEastAsia" w:eastAsiaTheme="minorEastAsia" w:cstheme="minorEastAsia"/>
          <w:color w:val="auto"/>
          <w:sz w:val="21"/>
          <w:szCs w:val="21"/>
          <w:highlight w:val="none"/>
        </w:rPr>
      </w:pPr>
    </w:p>
    <w:p>
      <w:pPr>
        <w:pStyle w:val="4"/>
        <w:spacing w:before="60" w:after="60" w:line="360" w:lineRule="auto"/>
        <w:jc w:val="center"/>
        <w:rPr>
          <w:rFonts w:hint="eastAsia" w:asciiTheme="minorEastAsia" w:hAnsiTheme="minorEastAsia" w:eastAsiaTheme="minorEastAsia" w:cstheme="minorEastAsia"/>
          <w:b w:val="0"/>
          <w:color w:val="auto"/>
          <w:sz w:val="28"/>
          <w:szCs w:val="28"/>
          <w:highlight w:val="none"/>
        </w:rPr>
      </w:pPr>
      <w:bookmarkStart w:id="6" w:name="_Toc524597614"/>
      <w:r>
        <w:rPr>
          <w:rFonts w:hint="eastAsia" w:asciiTheme="minorEastAsia" w:hAnsiTheme="minorEastAsia" w:eastAsiaTheme="minorEastAsia" w:cstheme="minorEastAsia"/>
          <w:snapToGrid w:val="0"/>
          <w:color w:val="auto"/>
          <w:kern w:val="0"/>
          <w:sz w:val="28"/>
          <w:szCs w:val="28"/>
          <w:highlight w:val="none"/>
        </w:rPr>
        <w:t>附录2 资格审查条件（</w:t>
      </w:r>
      <w:r>
        <w:rPr>
          <w:rFonts w:hint="eastAsia" w:asciiTheme="minorEastAsia" w:hAnsiTheme="minorEastAsia" w:eastAsiaTheme="minorEastAsia" w:cstheme="minorEastAsia"/>
          <w:snapToGrid w:val="0"/>
          <w:color w:val="auto"/>
          <w:kern w:val="0"/>
          <w:sz w:val="28"/>
          <w:szCs w:val="28"/>
          <w:highlight w:val="none"/>
          <w:lang w:val="en-US" w:eastAsia="zh-CN"/>
        </w:rPr>
        <w:t>财务</w:t>
      </w:r>
      <w:r>
        <w:rPr>
          <w:rFonts w:hint="eastAsia" w:asciiTheme="minorEastAsia" w:hAnsiTheme="minorEastAsia" w:eastAsiaTheme="minorEastAsia" w:cstheme="minorEastAsia"/>
          <w:snapToGrid w:val="0"/>
          <w:color w:val="auto"/>
          <w:kern w:val="0"/>
          <w:sz w:val="28"/>
          <w:szCs w:val="28"/>
          <w:highlight w:val="none"/>
        </w:rPr>
        <w:t>最低要求）</w:t>
      </w:r>
      <w:bookmarkEnd w:id="6"/>
    </w:p>
    <w:p>
      <w:pPr>
        <w:jc w:val="center"/>
        <w:rPr>
          <w:rFonts w:hint="eastAsia" w:asciiTheme="minorEastAsia" w:hAnsiTheme="minorEastAsia" w:eastAsiaTheme="minorEastAsia" w:cstheme="minorEastAsia"/>
          <w:b/>
          <w:color w:val="auto"/>
          <w:sz w:val="21"/>
          <w:szCs w:val="21"/>
          <w:highlight w:val="none"/>
        </w:rPr>
      </w:pPr>
    </w:p>
    <w:tbl>
      <w:tblPr>
        <w:tblStyle w:val="7"/>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13" w:type="dxa"/>
            <w:vAlign w:val="center"/>
          </w:tcPr>
          <w:p>
            <w:pPr>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6" w:hRule="atLeast"/>
          <w:jc w:val="center"/>
        </w:trPr>
        <w:tc>
          <w:tcPr>
            <w:tcW w:w="9213" w:type="dxa"/>
            <w:vAlign w:val="center"/>
          </w:tcPr>
          <w:p>
            <w:pPr>
              <w:widowControl/>
              <w:spacing w:line="360" w:lineRule="auto"/>
              <w:ind w:firstLine="480" w:firstLineChars="200"/>
              <w:jc w:val="both"/>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 xml:space="preserve">1、提供近 3 年（2019 年、2020 年、2021 年）经会计师事务所或审计机构审计的财务会计报表； </w:t>
            </w:r>
          </w:p>
          <w:p>
            <w:pPr>
              <w:widowControl/>
              <w:spacing w:line="360" w:lineRule="auto"/>
              <w:ind w:firstLine="480" w:firstLineChars="200"/>
              <w:jc w:val="both"/>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2、近 3 年的流动资产与流动负债比率不小于 1。</w:t>
            </w:r>
          </w:p>
          <w:p>
            <w:pPr>
              <w:widowControl/>
              <w:spacing w:line="360" w:lineRule="auto"/>
              <w:ind w:firstLine="480" w:firstLineChars="200"/>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注：若为联合体投标，联合体牵头方及联合体成员均应满足以上要求，并附经会计事务所审计的财务会计报表（只须提供每年度的资产负债表、利润表、现金流量表能体现上述数据的报表即可）</w:t>
            </w:r>
          </w:p>
        </w:tc>
      </w:tr>
    </w:tbl>
    <w:p>
      <w:pPr>
        <w:autoSpaceDE/>
        <w:autoSpaceDN/>
        <w:adjustRightInd/>
        <w:snapToGrid w:val="0"/>
        <w:textAlignment w:val="auto"/>
        <w:rPr>
          <w:rFonts w:hint="eastAsia" w:asciiTheme="minorEastAsia" w:hAnsiTheme="minorEastAsia" w:eastAsiaTheme="minorEastAsia" w:cstheme="minorEastAsia"/>
          <w:color w:val="auto"/>
          <w:sz w:val="21"/>
          <w:szCs w:val="21"/>
          <w:highlight w:val="none"/>
        </w:rPr>
      </w:pPr>
    </w:p>
    <w:p>
      <w:pPr>
        <w:pStyle w:val="4"/>
        <w:spacing w:before="60" w:after="60" w:line="360" w:lineRule="auto"/>
        <w:jc w:val="center"/>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color w:val="auto"/>
          <w:sz w:val="28"/>
          <w:szCs w:val="28"/>
          <w:highlight w:val="none"/>
        </w:rPr>
        <w:br w:type="page"/>
      </w:r>
      <w:bookmarkStart w:id="7" w:name="_Toc483267982"/>
      <w:bookmarkStart w:id="8" w:name="_Toc456819418"/>
      <w:bookmarkStart w:id="9" w:name="_Toc456819222"/>
      <w:bookmarkStart w:id="10" w:name="_Toc353742524"/>
      <w:bookmarkStart w:id="11" w:name="_Toc452799481"/>
      <w:bookmarkStart w:id="12" w:name="_Toc524597615"/>
      <w:r>
        <w:rPr>
          <w:rFonts w:hint="eastAsia" w:asciiTheme="minorEastAsia" w:hAnsiTheme="minorEastAsia" w:eastAsiaTheme="minorEastAsia" w:cstheme="minorEastAsia"/>
          <w:snapToGrid w:val="0"/>
          <w:color w:val="auto"/>
          <w:kern w:val="0"/>
          <w:sz w:val="28"/>
          <w:szCs w:val="28"/>
          <w:highlight w:val="none"/>
        </w:rPr>
        <w:t>附录3 资格审查条件（</w:t>
      </w:r>
      <w:r>
        <w:rPr>
          <w:rFonts w:hint="eastAsia" w:asciiTheme="minorEastAsia" w:hAnsiTheme="minorEastAsia" w:eastAsiaTheme="minorEastAsia" w:cstheme="minorEastAsia"/>
          <w:snapToGrid w:val="0"/>
          <w:color w:val="auto"/>
          <w:kern w:val="0"/>
          <w:sz w:val="28"/>
          <w:szCs w:val="28"/>
          <w:highlight w:val="none"/>
          <w:lang w:val="en-US" w:eastAsia="zh-CN"/>
        </w:rPr>
        <w:t>业绩</w:t>
      </w:r>
      <w:r>
        <w:rPr>
          <w:rFonts w:hint="eastAsia" w:asciiTheme="minorEastAsia" w:hAnsiTheme="minorEastAsia" w:eastAsiaTheme="minorEastAsia" w:cstheme="minorEastAsia"/>
          <w:snapToGrid w:val="0"/>
          <w:color w:val="auto"/>
          <w:kern w:val="0"/>
          <w:sz w:val="28"/>
          <w:szCs w:val="28"/>
          <w:highlight w:val="none"/>
        </w:rPr>
        <w:t>最低要求）</w:t>
      </w:r>
      <w:bookmarkEnd w:id="7"/>
      <w:bookmarkEnd w:id="8"/>
      <w:bookmarkEnd w:id="9"/>
      <w:bookmarkEnd w:id="10"/>
      <w:bookmarkEnd w:id="11"/>
      <w:bookmarkEnd w:id="12"/>
    </w:p>
    <w:p>
      <w:pPr>
        <w:kinsoku w:val="0"/>
        <w:overflowPunct w:val="0"/>
        <w:snapToGrid w:val="0"/>
        <w:rPr>
          <w:rFonts w:hint="eastAsia" w:asciiTheme="minorEastAsia" w:hAnsiTheme="minorEastAsia" w:eastAsiaTheme="minorEastAsia" w:cstheme="minorEastAsia"/>
          <w:snapToGrid w:val="0"/>
          <w:color w:val="auto"/>
          <w:sz w:val="21"/>
          <w:szCs w:val="21"/>
          <w:highlight w:val="none"/>
        </w:rPr>
      </w:pPr>
    </w:p>
    <w:tbl>
      <w:tblPr>
        <w:tblStyle w:val="7"/>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blHeader/>
          <w:jc w:val="center"/>
        </w:trPr>
        <w:tc>
          <w:tcPr>
            <w:tcW w:w="9213" w:type="dxa"/>
            <w:vAlign w:val="center"/>
          </w:tcPr>
          <w:p>
            <w:pPr>
              <w:jc w:val="center"/>
              <w:rPr>
                <w:rFonts w:hint="default"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5" w:hRule="atLeast"/>
          <w:jc w:val="center"/>
        </w:trPr>
        <w:tc>
          <w:tcPr>
            <w:tcW w:w="9213" w:type="dxa"/>
            <w:vAlign w:val="center"/>
          </w:tcPr>
          <w:p>
            <w:pPr>
              <w:spacing w:line="240" w:lineRule="auto"/>
              <w:ind w:firstLine="0" w:firstLineChars="0"/>
              <w:jc w:val="center"/>
              <w:rPr>
                <w:rFonts w:hint="default"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无</w:t>
            </w:r>
          </w:p>
        </w:tc>
      </w:tr>
    </w:tbl>
    <w:p>
      <w:pPr>
        <w:autoSpaceDE/>
        <w:autoSpaceDN/>
        <w:adjustRightInd/>
        <w:snapToGrid w:val="0"/>
        <w:textAlignment w:val="auto"/>
        <w:rPr>
          <w:rFonts w:hint="eastAsia" w:asciiTheme="minorEastAsia" w:hAnsiTheme="minorEastAsia" w:eastAsiaTheme="minorEastAsia" w:cstheme="minorEastAsia"/>
          <w:color w:val="auto"/>
          <w:sz w:val="21"/>
          <w:szCs w:val="21"/>
          <w:highlight w:val="none"/>
        </w:rPr>
      </w:pPr>
      <w:bookmarkStart w:id="13" w:name="_Toc456819226"/>
      <w:bookmarkStart w:id="14" w:name="_Toc456819422"/>
      <w:bookmarkStart w:id="15" w:name="_Toc483267983"/>
      <w:bookmarkStart w:id="16" w:name="_Toc524597616"/>
    </w:p>
    <w:p>
      <w:pPr>
        <w:autoSpaceDE/>
        <w:autoSpaceDN/>
        <w:adjustRightInd/>
        <w:snapToGrid w:val="0"/>
        <w:textAlignment w:val="auto"/>
        <w:rPr>
          <w:rFonts w:hint="eastAsia" w:asciiTheme="minorEastAsia" w:hAnsiTheme="minorEastAsia" w:eastAsiaTheme="minorEastAsia" w:cstheme="minorEastAsia"/>
          <w:color w:val="auto"/>
          <w:sz w:val="21"/>
          <w:szCs w:val="21"/>
          <w:highlight w:val="none"/>
        </w:rPr>
      </w:pPr>
    </w:p>
    <w:p>
      <w:pPr>
        <w:pStyle w:val="4"/>
        <w:spacing w:before="60" w:after="60" w:line="360" w:lineRule="auto"/>
        <w:jc w:val="center"/>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 xml:space="preserve">附录4  </w:t>
      </w:r>
      <w:bookmarkEnd w:id="13"/>
      <w:bookmarkEnd w:id="14"/>
      <w:bookmarkEnd w:id="15"/>
      <w:r>
        <w:rPr>
          <w:rFonts w:hint="eastAsia" w:asciiTheme="minorEastAsia" w:hAnsiTheme="minorEastAsia" w:eastAsiaTheme="minorEastAsia" w:cstheme="minorEastAsia"/>
          <w:snapToGrid w:val="0"/>
          <w:color w:val="auto"/>
          <w:kern w:val="0"/>
          <w:sz w:val="28"/>
          <w:szCs w:val="28"/>
          <w:highlight w:val="none"/>
          <w:lang w:val="en-US" w:eastAsia="zh-CN"/>
        </w:rPr>
        <w:t>信誉最低要求</w:t>
      </w:r>
      <w:r>
        <w:rPr>
          <w:rFonts w:hint="eastAsia" w:asciiTheme="minorEastAsia" w:hAnsiTheme="minorEastAsia" w:eastAsiaTheme="minorEastAsia" w:cstheme="minorEastAsia"/>
          <w:snapToGrid w:val="0"/>
          <w:color w:val="auto"/>
          <w:kern w:val="0"/>
          <w:sz w:val="28"/>
          <w:szCs w:val="28"/>
          <w:highlight w:val="none"/>
        </w:rPr>
        <w:t>（</w:t>
      </w:r>
      <w:r>
        <w:rPr>
          <w:rFonts w:hint="eastAsia" w:asciiTheme="minorEastAsia" w:hAnsiTheme="minorEastAsia" w:eastAsiaTheme="minorEastAsia" w:cstheme="minorEastAsia"/>
          <w:snapToGrid w:val="0"/>
          <w:color w:val="auto"/>
          <w:kern w:val="0"/>
          <w:sz w:val="28"/>
          <w:szCs w:val="28"/>
          <w:highlight w:val="none"/>
          <w:lang w:val="en-US" w:eastAsia="zh-CN"/>
        </w:rPr>
        <w:t>参考</w:t>
      </w:r>
      <w:r>
        <w:rPr>
          <w:rFonts w:hint="eastAsia" w:asciiTheme="minorEastAsia" w:hAnsiTheme="minorEastAsia" w:eastAsiaTheme="minorEastAsia" w:cstheme="minorEastAsia"/>
          <w:snapToGrid w:val="0"/>
          <w:color w:val="auto"/>
          <w:kern w:val="0"/>
          <w:sz w:val="28"/>
          <w:szCs w:val="28"/>
          <w:highlight w:val="none"/>
        </w:rPr>
        <w:t>）</w:t>
      </w:r>
      <w:bookmarkEnd w:id="16"/>
    </w:p>
    <w:p>
      <w:pPr>
        <w:rPr>
          <w:rFonts w:hint="eastAsia" w:asciiTheme="minorEastAsia" w:hAnsiTheme="minorEastAsia" w:eastAsiaTheme="minorEastAsia" w:cstheme="minorEastAsia"/>
          <w:color w:val="auto"/>
          <w:sz w:val="21"/>
          <w:szCs w:val="21"/>
          <w:highlight w:val="none"/>
        </w:rPr>
      </w:pPr>
    </w:p>
    <w:tbl>
      <w:tblPr>
        <w:tblStyle w:val="7"/>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1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92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both"/>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 xml:space="preserve">1.投标人在最新贵州省交通建设市场从业单位信用评价的综合考核定级中及“公路水运工程质量试验检测管理信息系统”中未被评价为 D 级； </w:t>
            </w:r>
          </w:p>
          <w:p>
            <w:pPr>
              <w:widowControl/>
              <w:spacing w:line="360" w:lineRule="auto"/>
              <w:ind w:firstLine="480" w:firstLineChars="200"/>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2.未进行评价的企业按贵州省交通运输厅关于印发《贵州省高速公路设计施工企业信用评价实施细则（试行）》的通知黔交建设[2016] 279 号及《贵州省高速公路设计施工企业信用评价结果引用的补充通知》黔交建设[2016]291 号（可在贵州省交通运输厅网站 www.qjt.gov.cn 上查询）”文件规定确定的最新信用评定标准及《公路水运工程试验检测信用评价办法的通知》(交质监发〔2018〕78 号)文件精神进行判定。</w:t>
            </w:r>
          </w:p>
        </w:tc>
      </w:tr>
    </w:tbl>
    <w:p>
      <w:pPr>
        <w:rPr>
          <w:rFonts w:hint="eastAsia" w:asciiTheme="minorEastAsia" w:hAnsiTheme="minorEastAsia" w:eastAsiaTheme="minorEastAsia" w:cstheme="minorEastAsia"/>
          <w:color w:val="auto"/>
          <w:sz w:val="18"/>
          <w:szCs w:val="18"/>
          <w:highlight w:val="none"/>
        </w:rPr>
      </w:pPr>
    </w:p>
    <w:p>
      <w:pPr>
        <w:spacing w:beforeLines="50" w:after="120" w:afterLines="-2147483648" w:line="240" w:lineRule="auto"/>
        <w:ind w:firstLine="360" w:firstLineChars="0"/>
        <w:jc w:val="left"/>
        <w:rPr>
          <w:rFonts w:hint="eastAsia" w:ascii="宋体" w:hAnsi="宋体" w:eastAsia="宋体" w:cs="Arial"/>
          <w:color w:val="auto"/>
          <w:sz w:val="21"/>
          <w:szCs w:val="21"/>
          <w:highlight w:val="none"/>
        </w:rPr>
      </w:pPr>
      <w:r>
        <w:rPr>
          <w:rFonts w:hint="eastAsia" w:ascii="宋体" w:hAnsi="宋体" w:cs="Arial"/>
          <w:color w:val="auto"/>
          <w:sz w:val="21"/>
          <w:szCs w:val="21"/>
          <w:highlight w:val="none"/>
        </w:rPr>
        <w:t>注：以联合体方式参与投标的，联合体各成员均须符合上述要求。</w:t>
      </w:r>
    </w:p>
    <w:p>
      <w:pPr>
        <w:widowControl/>
        <w:autoSpaceDE/>
        <w:autoSpaceDN/>
        <w:adjustRightInd/>
        <w:textAlignment w:val="auto"/>
        <w:rPr>
          <w:rFonts w:hint="eastAsia" w:asciiTheme="minorEastAsia" w:hAnsiTheme="minorEastAsia" w:eastAsiaTheme="minorEastAsia" w:cstheme="minorEastAsia"/>
          <w:bCs/>
          <w:color w:val="auto"/>
          <w:kern w:val="2"/>
          <w:sz w:val="24"/>
          <w:szCs w:val="24"/>
          <w:highlight w:val="none"/>
        </w:rPr>
      </w:pPr>
    </w:p>
    <w:p>
      <w:pPr>
        <w:pStyle w:val="4"/>
        <w:spacing w:line="360" w:lineRule="auto"/>
        <w:jc w:val="center"/>
        <w:rPr>
          <w:rFonts w:hint="eastAsia" w:asciiTheme="minorEastAsia" w:hAnsiTheme="minorEastAsia" w:eastAsiaTheme="minorEastAsia" w:cstheme="minorEastAsia"/>
          <w:bCs w:val="0"/>
          <w:color w:val="auto"/>
          <w:kern w:val="10"/>
          <w:sz w:val="30"/>
          <w:szCs w:val="30"/>
          <w:highlight w:val="none"/>
        </w:rPr>
      </w:pPr>
      <w:r>
        <w:rPr>
          <w:rFonts w:hint="eastAsia" w:eastAsia="宋体" w:cs="Times New Roman"/>
          <w:bCs w:val="0"/>
          <w:color w:val="auto"/>
          <w:kern w:val="0"/>
          <w:sz w:val="18"/>
          <w:szCs w:val="20"/>
          <w:highlight w:val="none"/>
        </w:rPr>
        <w:br w:type="page"/>
      </w:r>
      <w:r>
        <w:rPr>
          <w:rFonts w:hint="eastAsia" w:asciiTheme="minorEastAsia" w:hAnsiTheme="minorEastAsia" w:eastAsiaTheme="minorEastAsia" w:cstheme="minorEastAsia"/>
          <w:bCs w:val="0"/>
          <w:color w:val="auto"/>
          <w:kern w:val="10"/>
          <w:sz w:val="30"/>
          <w:szCs w:val="30"/>
          <w:highlight w:val="none"/>
        </w:rPr>
        <w:t>附录5</w:t>
      </w:r>
      <w:r>
        <w:rPr>
          <w:rFonts w:hint="eastAsia" w:asciiTheme="minorEastAsia" w:hAnsiTheme="minorEastAsia" w:eastAsiaTheme="minorEastAsia" w:cstheme="minorEastAsia"/>
          <w:bCs w:val="0"/>
          <w:color w:val="auto"/>
          <w:kern w:val="10"/>
          <w:sz w:val="30"/>
          <w:szCs w:val="30"/>
          <w:highlight w:val="none"/>
          <w:lang w:val="en-US" w:eastAsia="zh-CN"/>
        </w:rPr>
        <w:t xml:space="preserve">  </w:t>
      </w:r>
      <w:r>
        <w:rPr>
          <w:rFonts w:hint="eastAsia" w:asciiTheme="minorEastAsia" w:hAnsiTheme="minorEastAsia" w:eastAsiaTheme="minorEastAsia" w:cstheme="minorEastAsia"/>
          <w:bCs w:val="0"/>
          <w:color w:val="auto"/>
          <w:kern w:val="10"/>
          <w:sz w:val="30"/>
          <w:szCs w:val="30"/>
          <w:highlight w:val="none"/>
        </w:rPr>
        <w:t>资格审查条件（主要人员最低要求）</w:t>
      </w:r>
    </w:p>
    <w:tbl>
      <w:tblPr>
        <w:tblStyle w:val="7"/>
        <w:tblpPr w:leftFromText="180" w:rightFromText="180" w:vertAnchor="text" w:tblpXSpec="center" w:tblpY="37"/>
        <w:tblOverlap w:val="never"/>
        <w:tblW w:w="9538" w:type="dxa"/>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28" w:type="dxa"/>
          <w:bottom w:w="0" w:type="dxa"/>
          <w:right w:w="28" w:type="dxa"/>
        </w:tblCellMar>
      </w:tblPr>
      <w:tblGrid>
        <w:gridCol w:w="1851"/>
        <w:gridCol w:w="1015"/>
        <w:gridCol w:w="3935"/>
        <w:gridCol w:w="2737"/>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627" w:hRule="atLeast"/>
        </w:trPr>
        <w:tc>
          <w:tcPr>
            <w:tcW w:w="1851" w:type="dxa"/>
            <w:tcBorders>
              <w:top w:val="single" w:color="auto" w:sz="6" w:space="0"/>
              <w:left w:val="single" w:color="auto" w:sz="2" w:space="0"/>
              <w:bottom w:val="single" w:color="auto" w:sz="6" w:space="0"/>
              <w:right w:val="single" w:color="auto" w:sz="6" w:space="0"/>
            </w:tcBorders>
            <w:vAlign w:val="center"/>
          </w:tcPr>
          <w:p>
            <w:pPr>
              <w:pStyle w:val="2"/>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人员</w:t>
            </w:r>
          </w:p>
        </w:tc>
        <w:tc>
          <w:tcPr>
            <w:tcW w:w="101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3935" w:type="dxa"/>
            <w:tcBorders>
              <w:top w:val="single" w:color="auto" w:sz="6" w:space="0"/>
              <w:left w:val="single" w:color="auto" w:sz="6" w:space="0"/>
              <w:bottom w:val="single" w:color="auto" w:sz="6" w:space="0"/>
              <w:right w:val="single" w:color="auto" w:sz="4" w:space="0"/>
            </w:tcBorders>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资格要求</w:t>
            </w:r>
          </w:p>
        </w:tc>
        <w:tc>
          <w:tcPr>
            <w:tcW w:w="2737" w:type="dxa"/>
            <w:tcBorders>
              <w:top w:val="single" w:color="auto" w:sz="6" w:space="0"/>
              <w:left w:val="single" w:color="auto" w:sz="4" w:space="0"/>
              <w:bottom w:val="single" w:color="auto" w:sz="6" w:space="0"/>
              <w:right w:val="single" w:color="auto" w:sz="2" w:space="0"/>
            </w:tcBorders>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在岗要求</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1340" w:hRule="atLeast"/>
        </w:trPr>
        <w:tc>
          <w:tcPr>
            <w:tcW w:w="1851" w:type="dxa"/>
            <w:tcBorders>
              <w:top w:val="single" w:color="auto" w:sz="6" w:space="0"/>
              <w:left w:val="single" w:color="auto" w:sz="2"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项目负责人</w:t>
            </w:r>
          </w:p>
        </w:tc>
        <w:tc>
          <w:tcPr>
            <w:tcW w:w="101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3935" w:type="dxa"/>
            <w:tcBorders>
              <w:top w:val="single" w:color="auto" w:sz="6" w:space="0"/>
              <w:left w:val="single" w:color="auto" w:sz="6" w:space="0"/>
              <w:right w:val="single" w:color="auto" w:sz="4" w:space="0"/>
            </w:tcBorders>
            <w:vAlign w:val="center"/>
          </w:tcPr>
          <w:p>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高级工程师及以上职称；具备公路水运试验检测工程师证书（桥梁隧道工程专业）。</w:t>
            </w:r>
          </w:p>
        </w:tc>
        <w:tc>
          <w:tcPr>
            <w:tcW w:w="2737" w:type="dxa"/>
            <w:vMerge w:val="restart"/>
            <w:tcBorders>
              <w:top w:val="single" w:color="auto" w:sz="6" w:space="0"/>
              <w:left w:val="single" w:color="auto" w:sz="4" w:space="0"/>
              <w:right w:val="single" w:color="auto" w:sz="2" w:space="0"/>
            </w:tcBorders>
            <w:vAlign w:val="center"/>
          </w:tcPr>
          <w:p>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无在岗项目（指目前未在其他项目上任职，或虽在其他项目上任职但本项目中标后能够从该项目撤，或处于其他招标项目中标公示期或中标公示期已满但尚未签署合同但本项目中标后能够从该项目撤）</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1251" w:hRule="atLeast"/>
        </w:trPr>
        <w:tc>
          <w:tcPr>
            <w:tcW w:w="1851" w:type="dxa"/>
            <w:tcBorders>
              <w:top w:val="single" w:color="auto" w:sz="6" w:space="0"/>
              <w:left w:val="single" w:color="auto" w:sz="2"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技术负责人</w:t>
            </w:r>
          </w:p>
        </w:tc>
        <w:tc>
          <w:tcPr>
            <w:tcW w:w="101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3935" w:type="dxa"/>
            <w:tcBorders>
              <w:top w:val="single" w:color="auto" w:sz="6" w:space="0"/>
              <w:left w:val="single" w:color="auto" w:sz="6" w:space="0"/>
              <w:right w:val="single" w:color="auto" w:sz="4" w:space="0"/>
            </w:tcBorders>
            <w:vAlign w:val="center"/>
          </w:tcPr>
          <w:p>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高级工程师及以上职称；具备公路水运试验检测工程师证书（桥梁隧道工程专业）。</w:t>
            </w:r>
          </w:p>
        </w:tc>
        <w:tc>
          <w:tcPr>
            <w:tcW w:w="2737" w:type="dxa"/>
            <w:vMerge w:val="continue"/>
            <w:tcBorders>
              <w:left w:val="single" w:color="auto" w:sz="4" w:space="0"/>
              <w:right w:val="single" w:color="auto" w:sz="2" w:space="0"/>
            </w:tcBorders>
            <w:vAlign w:val="center"/>
          </w:tcPr>
          <w:p>
            <w:pPr>
              <w:jc w:val="left"/>
              <w:rPr>
                <w:rFonts w:hint="eastAsia" w:asciiTheme="minorEastAsia" w:hAnsiTheme="minorEastAsia" w:eastAsiaTheme="minorEastAsia" w:cstheme="minorEastAsia"/>
                <w:color w:val="auto"/>
                <w:sz w:val="24"/>
                <w:szCs w:val="24"/>
                <w:highlight w:val="none"/>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baseline"/>
        <w:rPr>
          <w:rFonts w:hint="eastAsia" w:ascii="宋体" w:hAnsi="宋体" w:cs="Arial"/>
          <w:color w:val="auto"/>
          <w:sz w:val="21"/>
          <w:szCs w:val="21"/>
          <w:highlight w:val="none"/>
          <w:lang w:val="en-US" w:eastAsia="zh-CN"/>
        </w:rPr>
      </w:pPr>
      <w:r>
        <w:rPr>
          <w:rFonts w:hint="eastAsia" w:ascii="宋体" w:hAnsi="宋体" w:cs="Arial"/>
          <w:color w:val="auto"/>
          <w:sz w:val="21"/>
          <w:szCs w:val="21"/>
          <w:highlight w:val="none"/>
          <w:lang w:val="en-US" w:eastAsia="zh-CN"/>
        </w:rPr>
        <w:t>注：人员职称证书颁发单位应为各级人力资源和社会保障部门或在人力资源和社会保障部门进行过核准备案的单位，中央单位颁发的高级职称应是人力资源和社会保障部发布的中央单位高级职称评审委员会备案目录内的单位、专业、级别。非人力资源和社会保障部门颁布的职称证书投标人应提供颁发机构或获得的职称人员在人力资源和社会保障部门的备案证明文件，否则评标委员会将不予认可。</w:t>
      </w:r>
    </w:p>
    <w:p>
      <w:pPr>
        <w:pStyle w:val="4"/>
        <w:spacing w:beforeLines="50" w:afterLines="50" w:line="360" w:lineRule="auto"/>
        <w:ind w:firstLine="0" w:firstLineChars="0"/>
        <w:jc w:val="center"/>
        <w:rPr>
          <w:rFonts w:hint="eastAsia" w:asciiTheme="minorEastAsia" w:hAnsiTheme="minorEastAsia" w:eastAsiaTheme="minorEastAsia" w:cstheme="minorEastAsia"/>
          <w:bCs w:val="0"/>
          <w:color w:val="auto"/>
          <w:kern w:val="10"/>
          <w:sz w:val="30"/>
          <w:szCs w:val="30"/>
          <w:highlight w:val="none"/>
        </w:rPr>
      </w:pPr>
    </w:p>
    <w:p>
      <w:pPr>
        <w:pStyle w:val="4"/>
        <w:spacing w:beforeLines="50" w:afterLines="50" w:line="360" w:lineRule="auto"/>
        <w:ind w:firstLine="0" w:firstLineChars="0"/>
        <w:jc w:val="center"/>
        <w:rPr>
          <w:rFonts w:hint="eastAsia" w:asciiTheme="minorEastAsia" w:hAnsiTheme="minorEastAsia" w:eastAsiaTheme="minorEastAsia" w:cstheme="minorEastAsia"/>
          <w:bCs w:val="0"/>
          <w:color w:val="auto"/>
          <w:kern w:val="10"/>
          <w:sz w:val="30"/>
          <w:szCs w:val="30"/>
          <w:highlight w:val="none"/>
        </w:rPr>
      </w:pPr>
      <w:r>
        <w:rPr>
          <w:rFonts w:hint="eastAsia" w:asciiTheme="minorEastAsia" w:hAnsiTheme="minorEastAsia" w:eastAsiaTheme="minorEastAsia" w:cstheme="minorEastAsia"/>
          <w:bCs w:val="0"/>
          <w:color w:val="auto"/>
          <w:kern w:val="10"/>
          <w:sz w:val="30"/>
          <w:szCs w:val="30"/>
          <w:highlight w:val="none"/>
        </w:rPr>
        <w:t>附录6  其他管理和技术人员最低要求</w:t>
      </w:r>
    </w:p>
    <w:tbl>
      <w:tblPr>
        <w:tblStyle w:val="7"/>
        <w:tblW w:w="9062"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600"/>
        <w:gridCol w:w="1013"/>
        <w:gridCol w:w="5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trPr>
        <w:tc>
          <w:tcPr>
            <w:tcW w:w="1187" w:type="dxa"/>
            <w:tcBorders>
              <w:top w:val="single" w:color="auto" w:sz="4" w:space="0"/>
              <w:left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标段</w:t>
            </w:r>
          </w:p>
        </w:tc>
        <w:tc>
          <w:tcPr>
            <w:tcW w:w="1600" w:type="dxa"/>
            <w:tcBorders>
              <w:top w:val="single" w:color="auto" w:sz="4" w:space="0"/>
              <w:left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人 员</w:t>
            </w:r>
          </w:p>
        </w:tc>
        <w:tc>
          <w:tcPr>
            <w:tcW w:w="1013" w:type="dxa"/>
            <w:tcBorders>
              <w:top w:val="single" w:color="auto" w:sz="4" w:space="0"/>
              <w:left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 量</w:t>
            </w:r>
          </w:p>
        </w:tc>
        <w:tc>
          <w:tcPr>
            <w:tcW w:w="5262" w:type="dxa"/>
            <w:tcBorders>
              <w:top w:val="single" w:color="auto" w:sz="4" w:space="0"/>
              <w:left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trPr>
        <w:tc>
          <w:tcPr>
            <w:tcW w:w="1187" w:type="dxa"/>
            <w:vMerge w:val="restart"/>
            <w:tcBorders>
              <w:top w:val="single" w:color="auto" w:sz="4" w:space="0"/>
              <w:left w:val="single" w:color="auto" w:sz="4" w:space="0"/>
              <w:right w:val="single" w:color="auto" w:sz="4" w:space="0"/>
            </w:tcBorders>
            <w:vAlign w:val="center"/>
          </w:tcPr>
          <w:p>
            <w:pPr>
              <w:ind w:left="-56" w:leftChars="-28" w:right="-42" w:rightChars="-21"/>
              <w:jc w:val="center"/>
              <w:rPr>
                <w:rFonts w:hint="eastAsia" w:asciiTheme="minorEastAsia" w:hAnsiTheme="minorEastAsia" w:eastAsiaTheme="minorEastAsia" w:cstheme="minorEastAsia"/>
                <w:color w:val="auto"/>
                <w:kern w:val="0"/>
                <w:sz w:val="24"/>
                <w:szCs w:val="24"/>
                <w:highlight w:val="none"/>
              </w:rPr>
            </w:pPr>
          </w:p>
          <w:p>
            <w:pPr>
              <w:keepNext w:val="0"/>
              <w:keepLines w:val="0"/>
              <w:widowControl/>
              <w:suppressLineNumbers w:val="0"/>
              <w:jc w:val="left"/>
              <w:rPr>
                <w:highlight w:val="none"/>
              </w:rPr>
            </w:pPr>
            <w:r>
              <w:rPr>
                <w:rFonts w:ascii="仿宋" w:hAnsi="仿宋" w:eastAsia="仿宋" w:cs="仿宋"/>
                <w:color w:val="000000"/>
                <w:kern w:val="0"/>
                <w:sz w:val="24"/>
                <w:szCs w:val="24"/>
                <w:highlight w:val="none"/>
                <w:lang w:val="en-US" w:eastAsia="zh-CN" w:bidi="ar"/>
              </w:rPr>
              <w:t>QLJKJC-2</w:t>
            </w:r>
          </w:p>
          <w:p>
            <w:pPr>
              <w:ind w:left="-56" w:leftChars="-28" w:right="-42" w:rightChars="-21"/>
              <w:jc w:val="center"/>
              <w:rPr>
                <w:rFonts w:hint="eastAsia" w:asciiTheme="minorEastAsia" w:hAnsiTheme="minorEastAsia" w:eastAsiaTheme="minorEastAsia" w:cstheme="minorEastAsia"/>
                <w:color w:val="auto"/>
                <w:kern w:val="0"/>
                <w:sz w:val="24"/>
                <w:szCs w:val="24"/>
                <w:highlight w:val="none"/>
              </w:rPr>
            </w:pPr>
          </w:p>
        </w:tc>
        <w:tc>
          <w:tcPr>
            <w:tcW w:w="1600" w:type="dxa"/>
            <w:tcBorders>
              <w:top w:val="single" w:color="auto" w:sz="4" w:space="0"/>
              <w:left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现场负责人 </w:t>
            </w:r>
          </w:p>
        </w:tc>
        <w:tc>
          <w:tcPr>
            <w:tcW w:w="10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w:t>
            </w:r>
          </w:p>
        </w:tc>
        <w:tc>
          <w:tcPr>
            <w:tcW w:w="5262" w:type="dxa"/>
            <w:tcBorders>
              <w:top w:val="single" w:color="auto" w:sz="4" w:space="0"/>
              <w:left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中级及以上职称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trPr>
        <w:tc>
          <w:tcPr>
            <w:tcW w:w="1187" w:type="dxa"/>
            <w:vMerge w:val="continue"/>
            <w:tcBorders>
              <w:left w:val="single" w:color="auto" w:sz="4" w:space="0"/>
              <w:right w:val="single" w:color="auto" w:sz="4" w:space="0"/>
            </w:tcBorders>
          </w:tcPr>
          <w:p>
            <w:pPr>
              <w:ind w:left="-56" w:leftChars="-28" w:right="-42" w:rightChars="-21"/>
              <w:jc w:val="center"/>
              <w:rPr>
                <w:rFonts w:hint="eastAsia" w:asciiTheme="minorEastAsia" w:hAnsiTheme="minorEastAsia" w:eastAsiaTheme="minorEastAsia" w:cstheme="minorEastAsia"/>
                <w:color w:val="auto"/>
                <w:kern w:val="0"/>
                <w:sz w:val="24"/>
                <w:szCs w:val="24"/>
                <w:highlight w:val="none"/>
              </w:rPr>
            </w:pPr>
          </w:p>
        </w:tc>
        <w:tc>
          <w:tcPr>
            <w:tcW w:w="16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安全负责人</w:t>
            </w:r>
          </w:p>
        </w:tc>
        <w:tc>
          <w:tcPr>
            <w:tcW w:w="10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 </w:t>
            </w:r>
          </w:p>
        </w:tc>
        <w:tc>
          <w:tcPr>
            <w:tcW w:w="52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中级及以上职称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trPr>
        <w:tc>
          <w:tcPr>
            <w:tcW w:w="1187" w:type="dxa"/>
            <w:vMerge w:val="continue"/>
            <w:tcBorders>
              <w:left w:val="single" w:color="auto" w:sz="4" w:space="0"/>
              <w:right w:val="single" w:color="auto" w:sz="4" w:space="0"/>
            </w:tcBorders>
          </w:tcPr>
          <w:p>
            <w:pPr>
              <w:ind w:left="-56" w:leftChars="-28" w:right="-42" w:rightChars="-21"/>
              <w:jc w:val="center"/>
              <w:rPr>
                <w:rFonts w:hint="eastAsia" w:asciiTheme="minorEastAsia" w:hAnsiTheme="minorEastAsia" w:eastAsiaTheme="minorEastAsia" w:cstheme="minorEastAsia"/>
                <w:color w:val="auto"/>
                <w:kern w:val="0"/>
                <w:sz w:val="24"/>
                <w:szCs w:val="24"/>
                <w:highlight w:val="none"/>
              </w:rPr>
            </w:pPr>
          </w:p>
        </w:tc>
        <w:tc>
          <w:tcPr>
            <w:tcW w:w="1600" w:type="dxa"/>
            <w:tcBorders>
              <w:top w:val="single" w:color="auto" w:sz="4" w:space="0"/>
              <w:left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软件专项负 </w:t>
            </w:r>
          </w:p>
          <w:p>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责人</w:t>
            </w:r>
          </w:p>
        </w:tc>
        <w:tc>
          <w:tcPr>
            <w:tcW w:w="10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5262" w:type="dxa"/>
            <w:tcBorders>
              <w:top w:val="single" w:color="auto" w:sz="4" w:space="0"/>
              <w:left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计算机技术与软件专业技术资格 </w:t>
            </w:r>
          </w:p>
          <w:p>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中级及以上证书</w:t>
            </w:r>
          </w:p>
        </w:tc>
      </w:tr>
    </w:tbl>
    <w:p>
      <w:pPr>
        <w:widowControl/>
        <w:autoSpaceDE/>
        <w:autoSpaceDN/>
        <w:adjustRightInd/>
        <w:spacing w:beforeLines="50" w:after="120" w:line="360" w:lineRule="auto"/>
        <w:ind w:firstLine="420" w:firstLineChars="0"/>
        <w:jc w:val="both"/>
        <w:textAlignment w:val="auto"/>
        <w:rPr>
          <w:rFonts w:hint="eastAsia" w:ascii="宋体" w:hAnsi="宋体" w:eastAsia="宋体" w:cs="Arial"/>
          <w:b w:val="0"/>
          <w:bCs w:val="0"/>
          <w:color w:val="auto"/>
          <w:sz w:val="21"/>
          <w:szCs w:val="21"/>
          <w:highlight w:val="none"/>
        </w:rPr>
      </w:pPr>
      <w:r>
        <w:rPr>
          <w:rFonts w:hint="eastAsia" w:ascii="宋体" w:hAnsi="宋体" w:eastAsia="宋体" w:cs="Arial"/>
          <w:b w:val="0"/>
          <w:bCs w:val="0"/>
          <w:color w:val="auto"/>
          <w:sz w:val="21"/>
          <w:szCs w:val="21"/>
          <w:highlight w:val="none"/>
        </w:rPr>
        <w:t>注：投标人在投标阶段不用提供，但投标人一旦中标，上述人员的具体人选由采购人和中标人在合同谈判阶段确定，且经采购人审批后作为派驻本标段的项目管理机构主要人员，上述人员必须为投标人正式自有员工。如中标人拟派驻的人员数量和资格条件不满足本表要求，采购人将取消其中标资格。上述人员一旦确定，在项目实施过程中，其更换比例不得高于 30%</w:t>
      </w:r>
    </w:p>
    <w:p>
      <w:pPr>
        <w:pStyle w:val="4"/>
        <w:spacing w:beforeLines="50" w:line="360" w:lineRule="auto"/>
        <w:ind w:firstLine="0"/>
        <w:jc w:val="center"/>
        <w:rPr>
          <w:rFonts w:hint="eastAsia" w:asciiTheme="minorEastAsia" w:hAnsiTheme="minorEastAsia" w:eastAsiaTheme="minorEastAsia" w:cstheme="minorEastAsia"/>
          <w:bCs w:val="0"/>
          <w:color w:val="auto"/>
          <w:kern w:val="10"/>
          <w:sz w:val="30"/>
          <w:szCs w:val="30"/>
          <w:highlight w:val="none"/>
        </w:rPr>
      </w:pPr>
      <w:r>
        <w:rPr>
          <w:rFonts w:hint="eastAsia" w:asciiTheme="minorEastAsia" w:hAnsiTheme="minorEastAsia" w:eastAsiaTheme="minorEastAsia" w:cstheme="minorEastAsia"/>
          <w:bCs w:val="0"/>
          <w:color w:val="auto"/>
          <w:kern w:val="10"/>
          <w:sz w:val="30"/>
          <w:szCs w:val="30"/>
          <w:highlight w:val="none"/>
        </w:rPr>
        <w:t>附录7  主要机械设备和试验检测设备最低要求</w:t>
      </w:r>
    </w:p>
    <w:tbl>
      <w:tblPr>
        <w:tblStyle w:val="7"/>
        <w:tblW w:w="900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39"/>
        <w:gridCol w:w="3132"/>
        <w:gridCol w:w="1706"/>
        <w:gridCol w:w="262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442" w:hRule="atLeast"/>
          <w:tblHeader/>
          <w:jc w:val="center"/>
        </w:trPr>
        <w:tc>
          <w:tcPr>
            <w:tcW w:w="1539" w:type="dxa"/>
            <w:vAlign w:val="center"/>
          </w:tcPr>
          <w:p>
            <w:pPr>
              <w:spacing w:line="240" w:lineRule="auto"/>
              <w:jc w:val="center"/>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序号</w:t>
            </w:r>
          </w:p>
        </w:tc>
        <w:tc>
          <w:tcPr>
            <w:tcW w:w="3132" w:type="dxa"/>
            <w:vAlign w:val="center"/>
          </w:tcPr>
          <w:p>
            <w:pPr>
              <w:spacing w:line="240" w:lineRule="auto"/>
              <w:jc w:val="center"/>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设备名称</w:t>
            </w:r>
          </w:p>
        </w:tc>
        <w:tc>
          <w:tcPr>
            <w:tcW w:w="1706" w:type="dxa"/>
            <w:vAlign w:val="center"/>
          </w:tcPr>
          <w:p>
            <w:pPr>
              <w:spacing w:line="240" w:lineRule="auto"/>
              <w:jc w:val="center"/>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单  位</w:t>
            </w:r>
          </w:p>
        </w:tc>
        <w:tc>
          <w:tcPr>
            <w:tcW w:w="2624" w:type="dxa"/>
            <w:vAlign w:val="center"/>
          </w:tcPr>
          <w:p>
            <w:pPr>
              <w:snapToGrid/>
              <w:spacing w:line="240" w:lineRule="auto"/>
              <w:jc w:val="center"/>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标段最低数量要求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539" w:type="dxa"/>
            <w:vAlign w:val="center"/>
          </w:tcPr>
          <w:p>
            <w:pPr>
              <w:spacing w:line="240" w:lineRule="auto"/>
              <w:ind w:left="0"/>
              <w:jc w:val="center"/>
              <w:rPr>
                <w:rFonts w:hint="eastAsia" w:asciiTheme="minorEastAsia" w:hAnsiTheme="minorEastAsia" w:eastAsiaTheme="minorEastAsia" w:cstheme="minorEastAsia"/>
                <w:color w:val="auto"/>
                <w:sz w:val="24"/>
                <w:szCs w:val="24"/>
                <w:highlight w:val="none"/>
              </w:rPr>
            </w:pPr>
          </w:p>
        </w:tc>
        <w:tc>
          <w:tcPr>
            <w:tcW w:w="3132" w:type="dxa"/>
            <w:vAlign w:val="center"/>
          </w:tcPr>
          <w:p>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无最低要求</w:t>
            </w:r>
          </w:p>
        </w:tc>
        <w:tc>
          <w:tcPr>
            <w:tcW w:w="1706" w:type="dxa"/>
            <w:vAlign w:val="center"/>
          </w:tcPr>
          <w:p>
            <w:pPr>
              <w:widowControl/>
              <w:jc w:val="center"/>
              <w:rPr>
                <w:rFonts w:hint="eastAsia" w:asciiTheme="minorEastAsia" w:hAnsiTheme="minorEastAsia" w:eastAsiaTheme="minorEastAsia" w:cstheme="minorEastAsia"/>
                <w:color w:val="auto"/>
                <w:kern w:val="0"/>
                <w:sz w:val="24"/>
                <w:szCs w:val="24"/>
                <w:highlight w:val="none"/>
              </w:rPr>
            </w:pPr>
          </w:p>
        </w:tc>
        <w:tc>
          <w:tcPr>
            <w:tcW w:w="2624" w:type="dxa"/>
            <w:vAlign w:val="center"/>
          </w:tcPr>
          <w:p>
            <w:pPr>
              <w:snapToGrid w:val="0"/>
              <w:jc w:val="center"/>
              <w:rPr>
                <w:rFonts w:hint="eastAsia" w:asciiTheme="minorEastAsia" w:hAnsiTheme="minorEastAsia" w:eastAsiaTheme="minorEastAsia" w:cstheme="minorEastAsia"/>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539" w:type="dxa"/>
            <w:vAlign w:val="center"/>
          </w:tcPr>
          <w:p>
            <w:pPr>
              <w:spacing w:line="240" w:lineRule="auto"/>
              <w:ind w:left="0"/>
              <w:jc w:val="center"/>
              <w:rPr>
                <w:rFonts w:hint="eastAsia" w:asciiTheme="minorEastAsia" w:hAnsiTheme="minorEastAsia" w:eastAsiaTheme="minorEastAsia" w:cstheme="minorEastAsia"/>
                <w:color w:val="auto"/>
                <w:sz w:val="24"/>
                <w:szCs w:val="24"/>
                <w:highlight w:val="none"/>
              </w:rPr>
            </w:pPr>
          </w:p>
        </w:tc>
        <w:tc>
          <w:tcPr>
            <w:tcW w:w="3132" w:type="dxa"/>
            <w:vAlign w:val="center"/>
          </w:tcPr>
          <w:p>
            <w:pPr>
              <w:widowControl/>
              <w:jc w:val="center"/>
              <w:rPr>
                <w:rFonts w:hint="eastAsia" w:asciiTheme="minorEastAsia" w:hAnsiTheme="minorEastAsia" w:eastAsiaTheme="minorEastAsia" w:cstheme="minorEastAsia"/>
                <w:color w:val="auto"/>
                <w:kern w:val="0"/>
                <w:sz w:val="24"/>
                <w:szCs w:val="24"/>
                <w:highlight w:val="none"/>
              </w:rPr>
            </w:pPr>
          </w:p>
        </w:tc>
        <w:tc>
          <w:tcPr>
            <w:tcW w:w="1706" w:type="dxa"/>
            <w:vAlign w:val="center"/>
          </w:tcPr>
          <w:p>
            <w:pPr>
              <w:widowControl/>
              <w:jc w:val="center"/>
              <w:rPr>
                <w:rFonts w:hint="eastAsia" w:asciiTheme="minorEastAsia" w:hAnsiTheme="minorEastAsia" w:eastAsiaTheme="minorEastAsia" w:cstheme="minorEastAsia"/>
                <w:color w:val="auto"/>
                <w:kern w:val="0"/>
                <w:sz w:val="24"/>
                <w:szCs w:val="24"/>
                <w:highlight w:val="none"/>
              </w:rPr>
            </w:pPr>
          </w:p>
        </w:tc>
        <w:tc>
          <w:tcPr>
            <w:tcW w:w="2624" w:type="dxa"/>
            <w:vAlign w:val="center"/>
          </w:tcPr>
          <w:p>
            <w:pPr>
              <w:snapToGrid w:val="0"/>
              <w:jc w:val="center"/>
              <w:rPr>
                <w:rFonts w:hint="eastAsia" w:asciiTheme="minorEastAsia" w:hAnsiTheme="minorEastAsia" w:eastAsiaTheme="minorEastAsia" w:cstheme="minorEastAsia"/>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539" w:type="dxa"/>
            <w:vAlign w:val="center"/>
          </w:tcPr>
          <w:p>
            <w:pPr>
              <w:spacing w:line="240" w:lineRule="auto"/>
              <w:ind w:left="0"/>
              <w:jc w:val="center"/>
              <w:rPr>
                <w:rFonts w:hint="eastAsia" w:asciiTheme="minorEastAsia" w:hAnsiTheme="minorEastAsia" w:eastAsiaTheme="minorEastAsia" w:cstheme="minorEastAsia"/>
                <w:color w:val="auto"/>
                <w:sz w:val="24"/>
                <w:szCs w:val="24"/>
                <w:highlight w:val="none"/>
              </w:rPr>
            </w:pPr>
          </w:p>
        </w:tc>
        <w:tc>
          <w:tcPr>
            <w:tcW w:w="3132" w:type="dxa"/>
            <w:vAlign w:val="center"/>
          </w:tcPr>
          <w:p>
            <w:pPr>
              <w:widowControl/>
              <w:jc w:val="center"/>
              <w:rPr>
                <w:rFonts w:hint="eastAsia" w:asciiTheme="minorEastAsia" w:hAnsiTheme="minorEastAsia" w:eastAsiaTheme="minorEastAsia" w:cstheme="minorEastAsia"/>
                <w:color w:val="auto"/>
                <w:kern w:val="0"/>
                <w:sz w:val="24"/>
                <w:szCs w:val="24"/>
                <w:highlight w:val="none"/>
              </w:rPr>
            </w:pPr>
          </w:p>
        </w:tc>
        <w:tc>
          <w:tcPr>
            <w:tcW w:w="1706" w:type="dxa"/>
            <w:vAlign w:val="center"/>
          </w:tcPr>
          <w:p>
            <w:pPr>
              <w:widowControl/>
              <w:jc w:val="center"/>
              <w:rPr>
                <w:rFonts w:hint="eastAsia" w:asciiTheme="minorEastAsia" w:hAnsiTheme="minorEastAsia" w:eastAsiaTheme="minorEastAsia" w:cstheme="minorEastAsia"/>
                <w:color w:val="auto"/>
                <w:kern w:val="0"/>
                <w:sz w:val="24"/>
                <w:szCs w:val="24"/>
                <w:highlight w:val="none"/>
              </w:rPr>
            </w:pPr>
          </w:p>
        </w:tc>
        <w:tc>
          <w:tcPr>
            <w:tcW w:w="2624" w:type="dxa"/>
            <w:vAlign w:val="center"/>
          </w:tcPr>
          <w:p>
            <w:pPr>
              <w:snapToGrid w:val="0"/>
              <w:jc w:val="center"/>
              <w:rPr>
                <w:rFonts w:hint="eastAsia" w:asciiTheme="minorEastAsia" w:hAnsiTheme="minorEastAsia" w:eastAsiaTheme="minorEastAsia" w:cstheme="minorEastAsia"/>
                <w:color w:val="auto"/>
                <w:sz w:val="24"/>
                <w:szCs w:val="24"/>
                <w:highlight w:val="none"/>
              </w:rPr>
            </w:pPr>
          </w:p>
        </w:tc>
      </w:tr>
    </w:tbl>
    <w:p>
      <w:pPr>
        <w:widowControl/>
        <w:autoSpaceDE/>
        <w:autoSpaceDN/>
        <w:adjustRightInd/>
        <w:spacing w:beforeLines="50" w:after="120" w:line="360" w:lineRule="auto"/>
        <w:ind w:firstLine="420" w:firstLineChars="0"/>
        <w:jc w:val="both"/>
        <w:textAlignment w:val="auto"/>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注：1.投标人应在合同谈判阶段按本表的最低要求为本标段配备主要机械设备和试验检测设备，在经采购人审批后作为投入本标段的主要设备且不允许更换。如投标人拟提供的设备数量和规格指标等不满足本表要求，采购人将取消其中标资格。</w:t>
      </w:r>
    </w:p>
    <w:p>
      <w:pPr>
        <w:widowControl/>
        <w:autoSpaceDE/>
        <w:autoSpaceDN/>
        <w:adjustRightInd/>
        <w:spacing w:beforeLines="50" w:after="120" w:line="360" w:lineRule="auto"/>
        <w:ind w:firstLine="420" w:firstLineChars="0"/>
        <w:jc w:val="both"/>
        <w:textAlignment w:val="auto"/>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2.此表为最低要求，虽满足招标文件的要求，但仍不能满足项目需要时，投标人必须按照采购人要求无条件增加设备，确保施工顺利完成。</w:t>
      </w:r>
    </w:p>
    <w:p>
      <w:pPr>
        <w:widowControl/>
        <w:autoSpaceDE/>
        <w:autoSpaceDN/>
        <w:adjustRightInd/>
        <w:spacing w:beforeLines="50" w:after="120" w:line="360" w:lineRule="auto"/>
        <w:ind w:firstLine="420" w:firstLineChars="0"/>
        <w:jc w:val="both"/>
        <w:textAlignment w:val="auto"/>
        <w:rPr>
          <w:rFonts w:hint="eastAsia" w:ascii="宋体" w:hAnsi="宋体" w:eastAsia="宋体" w:cs="Arial"/>
          <w:b w:val="0"/>
          <w:bCs w:val="0"/>
          <w:color w:val="auto"/>
          <w:sz w:val="21"/>
          <w:szCs w:val="21"/>
          <w:highlight w:val="none"/>
        </w:rPr>
      </w:pPr>
    </w:p>
    <w:p>
      <w:r>
        <w:br w:type="page"/>
      </w:r>
    </w:p>
    <w:p>
      <w:pPr>
        <w:spacing w:afterLines="5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36"/>
          <w:szCs w:val="36"/>
          <w:highlight w:val="none"/>
        </w:rPr>
        <w:t>评标办法（综合评</w:t>
      </w:r>
      <w:r>
        <w:rPr>
          <w:rFonts w:hint="eastAsia" w:asciiTheme="minorEastAsia" w:hAnsiTheme="minorEastAsia" w:eastAsiaTheme="minorEastAsia" w:cstheme="minorEastAsia"/>
          <w:b/>
          <w:color w:val="auto"/>
          <w:sz w:val="36"/>
          <w:szCs w:val="36"/>
          <w:highlight w:val="none"/>
          <w:lang w:val="en-US" w:eastAsia="zh-CN"/>
        </w:rPr>
        <w:t>估</w:t>
      </w:r>
      <w:r>
        <w:rPr>
          <w:rFonts w:hint="eastAsia" w:asciiTheme="minorEastAsia" w:hAnsiTheme="minorEastAsia" w:eastAsiaTheme="minorEastAsia" w:cstheme="minorEastAsia"/>
          <w:b/>
          <w:color w:val="auto"/>
          <w:sz w:val="36"/>
          <w:szCs w:val="36"/>
          <w:highlight w:val="none"/>
        </w:rPr>
        <w:t>法）</w:t>
      </w:r>
    </w:p>
    <w:p>
      <w:pPr>
        <w:spacing w:afterLines="50"/>
        <w:jc w:val="center"/>
        <w:outlineLvl w:val="1"/>
        <w:rPr>
          <w:rFonts w:hint="eastAsia" w:asciiTheme="minorEastAsia" w:hAnsiTheme="minorEastAsia" w:eastAsiaTheme="minorEastAsia" w:cstheme="minorEastAsia"/>
          <w:b/>
          <w:color w:val="auto"/>
          <w:kern w:val="2"/>
          <w:sz w:val="28"/>
          <w:szCs w:val="28"/>
          <w:highlight w:val="none"/>
        </w:rPr>
      </w:pPr>
      <w:bookmarkStart w:id="17" w:name="_Toc456819450"/>
      <w:bookmarkStart w:id="18" w:name="_Toc483268005"/>
      <w:bookmarkStart w:id="19" w:name="_Toc353742556"/>
      <w:bookmarkStart w:id="20" w:name="_Toc524597629"/>
      <w:bookmarkStart w:id="21" w:name="_Toc456819254"/>
      <w:bookmarkStart w:id="22" w:name="_Toc452799510"/>
      <w:r>
        <w:rPr>
          <w:rFonts w:hint="eastAsia" w:asciiTheme="minorEastAsia" w:hAnsiTheme="minorEastAsia" w:eastAsiaTheme="minorEastAsia" w:cstheme="minorEastAsia"/>
          <w:b/>
          <w:color w:val="auto"/>
          <w:kern w:val="2"/>
          <w:sz w:val="28"/>
          <w:szCs w:val="28"/>
          <w:highlight w:val="none"/>
        </w:rPr>
        <w:t>评标办法前附表</w:t>
      </w:r>
      <w:bookmarkEnd w:id="17"/>
      <w:bookmarkEnd w:id="18"/>
      <w:bookmarkEnd w:id="19"/>
      <w:bookmarkEnd w:id="20"/>
      <w:bookmarkEnd w:id="21"/>
      <w:bookmarkEnd w:id="22"/>
    </w:p>
    <w:tbl>
      <w:tblPr>
        <w:tblStyle w:val="7"/>
        <w:tblW w:w="92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360"/>
        <w:gridCol w:w="820"/>
        <w:gridCol w:w="820"/>
        <w:gridCol w:w="2111"/>
        <w:gridCol w:w="794"/>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318" w:type="dxa"/>
            <w:gridSpan w:val="2"/>
            <w:vAlign w:val="center"/>
          </w:tcPr>
          <w:p>
            <w:pPr>
              <w:snapToGrid w:val="0"/>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条款号/名称</w:t>
            </w:r>
          </w:p>
        </w:tc>
        <w:tc>
          <w:tcPr>
            <w:tcW w:w="6895" w:type="dxa"/>
            <w:gridSpan w:val="5"/>
            <w:vAlign w:val="center"/>
          </w:tcPr>
          <w:p>
            <w:pPr>
              <w:snapToGrid w:val="0"/>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评审因素与标准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trPr>
        <w:tc>
          <w:tcPr>
            <w:tcW w:w="958" w:type="dxa"/>
            <w:vAlign w:val="center"/>
          </w:tcPr>
          <w:p>
            <w:pPr>
              <w:snapToGrid w:val="0"/>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360" w:type="dxa"/>
            <w:vAlign w:val="center"/>
          </w:tcPr>
          <w:p>
            <w:pPr>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评标办法</w:t>
            </w:r>
          </w:p>
        </w:tc>
        <w:tc>
          <w:tcPr>
            <w:tcW w:w="6895" w:type="dxa"/>
            <w:gridSpan w:val="5"/>
            <w:vAlign w:val="center"/>
          </w:tcPr>
          <w:p>
            <w:pPr>
              <w:snapToGrid w:val="0"/>
              <w:spacing w:line="288"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综合评分相等时，评标委员会依次按照以下优先顺序推荐中标候选人或确定中标人：</w:t>
            </w:r>
          </w:p>
          <w:p>
            <w:pPr>
              <w:snapToGrid w:val="0"/>
              <w:spacing w:line="288"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（1）评标价低的投标人优先；</w:t>
            </w:r>
          </w:p>
          <w:p>
            <w:pPr>
              <w:snapToGrid w:val="0"/>
              <w:spacing w:line="288"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（2）以评标时采用的信用等级较高的的投标人优先；</w:t>
            </w:r>
          </w:p>
          <w:p>
            <w:pPr>
              <w:snapToGrid w:val="0"/>
              <w:spacing w:line="288"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（3）商务和技术得分较高的投标人优先；</w:t>
            </w:r>
          </w:p>
          <w:p>
            <w:pPr>
              <w:snapToGrid w:val="0"/>
              <w:spacing w:line="288"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（4）标书款交纳时间较早的优先。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2.1.1</w:t>
            </w:r>
          </w:p>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2.1.3</w:t>
            </w:r>
          </w:p>
        </w:tc>
        <w:tc>
          <w:tcPr>
            <w:tcW w:w="1360"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形式评审与响应性评审标准</w:t>
            </w:r>
          </w:p>
        </w:tc>
        <w:tc>
          <w:tcPr>
            <w:tcW w:w="6895" w:type="dxa"/>
            <w:gridSpan w:val="5"/>
            <w:vAlign w:val="center"/>
          </w:tcPr>
          <w:p>
            <w:pPr>
              <w:snapToGrid w:val="0"/>
              <w:spacing w:line="288" w:lineRule="auto"/>
              <w:jc w:val="both"/>
              <w:rPr>
                <w:rFonts w:hint="eastAsia" w:asciiTheme="minorEastAsia" w:hAnsiTheme="minorEastAsia" w:eastAsiaTheme="minorEastAsia" w:cstheme="minorEastAsia"/>
                <w:b w:val="0"/>
                <w:color w:val="auto"/>
                <w:sz w:val="21"/>
                <w:szCs w:val="21"/>
                <w:highlight w:val="none"/>
              </w:rPr>
            </w:pPr>
            <w:r>
              <w:rPr>
                <w:rFonts w:hint="default" w:asciiTheme="minorEastAsia" w:hAnsiTheme="minorEastAsia" w:eastAsiaTheme="minorEastAsia" w:cstheme="minorEastAsia"/>
                <w:b w:val="0"/>
                <w:color w:val="auto"/>
                <w:sz w:val="21"/>
                <w:szCs w:val="21"/>
                <w:highlight w:val="none"/>
              </w:rPr>
              <w:t>第一个信封（商务及技术文件）评审标准：</w:t>
            </w:r>
          </w:p>
          <w:p>
            <w:pPr>
              <w:snapToGrid w:val="0"/>
              <w:spacing w:line="288" w:lineRule="auto"/>
              <w:jc w:val="both"/>
              <w:rPr>
                <w:rFonts w:hint="eastAsia" w:asciiTheme="minorEastAsia" w:hAnsiTheme="minorEastAsia" w:eastAsiaTheme="minorEastAsia" w:cstheme="minorEastAsia"/>
                <w:color w:val="auto"/>
                <w:sz w:val="21"/>
                <w:szCs w:val="21"/>
                <w:highlight w:val="none"/>
              </w:rPr>
            </w:pPr>
            <w:r>
              <w:rPr>
                <w:rFonts w:hint="default" w:asciiTheme="minorEastAsia" w:hAnsiTheme="minorEastAsia" w:eastAsiaTheme="minorEastAsia" w:cstheme="minorEastAsia"/>
                <w:color w:val="auto"/>
                <w:sz w:val="21"/>
                <w:szCs w:val="21"/>
                <w:highlight w:val="none"/>
              </w:rPr>
              <w:t>（1）投标文件按照招标文件规定的格式、内容填写，字迹清晰可辩：</w:t>
            </w:r>
          </w:p>
          <w:p>
            <w:pPr>
              <w:snapToGrid w:val="0"/>
              <w:spacing w:line="288" w:lineRule="auto"/>
              <w:jc w:val="both"/>
              <w:rPr>
                <w:rFonts w:hint="eastAsia" w:asciiTheme="minorEastAsia" w:hAnsiTheme="minorEastAsia" w:eastAsiaTheme="minorEastAsia" w:cstheme="minorEastAsia"/>
                <w:color w:val="auto"/>
                <w:sz w:val="21"/>
                <w:szCs w:val="21"/>
                <w:highlight w:val="none"/>
              </w:rPr>
            </w:pPr>
            <w:r>
              <w:rPr>
                <w:rFonts w:hint="default" w:asciiTheme="minorEastAsia" w:hAnsiTheme="minorEastAsia" w:eastAsiaTheme="minorEastAsia" w:cstheme="minorEastAsia"/>
                <w:color w:val="auto"/>
                <w:sz w:val="21"/>
                <w:szCs w:val="21"/>
                <w:highlight w:val="none"/>
              </w:rPr>
              <w:t>a.投标函按招标文件规定填报了项目名称、标段号、补遗书编号（如有）、服务期限、工程质量要求及安全目标；</w:t>
            </w:r>
          </w:p>
          <w:p>
            <w:pPr>
              <w:snapToGrid w:val="0"/>
              <w:spacing w:line="288" w:lineRule="auto"/>
              <w:jc w:val="both"/>
              <w:rPr>
                <w:rFonts w:hint="eastAsia" w:asciiTheme="minorEastAsia" w:hAnsiTheme="minorEastAsia" w:eastAsiaTheme="minorEastAsia" w:cstheme="minorEastAsia"/>
                <w:color w:val="auto"/>
                <w:sz w:val="21"/>
                <w:szCs w:val="21"/>
                <w:highlight w:val="none"/>
              </w:rPr>
            </w:pPr>
            <w:r>
              <w:rPr>
                <w:rFonts w:hint="default" w:asciiTheme="minorEastAsia" w:hAnsiTheme="minorEastAsia" w:eastAsiaTheme="minorEastAsia" w:cstheme="minorEastAsia"/>
                <w:color w:val="auto"/>
                <w:sz w:val="21"/>
                <w:szCs w:val="21"/>
                <w:highlight w:val="none"/>
              </w:rPr>
              <w:t>b.投标文件组成齐全完整，内容均按规定填写。</w:t>
            </w:r>
          </w:p>
          <w:p>
            <w:pPr>
              <w:snapToGrid w:val="0"/>
              <w:spacing w:line="288" w:lineRule="auto"/>
              <w:jc w:val="both"/>
              <w:rPr>
                <w:rFonts w:hint="eastAsia" w:asciiTheme="minorEastAsia" w:hAnsiTheme="minorEastAsia" w:eastAsiaTheme="minorEastAsia" w:cstheme="minorEastAsia"/>
                <w:color w:val="auto"/>
                <w:sz w:val="21"/>
                <w:szCs w:val="21"/>
                <w:highlight w:val="none"/>
              </w:rPr>
            </w:pPr>
            <w:r>
              <w:rPr>
                <w:rFonts w:hint="default" w:asciiTheme="minorEastAsia" w:hAnsiTheme="minorEastAsia" w:eastAsiaTheme="minorEastAsia" w:cstheme="minorEastAsia"/>
                <w:bCs w:val="0"/>
                <w:color w:val="auto"/>
                <w:sz w:val="21"/>
                <w:szCs w:val="21"/>
                <w:highlight w:val="none"/>
              </w:rPr>
              <w:t>（2）</w:t>
            </w:r>
            <w:r>
              <w:rPr>
                <w:rFonts w:hint="eastAsia" w:asciiTheme="minorEastAsia" w:hAnsiTheme="minorEastAsia" w:eastAsiaTheme="minorEastAsia" w:cstheme="minorEastAsia"/>
                <w:color w:val="auto"/>
                <w:sz w:val="21"/>
                <w:szCs w:val="21"/>
                <w:highlight w:val="none"/>
              </w:rPr>
              <w:t>投标文件上法定代表人签字</w:t>
            </w:r>
            <w:r>
              <w:rPr>
                <w:rFonts w:hint="default"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rPr>
              <w:t>投标人的单位章齐全，符合招标文件规定；</w:t>
            </w:r>
          </w:p>
          <w:p>
            <w:pPr>
              <w:snapToGrid w:val="0"/>
              <w:spacing w:line="288" w:lineRule="auto"/>
              <w:jc w:val="both"/>
              <w:rPr>
                <w:rFonts w:hint="eastAsia" w:asciiTheme="minorEastAsia" w:hAnsiTheme="minorEastAsia" w:eastAsiaTheme="minorEastAsia" w:cstheme="minorEastAsia"/>
                <w:color w:val="auto"/>
                <w:sz w:val="21"/>
                <w:szCs w:val="21"/>
                <w:highlight w:val="none"/>
              </w:rPr>
            </w:pPr>
            <w:r>
              <w:rPr>
                <w:rFonts w:hint="default" w:asciiTheme="minorEastAsia" w:hAnsiTheme="minorEastAsia" w:eastAsiaTheme="minorEastAsia" w:cstheme="minorEastAsia"/>
                <w:color w:val="auto"/>
                <w:sz w:val="21"/>
                <w:szCs w:val="21"/>
                <w:highlight w:val="none"/>
              </w:rPr>
              <w:t>（3）投标人按照招标文件的规定提供了投标保证金：</w:t>
            </w:r>
          </w:p>
          <w:p>
            <w:pPr>
              <w:snapToGrid w:val="0"/>
              <w:spacing w:line="288" w:lineRule="auto"/>
              <w:jc w:val="both"/>
              <w:rPr>
                <w:rFonts w:hint="eastAsia" w:asciiTheme="minorEastAsia" w:hAnsiTheme="minorEastAsia" w:eastAsiaTheme="minorEastAsia" w:cstheme="minorEastAsia"/>
                <w:color w:val="auto"/>
                <w:sz w:val="21"/>
                <w:szCs w:val="21"/>
                <w:highlight w:val="none"/>
              </w:rPr>
            </w:pPr>
            <w:r>
              <w:rPr>
                <w:rFonts w:hint="default" w:asciiTheme="minorEastAsia" w:hAnsiTheme="minorEastAsia" w:eastAsiaTheme="minorEastAsia" w:cstheme="minorEastAsia"/>
                <w:color w:val="auto"/>
                <w:sz w:val="21"/>
                <w:szCs w:val="21"/>
                <w:highlight w:val="none"/>
              </w:rPr>
              <w:t>a.投标保证金金额符合招标文件规定的金额，且投标保证金有效期不少于投标有效期；</w:t>
            </w:r>
          </w:p>
          <w:p>
            <w:pPr>
              <w:snapToGrid w:val="0"/>
              <w:spacing w:line="288" w:lineRule="auto"/>
              <w:jc w:val="both"/>
              <w:rPr>
                <w:rFonts w:hint="eastAsia" w:asciiTheme="minorEastAsia" w:hAnsiTheme="minorEastAsia" w:eastAsiaTheme="minorEastAsia" w:cstheme="minorEastAsia"/>
                <w:color w:val="auto"/>
                <w:sz w:val="21"/>
                <w:szCs w:val="21"/>
                <w:highlight w:val="none"/>
              </w:rPr>
            </w:pPr>
            <w:r>
              <w:rPr>
                <w:rFonts w:hint="default" w:asciiTheme="minorEastAsia" w:hAnsiTheme="minorEastAsia" w:eastAsiaTheme="minorEastAsia" w:cstheme="minorEastAsia"/>
                <w:color w:val="auto"/>
                <w:sz w:val="21"/>
                <w:szCs w:val="21"/>
                <w:highlight w:val="none"/>
              </w:rPr>
              <w:t>b.若投标保证金采用现金或支票形式提交，投标人应在递交投标文件截止时间之前，将投标保证金由投标人的基本账户转入招标人指定账户；</w:t>
            </w:r>
          </w:p>
          <w:p>
            <w:pPr>
              <w:snapToGrid w:val="0"/>
              <w:spacing w:line="288" w:lineRule="auto"/>
              <w:ind w:firstLine="0" w:firstLineChars="0"/>
              <w:jc w:val="both"/>
              <w:rPr>
                <w:rFonts w:hint="eastAsia" w:asciiTheme="minorEastAsia" w:hAnsiTheme="minorEastAsia" w:eastAsiaTheme="minorEastAsia" w:cstheme="minorEastAsia"/>
                <w:color w:val="auto"/>
                <w:sz w:val="21"/>
                <w:szCs w:val="21"/>
                <w:highlight w:val="none"/>
              </w:rPr>
            </w:pPr>
            <w:r>
              <w:rPr>
                <w:rFonts w:hint="default" w:asciiTheme="minorEastAsia" w:hAnsiTheme="minorEastAsia" w:eastAsiaTheme="minorEastAsia" w:cstheme="minorEastAsia"/>
                <w:color w:val="auto"/>
                <w:sz w:val="21"/>
                <w:szCs w:val="21"/>
                <w:highlight w:val="none"/>
              </w:rPr>
              <w:t>c.</w:t>
            </w:r>
            <w:r>
              <w:rPr>
                <w:rFonts w:hint="eastAsia" w:asciiTheme="minorEastAsia" w:hAnsiTheme="minorEastAsia" w:eastAsiaTheme="minorEastAsia" w:cstheme="minorEastAsia"/>
                <w:color w:val="auto"/>
                <w:sz w:val="21"/>
                <w:szCs w:val="21"/>
                <w:highlight w:val="none"/>
              </w:rPr>
              <w:t>若投标保证金采用电子保函（含银行保函、保证保险、担保保函等）形式提交，电子保函开具的方式、保函有效期、提供的证明文件等均满足招标文件要求。</w:t>
            </w:r>
          </w:p>
          <w:p>
            <w:pPr>
              <w:snapToGrid w:val="0"/>
              <w:spacing w:line="288" w:lineRule="auto"/>
              <w:jc w:val="both"/>
              <w:rPr>
                <w:rFonts w:hint="eastAsia" w:asciiTheme="minorEastAsia" w:hAnsiTheme="minorEastAsia" w:eastAsiaTheme="minorEastAsia" w:cstheme="minorEastAsia"/>
                <w:color w:val="auto"/>
                <w:sz w:val="21"/>
                <w:szCs w:val="21"/>
                <w:highlight w:val="none"/>
              </w:rPr>
            </w:pPr>
            <w:r>
              <w:rPr>
                <w:rFonts w:hint="default" w:asciiTheme="minorEastAsia" w:hAnsiTheme="minorEastAsia" w:eastAsiaTheme="minorEastAsia" w:cstheme="minorEastAsia"/>
                <w:color w:val="auto"/>
                <w:sz w:val="21"/>
                <w:szCs w:val="21"/>
                <w:highlight w:val="none"/>
              </w:rPr>
              <w:t>（4）投标人法定代表人授权委托代理人签署投标文件的，须提交授权委托书，且授权人和被授权人均在授权委托书上签名，未使用印章、签名章或其他电子制版签名代替。</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不适用</w:t>
            </w:r>
            <w:r>
              <w:rPr>
                <w:rFonts w:hint="eastAsia" w:asciiTheme="minorEastAsia" w:hAnsiTheme="minorEastAsia" w:eastAsiaTheme="minorEastAsia" w:cstheme="minorEastAsia"/>
                <w:color w:val="auto"/>
                <w:sz w:val="21"/>
                <w:szCs w:val="21"/>
                <w:highlight w:val="none"/>
                <w:lang w:eastAsia="zh-CN"/>
              </w:rPr>
              <w:t>）</w:t>
            </w:r>
          </w:p>
          <w:p>
            <w:pPr>
              <w:snapToGrid w:val="0"/>
              <w:spacing w:line="288" w:lineRule="auto"/>
              <w:jc w:val="both"/>
              <w:rPr>
                <w:rFonts w:hint="eastAsia" w:asciiTheme="minorEastAsia" w:hAnsiTheme="minorEastAsia" w:eastAsiaTheme="minorEastAsia" w:cstheme="minorEastAsia"/>
                <w:color w:val="auto"/>
                <w:sz w:val="21"/>
                <w:szCs w:val="21"/>
                <w:highlight w:val="none"/>
              </w:rPr>
            </w:pPr>
            <w:r>
              <w:rPr>
                <w:rFonts w:hint="default" w:asciiTheme="minorEastAsia" w:hAnsiTheme="minorEastAsia" w:eastAsiaTheme="minorEastAsia" w:cstheme="minorEastAsia"/>
                <w:color w:val="auto"/>
                <w:sz w:val="21"/>
                <w:szCs w:val="21"/>
                <w:highlight w:val="none"/>
              </w:rPr>
              <w:t>（5）提供了法定代表人身份证明，</w:t>
            </w:r>
            <w:r>
              <w:rPr>
                <w:rFonts w:hint="default" w:asciiTheme="minorEastAsia" w:hAnsiTheme="minorEastAsia" w:eastAsiaTheme="minorEastAsia" w:cstheme="minorEastAsia"/>
                <w:color w:val="auto"/>
                <w:sz w:val="21"/>
                <w:szCs w:val="21"/>
                <w:highlight w:val="none"/>
                <w:lang w:val="en-US" w:eastAsia="zh-CN"/>
              </w:rPr>
              <w:t>且法定代表人身份证明上</w:t>
            </w:r>
            <w:r>
              <w:rPr>
                <w:rFonts w:hint="default" w:asciiTheme="minorEastAsia" w:hAnsiTheme="minorEastAsia" w:eastAsiaTheme="minorEastAsia" w:cstheme="minorEastAsia"/>
                <w:color w:val="auto"/>
                <w:sz w:val="21"/>
                <w:szCs w:val="21"/>
                <w:highlight w:val="none"/>
              </w:rPr>
              <w:t>签</w:t>
            </w:r>
            <w:r>
              <w:rPr>
                <w:rFonts w:hint="default" w:asciiTheme="minorEastAsia" w:hAnsiTheme="minorEastAsia" w:eastAsiaTheme="minorEastAsia" w:cstheme="minorEastAsia"/>
                <w:color w:val="auto"/>
                <w:sz w:val="21"/>
                <w:szCs w:val="21"/>
                <w:highlight w:val="none"/>
                <w:lang w:val="en-US" w:eastAsia="zh-CN"/>
              </w:rPr>
              <w:t>字</w:t>
            </w:r>
            <w:r>
              <w:rPr>
                <w:rFonts w:hint="default" w:asciiTheme="minorEastAsia" w:hAnsiTheme="minorEastAsia" w:eastAsiaTheme="minorEastAsia" w:cstheme="minorEastAsia"/>
                <w:color w:val="auto"/>
                <w:sz w:val="21"/>
                <w:szCs w:val="21"/>
                <w:highlight w:val="none"/>
                <w:lang w:eastAsia="zh-CN"/>
              </w:rPr>
              <w:t>、</w:t>
            </w:r>
            <w:r>
              <w:rPr>
                <w:rFonts w:hint="default" w:asciiTheme="minorEastAsia" w:hAnsiTheme="minorEastAsia" w:eastAsiaTheme="minorEastAsia" w:cstheme="minorEastAsia"/>
                <w:color w:val="auto"/>
                <w:sz w:val="21"/>
                <w:szCs w:val="21"/>
                <w:highlight w:val="none"/>
                <w:lang w:val="en-US" w:eastAsia="zh-CN"/>
              </w:rPr>
              <w:t>盖章的地方符合招标文件投标人须知3.7.3的规定</w:t>
            </w:r>
            <w:r>
              <w:rPr>
                <w:rFonts w:hint="default" w:asciiTheme="minorEastAsia" w:hAnsiTheme="minorEastAsia" w:eastAsiaTheme="minorEastAsia" w:cstheme="minorEastAsia"/>
                <w:color w:val="auto"/>
                <w:sz w:val="21"/>
                <w:szCs w:val="21"/>
                <w:highlight w:val="none"/>
              </w:rPr>
              <w:t>。</w:t>
            </w:r>
          </w:p>
          <w:p>
            <w:pPr>
              <w:tabs>
                <w:tab w:val="left" w:pos="3060"/>
              </w:tabs>
              <w:snapToGrid w:val="0"/>
              <w:spacing w:line="288" w:lineRule="auto"/>
              <w:ind w:firstLine="0" w:firstLineChars="0"/>
              <w:jc w:val="both"/>
              <w:rPr>
                <w:rFonts w:hint="eastAsia" w:asciiTheme="minorEastAsia" w:hAnsiTheme="minorEastAsia" w:eastAsiaTheme="minorEastAsia" w:cstheme="minorEastAsia"/>
                <w:color w:val="auto"/>
                <w:sz w:val="21"/>
                <w:szCs w:val="21"/>
                <w:highlight w:val="none"/>
              </w:rPr>
            </w:pPr>
            <w:r>
              <w:rPr>
                <w:rFonts w:hint="default" w:asciiTheme="minorEastAsia" w:hAnsiTheme="minorEastAsia" w:eastAsiaTheme="minorEastAsia" w:cstheme="minorEastAsia"/>
                <w:color w:val="auto"/>
                <w:sz w:val="21"/>
                <w:szCs w:val="21"/>
                <w:highlight w:val="none"/>
              </w:rPr>
              <w:t>（6）</w:t>
            </w:r>
            <w:r>
              <w:rPr>
                <w:rFonts w:hint="eastAsia" w:asciiTheme="minorEastAsia" w:hAnsiTheme="minorEastAsia" w:eastAsiaTheme="minorEastAsia" w:cstheme="minorEastAsia"/>
                <w:color w:val="auto"/>
                <w:sz w:val="21"/>
                <w:szCs w:val="21"/>
                <w:highlight w:val="none"/>
              </w:rPr>
              <w:t>投标人以联合体形式投标时，联合体满足招标文件的要求：</w:t>
            </w:r>
          </w:p>
          <w:p>
            <w:pPr>
              <w:tabs>
                <w:tab w:val="left" w:pos="3060"/>
              </w:tabs>
              <w:snapToGrid w:val="0"/>
              <w:spacing w:line="288" w:lineRule="auto"/>
              <w:ind w:firstLine="210" w:firstLineChars="1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a.未进行资格预审的，投标人按照招标文件提供的格式签订了联合体协议书，明确各方承担连带责任，并明确了联合体牵头人；</w:t>
            </w:r>
          </w:p>
          <w:p>
            <w:pPr>
              <w:tabs>
                <w:tab w:val="left" w:pos="3060"/>
              </w:tabs>
              <w:snapToGrid w:val="0"/>
              <w:spacing w:line="288" w:lineRule="auto"/>
              <w:ind w:firstLine="210" w:firstLineChars="1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b.已进行资格预审的，投标人提供了资格预审申请文件中所附的联合体协议书复印件，且通过资格预审后的联合体无成员增减或更换的情况。</w:t>
            </w:r>
          </w:p>
          <w:p>
            <w:pPr>
              <w:tabs>
                <w:tab w:val="left" w:pos="3060"/>
              </w:tabs>
              <w:snapToGrid w:val="0"/>
              <w:spacing w:line="288" w:lineRule="auto"/>
              <w:ind w:firstLine="0" w:firstLineChar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）投标人如有分包计划，符合招标文件第二章“投标人须知” 第1.11款规定，且按招标文件第</w:t>
            </w:r>
            <w:r>
              <w:rPr>
                <w:rFonts w:hint="eastAsia" w:asciiTheme="minorEastAsia" w:hAnsiTheme="minorEastAsia" w:eastAsiaTheme="minorEastAsia" w:cstheme="minorEastAsia"/>
                <w:color w:val="auto"/>
                <w:sz w:val="21"/>
                <w:szCs w:val="21"/>
                <w:highlight w:val="none"/>
                <w:lang w:eastAsia="zh-CN"/>
              </w:rPr>
              <w:t>五</w:t>
            </w:r>
            <w:r>
              <w:rPr>
                <w:rFonts w:hint="eastAsia" w:asciiTheme="minorEastAsia" w:hAnsiTheme="minorEastAsia" w:eastAsiaTheme="minorEastAsia" w:cstheme="minorEastAsia"/>
                <w:color w:val="auto"/>
                <w:sz w:val="21"/>
                <w:szCs w:val="21"/>
                <w:highlight w:val="none"/>
              </w:rPr>
              <w:t>章“投标文件格式”的要求填写了“拟分包项目情况表”。</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不适用</w:t>
            </w:r>
            <w:r>
              <w:rPr>
                <w:rFonts w:hint="eastAsia" w:asciiTheme="minorEastAsia" w:hAnsiTheme="minorEastAsia" w:eastAsiaTheme="minorEastAsia" w:cstheme="minorEastAsia"/>
                <w:color w:val="auto"/>
                <w:sz w:val="21"/>
                <w:szCs w:val="21"/>
                <w:highlight w:val="none"/>
                <w:lang w:eastAsia="zh-CN"/>
              </w:rPr>
              <w:t>）</w:t>
            </w:r>
          </w:p>
          <w:p>
            <w:pPr>
              <w:snapToGrid w:val="0"/>
              <w:spacing w:line="288"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）同一投标人未提交两个以上不同的投标文件，但招标文件要求提交备选投标的除外。</w:t>
            </w:r>
          </w:p>
          <w:p>
            <w:pPr>
              <w:tabs>
                <w:tab w:val="left" w:pos="3060"/>
              </w:tabs>
              <w:snapToGrid w:val="0"/>
              <w:spacing w:line="288" w:lineRule="auto"/>
              <w:ind w:firstLine="210" w:firstLineChars="1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）投标文件中未出现有关投标报价的内容。</w:t>
            </w:r>
          </w:p>
          <w:p>
            <w:pPr>
              <w:tabs>
                <w:tab w:val="left" w:pos="3060"/>
              </w:tabs>
              <w:snapToGrid w:val="0"/>
              <w:spacing w:line="288" w:lineRule="auto"/>
              <w:ind w:firstLine="210" w:firstLineChars="1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0</w:t>
            </w:r>
            <w:r>
              <w:rPr>
                <w:rFonts w:hint="eastAsia" w:asciiTheme="minorEastAsia" w:hAnsiTheme="minorEastAsia" w:eastAsiaTheme="minorEastAsia" w:cstheme="minorEastAsia"/>
                <w:color w:val="auto"/>
                <w:sz w:val="21"/>
                <w:szCs w:val="21"/>
                <w:highlight w:val="none"/>
              </w:rPr>
              <w:t>）投标文件载明的招标项目完成期限未超过招标文件规定的时限。</w:t>
            </w:r>
          </w:p>
          <w:p>
            <w:pPr>
              <w:tabs>
                <w:tab w:val="left" w:pos="3060"/>
              </w:tabs>
              <w:snapToGrid w:val="0"/>
              <w:spacing w:line="288" w:lineRule="auto"/>
              <w:ind w:firstLine="210" w:firstLineChars="1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）投标文件对招标文件的实质性要求和条件作出响应。</w:t>
            </w:r>
          </w:p>
          <w:p>
            <w:pPr>
              <w:tabs>
                <w:tab w:val="left" w:pos="3060"/>
              </w:tabs>
              <w:snapToGrid w:val="0"/>
              <w:spacing w:line="288" w:lineRule="auto"/>
              <w:ind w:firstLine="210" w:firstLineChars="1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）权利义务符合招标文件规定：</w:t>
            </w:r>
          </w:p>
          <w:p>
            <w:pPr>
              <w:tabs>
                <w:tab w:val="left" w:pos="3060"/>
              </w:tabs>
              <w:snapToGrid w:val="0"/>
              <w:spacing w:line="288" w:lineRule="auto"/>
              <w:ind w:firstLine="210" w:firstLineChars="1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a.投标人应接受招标文件规定的风险划分原则，未提出新的风险划分办法；</w:t>
            </w:r>
          </w:p>
          <w:p>
            <w:pPr>
              <w:tabs>
                <w:tab w:val="left" w:pos="3060"/>
              </w:tabs>
              <w:snapToGrid w:val="0"/>
              <w:spacing w:line="288" w:lineRule="auto"/>
              <w:ind w:firstLine="210" w:firstLineChars="1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b.投标人未增加发包人的责任范围，或减少投标人义务；</w:t>
            </w:r>
          </w:p>
          <w:p>
            <w:pPr>
              <w:tabs>
                <w:tab w:val="left" w:pos="3060"/>
              </w:tabs>
              <w:snapToGrid w:val="0"/>
              <w:spacing w:line="288" w:lineRule="auto"/>
              <w:ind w:firstLine="210" w:firstLineChars="1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c.投标人未提出不同的工程验收、计量、支付办法；</w:t>
            </w:r>
          </w:p>
          <w:p>
            <w:pPr>
              <w:tabs>
                <w:tab w:val="left" w:pos="3060"/>
              </w:tabs>
              <w:snapToGrid w:val="0"/>
              <w:spacing w:line="288" w:lineRule="auto"/>
              <w:ind w:firstLine="210" w:firstLineChars="1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d.投标人对合同纠纷、事故处理办法未提出异议；</w:t>
            </w:r>
          </w:p>
          <w:p>
            <w:pPr>
              <w:tabs>
                <w:tab w:val="left" w:pos="3060"/>
              </w:tabs>
              <w:snapToGrid w:val="0"/>
              <w:spacing w:line="288" w:lineRule="auto"/>
              <w:ind w:firstLine="210" w:firstLineChars="1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e.投标人在投标活动中无欺诈行为；</w:t>
            </w:r>
          </w:p>
          <w:p>
            <w:pPr>
              <w:tabs>
                <w:tab w:val="left" w:pos="3060"/>
              </w:tabs>
              <w:snapToGrid w:val="0"/>
              <w:spacing w:line="288" w:lineRule="auto"/>
              <w:ind w:firstLine="210" w:firstLineChars="1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f.投标人未对合同条款有重要保留。</w:t>
            </w:r>
          </w:p>
          <w:p>
            <w:pPr>
              <w:tabs>
                <w:tab w:val="left" w:pos="3060"/>
              </w:tabs>
              <w:snapToGrid w:val="0"/>
              <w:spacing w:line="288" w:lineRule="auto"/>
              <w:ind w:firstLine="210" w:firstLineChars="1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）投标文件正、副本份数符合招标文件第二章“投标人须知”第3.7.4项规定。</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不适用</w:t>
            </w:r>
            <w:r>
              <w:rPr>
                <w:rFonts w:hint="eastAsia" w:asciiTheme="minorEastAsia" w:hAnsiTheme="minorEastAsia" w:eastAsiaTheme="minorEastAsia" w:cstheme="minorEastAsia"/>
                <w:color w:val="auto"/>
                <w:sz w:val="21"/>
                <w:szCs w:val="21"/>
                <w:highlight w:val="none"/>
                <w:lang w:eastAsia="zh-CN"/>
              </w:rPr>
              <w:t>）</w:t>
            </w:r>
          </w:p>
          <w:p>
            <w:pPr>
              <w:snapToGrid w:val="0"/>
              <w:spacing w:line="288" w:lineRule="auto"/>
              <w:ind w:firstLine="210" w:firstLineChars="100"/>
              <w:jc w:val="both"/>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eastAsia="zh-CN"/>
              </w:rPr>
              <w:t>（</w:t>
            </w:r>
            <w:r>
              <w:rPr>
                <w:rFonts w:hint="default"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val="en-US" w:eastAsia="zh-CN"/>
              </w:rPr>
              <w:t>4</w:t>
            </w:r>
            <w:r>
              <w:rPr>
                <w:rFonts w:hint="default" w:asciiTheme="minorEastAsia" w:hAnsiTheme="minorEastAsia" w:eastAsiaTheme="minorEastAsia" w:cstheme="minorEastAsia"/>
                <w:color w:val="auto"/>
                <w:sz w:val="21"/>
                <w:szCs w:val="21"/>
                <w:highlight w:val="none"/>
                <w:lang w:val="en-US" w:eastAsia="zh-CN"/>
              </w:rPr>
              <w:t>）投标人在开标记录表中确认的来自投标人自行填写进“电子交易平台”中开标信息板块中的内容（含：投标保证金递交情况、工程质量、安全目标、工期、主要人员等）与投标文件中的相应内容一致。</w:t>
            </w:r>
          </w:p>
          <w:p>
            <w:pPr>
              <w:tabs>
                <w:tab w:val="left" w:pos="3060"/>
              </w:tabs>
              <w:snapToGrid w:val="0"/>
              <w:spacing w:line="288" w:lineRule="auto"/>
              <w:ind w:firstLine="210" w:firstLineChars="100"/>
              <w:jc w:val="both"/>
              <w:rPr>
                <w:rFonts w:hint="eastAsia" w:asciiTheme="minorEastAsia" w:hAnsiTheme="minorEastAsia" w:eastAsiaTheme="minorEastAsia" w:cstheme="minorEastAsia"/>
                <w:color w:val="auto"/>
                <w:sz w:val="21"/>
                <w:szCs w:val="21"/>
                <w:highlight w:val="none"/>
              </w:rPr>
            </w:pPr>
          </w:p>
          <w:p>
            <w:pPr>
              <w:snapToGrid w:val="0"/>
              <w:spacing w:line="288" w:lineRule="auto"/>
              <w:jc w:val="both"/>
              <w:rPr>
                <w:rFonts w:hint="eastAsia" w:asciiTheme="minorEastAsia" w:hAnsiTheme="minorEastAsia" w:eastAsiaTheme="minorEastAsia" w:cstheme="minorEastAsia"/>
                <w:color w:val="auto"/>
                <w:sz w:val="21"/>
                <w:szCs w:val="21"/>
                <w:highlight w:val="none"/>
              </w:rPr>
            </w:pPr>
          </w:p>
          <w:p>
            <w:pPr>
              <w:snapToGrid w:val="0"/>
              <w:spacing w:line="288" w:lineRule="auto"/>
              <w:jc w:val="both"/>
              <w:rPr>
                <w:rFonts w:hint="eastAsia" w:asciiTheme="minorEastAsia" w:hAnsiTheme="minorEastAsia" w:eastAsiaTheme="minorEastAsia" w:cstheme="minorEastAsia"/>
                <w:b w:val="0"/>
                <w:color w:val="auto"/>
                <w:sz w:val="21"/>
                <w:szCs w:val="21"/>
                <w:highlight w:val="none"/>
              </w:rPr>
            </w:pPr>
            <w:r>
              <w:rPr>
                <w:rFonts w:hint="default" w:asciiTheme="minorEastAsia" w:hAnsiTheme="minorEastAsia" w:eastAsiaTheme="minorEastAsia" w:cstheme="minorEastAsia"/>
                <w:b w:val="0"/>
                <w:color w:val="auto"/>
                <w:sz w:val="21"/>
                <w:szCs w:val="21"/>
                <w:highlight w:val="none"/>
              </w:rPr>
              <w:t>第二个信封（报价文件）评审标准：</w:t>
            </w:r>
          </w:p>
          <w:p>
            <w:pPr>
              <w:snapToGrid w:val="0"/>
              <w:spacing w:line="288" w:lineRule="auto"/>
              <w:jc w:val="both"/>
              <w:rPr>
                <w:rFonts w:hint="eastAsia" w:asciiTheme="minorEastAsia" w:hAnsiTheme="minorEastAsia" w:eastAsiaTheme="minorEastAsia" w:cstheme="minorEastAsia"/>
                <w:color w:val="auto"/>
                <w:sz w:val="21"/>
                <w:szCs w:val="21"/>
                <w:highlight w:val="none"/>
              </w:rPr>
            </w:pPr>
            <w:r>
              <w:rPr>
                <w:rFonts w:hint="default" w:asciiTheme="minorEastAsia" w:hAnsiTheme="minorEastAsia" w:eastAsiaTheme="minorEastAsia" w:cstheme="minorEastAsia"/>
                <w:color w:val="auto"/>
                <w:sz w:val="21"/>
                <w:szCs w:val="21"/>
                <w:highlight w:val="none"/>
              </w:rPr>
              <w:t>（1）投标文件按照招标文件规定的格式、内容填写，字迹清晰可辨，内容齐全完整：</w:t>
            </w:r>
          </w:p>
          <w:p>
            <w:pPr>
              <w:snapToGrid w:val="0"/>
              <w:spacing w:line="288" w:lineRule="auto"/>
              <w:jc w:val="both"/>
              <w:rPr>
                <w:rFonts w:hint="eastAsia" w:asciiTheme="minorEastAsia" w:hAnsiTheme="minorEastAsia" w:eastAsiaTheme="minorEastAsia" w:cstheme="minorEastAsia"/>
                <w:color w:val="auto"/>
                <w:sz w:val="21"/>
                <w:szCs w:val="21"/>
                <w:highlight w:val="none"/>
              </w:rPr>
            </w:pPr>
            <w:r>
              <w:rPr>
                <w:rFonts w:hint="default" w:asciiTheme="minorEastAsia" w:hAnsiTheme="minorEastAsia" w:eastAsiaTheme="minorEastAsia" w:cstheme="minorEastAsia"/>
                <w:color w:val="auto"/>
                <w:sz w:val="21"/>
                <w:szCs w:val="21"/>
                <w:highlight w:val="none"/>
              </w:rPr>
              <w:t>a．投标函按照招标文件规定填报了项目名称、标段号、补遗书编号（如有）、投标价（包括大写金额和小写金额）；</w:t>
            </w:r>
          </w:p>
          <w:p>
            <w:pPr>
              <w:snapToGrid w:val="0"/>
              <w:spacing w:line="288" w:lineRule="auto"/>
              <w:jc w:val="both"/>
              <w:rPr>
                <w:rFonts w:hint="eastAsia" w:asciiTheme="minorEastAsia" w:hAnsiTheme="minorEastAsia" w:eastAsiaTheme="minorEastAsia" w:cstheme="minorEastAsia"/>
                <w:color w:val="auto"/>
                <w:sz w:val="21"/>
                <w:szCs w:val="21"/>
                <w:highlight w:val="none"/>
              </w:rPr>
            </w:pPr>
            <w:r>
              <w:rPr>
                <w:rFonts w:hint="default" w:asciiTheme="minorEastAsia" w:hAnsiTheme="minorEastAsia" w:eastAsiaTheme="minorEastAsia" w:cstheme="minorEastAsia"/>
                <w:color w:val="auto"/>
                <w:sz w:val="21"/>
                <w:szCs w:val="21"/>
                <w:highlight w:val="none"/>
              </w:rPr>
              <w:t>b．已标价报价清单说明文字与招标文件规定一致，未进行实质性修改和删减；</w:t>
            </w:r>
          </w:p>
          <w:p>
            <w:pPr>
              <w:snapToGrid w:val="0"/>
              <w:spacing w:line="288" w:lineRule="auto"/>
              <w:jc w:val="both"/>
              <w:rPr>
                <w:rFonts w:hint="eastAsia" w:asciiTheme="minorEastAsia" w:hAnsiTheme="minorEastAsia" w:eastAsiaTheme="minorEastAsia" w:cstheme="minorEastAsia"/>
                <w:color w:val="auto"/>
                <w:sz w:val="21"/>
                <w:szCs w:val="21"/>
                <w:highlight w:val="none"/>
              </w:rPr>
            </w:pPr>
            <w:r>
              <w:rPr>
                <w:rFonts w:hint="default" w:asciiTheme="minorEastAsia" w:hAnsiTheme="minorEastAsia" w:eastAsiaTheme="minorEastAsia" w:cstheme="minorEastAsia"/>
                <w:color w:val="auto"/>
                <w:sz w:val="21"/>
                <w:szCs w:val="21"/>
                <w:highlight w:val="none"/>
              </w:rPr>
              <w:t>c．投标文件组成齐全完整，内容均按规定填写。</w:t>
            </w:r>
          </w:p>
          <w:p>
            <w:pPr>
              <w:snapToGrid w:val="0"/>
              <w:spacing w:line="288"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（2）投标文件上法定代表人的签字、投标人的单位章盖章齐全，符合招标文件规定。</w:t>
            </w:r>
          </w:p>
          <w:p>
            <w:pPr>
              <w:snapToGrid w:val="0"/>
              <w:spacing w:line="288"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（3）投标总额报价未超过招标文件设定的最高投标总额限价，同时设置细目限价的细目报价未超过招标文件设定的细目最高投标限价。</w:t>
            </w:r>
          </w:p>
          <w:p>
            <w:pPr>
              <w:snapToGrid w:val="0"/>
              <w:spacing w:line="288"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（4）投标报价的大写金额能够确定具体数值。</w:t>
            </w:r>
          </w:p>
          <w:p>
            <w:pPr>
              <w:snapToGrid w:val="0"/>
              <w:spacing w:line="288"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（5）同一投标人未提交两个以上不同的投标报价，但招标文件要求提交备选投标的除外。</w:t>
            </w:r>
          </w:p>
          <w:p>
            <w:pPr>
              <w:snapToGrid w:val="0"/>
              <w:spacing w:line="288" w:lineRule="auto"/>
              <w:jc w:val="both"/>
              <w:rPr>
                <w:rFonts w:hint="eastAsia" w:asciiTheme="minorEastAsia" w:hAnsiTheme="minorEastAsia" w:eastAsiaTheme="minorEastAsia" w:cstheme="minorEastAsia"/>
                <w:color w:val="auto"/>
                <w:sz w:val="21"/>
                <w:szCs w:val="21"/>
                <w:highlight w:val="none"/>
                <w:lang w:eastAsia="zh-CN"/>
              </w:rPr>
            </w:pPr>
            <w:r>
              <w:rPr>
                <w:rFonts w:hint="default"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rPr>
              <w:t>6</w:t>
            </w:r>
            <w:r>
              <w:rPr>
                <w:rFonts w:hint="default" w:asciiTheme="minorEastAsia" w:hAnsiTheme="minorEastAsia" w:eastAsiaTheme="minorEastAsia" w:cstheme="minorEastAsia"/>
                <w:color w:val="auto"/>
                <w:sz w:val="21"/>
                <w:szCs w:val="21"/>
                <w:highlight w:val="none"/>
              </w:rPr>
              <w:t>）投标文件正、副本份数符合招标文件第二章</w:t>
            </w:r>
            <w:r>
              <w:rPr>
                <w:rFonts w:hint="eastAsia" w:asciiTheme="minorEastAsia" w:hAnsiTheme="minorEastAsia" w:eastAsiaTheme="minorEastAsia" w:cstheme="minorEastAsia"/>
                <w:color w:val="auto"/>
                <w:sz w:val="21"/>
                <w:szCs w:val="21"/>
                <w:highlight w:val="none"/>
              </w:rPr>
              <w:t>“</w:t>
            </w:r>
            <w:r>
              <w:rPr>
                <w:rFonts w:hint="default" w:asciiTheme="minorEastAsia" w:hAnsiTheme="minorEastAsia" w:eastAsiaTheme="minorEastAsia" w:cstheme="minorEastAsia"/>
                <w:color w:val="auto"/>
                <w:sz w:val="21"/>
                <w:szCs w:val="21"/>
                <w:highlight w:val="none"/>
              </w:rPr>
              <w:t>投标人须知</w:t>
            </w:r>
            <w:r>
              <w:rPr>
                <w:rFonts w:hint="eastAsia" w:asciiTheme="minorEastAsia" w:hAnsiTheme="minorEastAsia" w:eastAsiaTheme="minorEastAsia" w:cstheme="minorEastAsia"/>
                <w:color w:val="auto"/>
                <w:sz w:val="21"/>
                <w:szCs w:val="21"/>
                <w:highlight w:val="none"/>
              </w:rPr>
              <w:t>”</w:t>
            </w:r>
            <w:r>
              <w:rPr>
                <w:rFonts w:hint="default" w:asciiTheme="minorEastAsia" w:hAnsiTheme="minorEastAsia" w:eastAsiaTheme="minorEastAsia" w:cstheme="minorEastAsia"/>
                <w:color w:val="auto"/>
                <w:sz w:val="21"/>
                <w:szCs w:val="21"/>
                <w:highlight w:val="none"/>
              </w:rPr>
              <w:t>第</w:t>
            </w:r>
            <w:r>
              <w:rPr>
                <w:rFonts w:hint="eastAsia" w:asciiTheme="minorEastAsia" w:hAnsiTheme="minorEastAsia" w:eastAsiaTheme="minorEastAsia" w:cstheme="minorEastAsia"/>
                <w:color w:val="auto"/>
                <w:sz w:val="21"/>
                <w:szCs w:val="21"/>
                <w:highlight w:val="none"/>
              </w:rPr>
              <w:t>3.7.4</w:t>
            </w:r>
            <w:r>
              <w:rPr>
                <w:rFonts w:hint="default" w:asciiTheme="minorEastAsia" w:hAnsiTheme="minorEastAsia" w:eastAsiaTheme="minorEastAsia" w:cstheme="minorEastAsia"/>
                <w:color w:val="auto"/>
                <w:sz w:val="21"/>
                <w:szCs w:val="21"/>
                <w:highlight w:val="none"/>
              </w:rPr>
              <w:t>项规定。</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不适用</w:t>
            </w:r>
            <w:r>
              <w:rPr>
                <w:rFonts w:hint="eastAsia" w:asciiTheme="minorEastAsia" w:hAnsiTheme="minorEastAsia" w:eastAsiaTheme="minorEastAsia" w:cstheme="minorEastAsia"/>
                <w:color w:val="auto"/>
                <w:sz w:val="21"/>
                <w:szCs w:val="21"/>
                <w:highlight w:val="none"/>
                <w:lang w:eastAsia="zh-CN"/>
              </w:rPr>
              <w:t>）</w:t>
            </w:r>
          </w:p>
          <w:p>
            <w:pPr>
              <w:snapToGrid w:val="0"/>
              <w:spacing w:line="288" w:lineRule="auto"/>
              <w:jc w:val="both"/>
              <w:rPr>
                <w:rFonts w:hint="eastAsia" w:hAnsi="Calibri"/>
                <w:color w:val="auto"/>
                <w:sz w:val="24"/>
                <w:szCs w:val="24"/>
                <w:highlight w:val="none"/>
              </w:rPr>
            </w:pPr>
            <w:r>
              <w:rPr>
                <w:rFonts w:hint="eastAsia" w:asciiTheme="minorEastAsia" w:hAnsiTheme="minorEastAsia" w:eastAsiaTheme="minorEastAsia" w:cstheme="minorEastAsia"/>
                <w:b w:val="0"/>
                <w:color w:val="auto"/>
                <w:sz w:val="21"/>
                <w:szCs w:val="21"/>
                <w:highlight w:val="none"/>
                <w:lang w:eastAsia="zh-CN"/>
              </w:rPr>
              <w:t>（</w:t>
            </w:r>
            <w:r>
              <w:rPr>
                <w:rFonts w:hint="eastAsia" w:asciiTheme="minorEastAsia" w:hAnsiTheme="minorEastAsia" w:eastAsiaTheme="minorEastAsia" w:cstheme="minorEastAsia"/>
                <w:b w:val="0"/>
                <w:color w:val="auto"/>
                <w:sz w:val="21"/>
                <w:szCs w:val="21"/>
                <w:highlight w:val="none"/>
                <w:lang w:val="en-US" w:eastAsia="zh-CN"/>
              </w:rPr>
              <w:t>7）投标人在开标记录表中确认的来自投标人自行填写进“电子交易平台”中开标信息板块中的投标总报价与投标函中的投标总报价大写金额一致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atLeast"/>
        </w:trPr>
        <w:tc>
          <w:tcPr>
            <w:tcW w:w="958"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2.1.2</w:t>
            </w:r>
          </w:p>
        </w:tc>
        <w:tc>
          <w:tcPr>
            <w:tcW w:w="1360"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资格评审标准</w:t>
            </w:r>
          </w:p>
        </w:tc>
        <w:tc>
          <w:tcPr>
            <w:tcW w:w="6895" w:type="dxa"/>
            <w:gridSpan w:val="5"/>
            <w:vAlign w:val="center"/>
          </w:tcPr>
          <w:p>
            <w:pPr>
              <w:tabs>
                <w:tab w:val="left" w:pos="3060"/>
              </w:tabs>
              <w:spacing w:line="320" w:lineRule="exact"/>
              <w:ind w:firstLine="100" w:firstLineChars="48"/>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（1）投标人具备有效的营业执照、组织机构代码证、资质证书和基本账户开户许可证；</w:t>
            </w:r>
          </w:p>
          <w:p>
            <w:pPr>
              <w:tabs>
                <w:tab w:val="left" w:pos="3060"/>
              </w:tabs>
              <w:spacing w:line="320" w:lineRule="exact"/>
              <w:ind w:firstLine="100" w:firstLineChars="48"/>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（2）投标人的资质等级符合招标文件规定；</w:t>
            </w:r>
          </w:p>
          <w:p>
            <w:pPr>
              <w:tabs>
                <w:tab w:val="left" w:pos="3060"/>
              </w:tabs>
              <w:spacing w:line="320" w:lineRule="exact"/>
              <w:ind w:firstLine="100" w:firstLineChars="48"/>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（3）投标人的类似项目业绩符合招标文件规定；</w:t>
            </w:r>
          </w:p>
          <w:p>
            <w:pPr>
              <w:tabs>
                <w:tab w:val="left" w:pos="3060"/>
              </w:tabs>
              <w:spacing w:line="320" w:lineRule="exact"/>
              <w:ind w:firstLine="100" w:firstLineChars="48"/>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（4）投标人的信誉符合招标文件规定；</w:t>
            </w:r>
          </w:p>
          <w:p>
            <w:pPr>
              <w:tabs>
                <w:tab w:val="left" w:pos="3060"/>
              </w:tabs>
              <w:spacing w:line="320" w:lineRule="exact"/>
              <w:ind w:firstLine="100" w:firstLineChars="48"/>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（5）投标人的项目负责人资格符合招标文件规定； </w:t>
            </w:r>
          </w:p>
          <w:p>
            <w:pPr>
              <w:tabs>
                <w:tab w:val="left" w:pos="3060"/>
              </w:tabs>
              <w:spacing w:line="320" w:lineRule="exact"/>
              <w:ind w:firstLine="100" w:firstLineChars="48"/>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（6）投标人的其他要求符合招标文件规定；</w:t>
            </w:r>
          </w:p>
          <w:p>
            <w:pPr>
              <w:tabs>
                <w:tab w:val="left" w:pos="3060"/>
              </w:tabs>
              <w:spacing w:line="320" w:lineRule="exact"/>
              <w:ind w:firstLine="100" w:firstLineChars="48"/>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（7）投标人不存在第二章“投标人须知”第1.4.3项或第1.4.4项规定的任何一种情形。</w:t>
            </w:r>
          </w:p>
          <w:p>
            <w:pPr>
              <w:tabs>
                <w:tab w:val="left" w:pos="3060"/>
              </w:tabs>
              <w:spacing w:line="320" w:lineRule="exact"/>
              <w:ind w:firstLine="100" w:firstLineChars="48"/>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（8）投标人符合第二章“投标人须知”第1.4.5项规定。</w:t>
            </w:r>
          </w:p>
          <w:p>
            <w:pPr>
              <w:tabs>
                <w:tab w:val="left" w:pos="3060"/>
              </w:tabs>
              <w:snapToGrid/>
              <w:spacing w:line="320" w:lineRule="exact"/>
              <w:ind w:firstLine="100" w:firstLineChars="48"/>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lang w:val="en-US" w:eastAsia="zh-CN"/>
              </w:rPr>
              <w:t>（9）以联合体形式参与投标的，联合体各方均未再以自己名义单独或参加其他联合体在同一标段中投标；独立参与投标的，投标人未同时参加联合体在同一标段中投标。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2.2.1</w:t>
            </w:r>
          </w:p>
        </w:tc>
        <w:tc>
          <w:tcPr>
            <w:tcW w:w="1360"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分值构成</w:t>
            </w:r>
          </w:p>
        </w:tc>
        <w:tc>
          <w:tcPr>
            <w:tcW w:w="6895" w:type="dxa"/>
            <w:gridSpan w:val="5"/>
            <w:vAlign w:val="center"/>
          </w:tcPr>
          <w:p>
            <w:pPr>
              <w:snapToGrid w:val="0"/>
              <w:spacing w:line="288" w:lineRule="auto"/>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第一信封（商务及技术文件）评分分值构成：</w:t>
            </w:r>
          </w:p>
          <w:p>
            <w:pPr>
              <w:tabs>
                <w:tab w:val="left" w:pos="3060"/>
              </w:tabs>
              <w:kinsoku/>
              <w:overflowPunct/>
              <w:snapToGrid/>
              <w:spacing w:line="320" w:lineRule="exact"/>
              <w:ind w:right="0" w:righ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技术建议书：40分</w:t>
            </w:r>
          </w:p>
          <w:p>
            <w:pPr>
              <w:tabs>
                <w:tab w:val="left" w:pos="3060"/>
              </w:tabs>
              <w:kinsoku/>
              <w:overflowPunct/>
              <w:snapToGrid/>
              <w:spacing w:line="320" w:lineRule="exact"/>
              <w:ind w:right="0" w:righ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主要人员：1</w:t>
            </w: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分</w:t>
            </w:r>
          </w:p>
          <w:p>
            <w:pPr>
              <w:tabs>
                <w:tab w:val="left" w:pos="3060"/>
              </w:tabs>
              <w:kinsoku/>
              <w:overflowPunct/>
              <w:snapToGrid/>
              <w:spacing w:line="320" w:lineRule="exact"/>
              <w:ind w:right="0" w:righ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rPr>
              <w:t>数据分析及运维优惠条件承诺：8分</w:t>
            </w:r>
          </w:p>
          <w:p>
            <w:pPr>
              <w:tabs>
                <w:tab w:val="left" w:pos="3060"/>
              </w:tabs>
              <w:kinsoku/>
              <w:overflowPunct/>
              <w:snapToGrid/>
              <w:spacing w:line="320" w:lineRule="exact"/>
              <w:ind w:right="0" w:righ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    绩：3</w:t>
            </w:r>
            <w:r>
              <w:rPr>
                <w:rFonts w:hint="eastAsia" w:ascii="宋体" w:hAnsi="宋体" w:eastAsia="宋体" w:cs="宋体"/>
                <w:color w:val="auto"/>
                <w:sz w:val="21"/>
                <w:szCs w:val="21"/>
                <w:highlight w:val="none"/>
                <w:lang w:eastAsia="zh-CN"/>
              </w:rPr>
              <w:t>0</w:t>
            </w:r>
            <w:r>
              <w:rPr>
                <w:rFonts w:hint="eastAsia" w:ascii="宋体" w:hAnsi="宋体" w:eastAsia="宋体" w:cs="宋体"/>
                <w:color w:val="auto"/>
                <w:sz w:val="21"/>
                <w:szCs w:val="21"/>
                <w:highlight w:val="none"/>
              </w:rPr>
              <w:t>分</w:t>
            </w:r>
          </w:p>
          <w:p>
            <w:pPr>
              <w:snapToGrid w:val="0"/>
              <w:spacing w:line="288" w:lineRule="auto"/>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第二信封（报价文件）评分分值构成：</w:t>
            </w:r>
          </w:p>
          <w:p>
            <w:pPr>
              <w:snapToGrid w:val="0"/>
              <w:spacing w:line="288"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评标价：10分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pPr>
              <w:ind w:right="113"/>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2.2.2</w:t>
            </w:r>
          </w:p>
        </w:tc>
        <w:tc>
          <w:tcPr>
            <w:tcW w:w="1360" w:type="dxa"/>
            <w:vAlign w:val="center"/>
          </w:tcPr>
          <w:p>
            <w:pPr>
              <w:ind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评标基准价计算方法</w:t>
            </w:r>
          </w:p>
        </w:tc>
        <w:tc>
          <w:tcPr>
            <w:tcW w:w="6895" w:type="dxa"/>
            <w:gridSpan w:val="5"/>
            <w:vAlign w:val="center"/>
          </w:tcPr>
          <w:p>
            <w:pPr>
              <w:snapToGrid w:val="0"/>
              <w:spacing w:line="288" w:lineRule="auto"/>
              <w:ind w:firstLine="0"/>
              <w:jc w:val="both"/>
              <w:rPr>
                <w:rFonts w:hint="eastAsia" w:asciiTheme="minorEastAsia" w:hAnsiTheme="minorEastAsia" w:eastAsiaTheme="minorEastAsia" w:cstheme="minorEastAsia"/>
                <w:b w:val="0"/>
                <w:color w:val="auto"/>
                <w:kern w:val="0"/>
                <w:sz w:val="21"/>
                <w:szCs w:val="21"/>
                <w:highlight w:val="none"/>
              </w:rPr>
            </w:pPr>
            <w:r>
              <w:rPr>
                <w:rFonts w:hint="eastAsia" w:asciiTheme="minorEastAsia" w:hAnsiTheme="minorEastAsia" w:eastAsiaTheme="minorEastAsia" w:cstheme="minorEastAsia"/>
                <w:b w:val="0"/>
                <w:color w:val="auto"/>
                <w:kern w:val="0"/>
                <w:sz w:val="21"/>
                <w:szCs w:val="21"/>
                <w:highlight w:val="none"/>
              </w:rPr>
              <w:t xml:space="preserve">评标基准价的计算： </w:t>
            </w:r>
          </w:p>
          <w:p>
            <w:pPr>
              <w:snapToGrid w:val="0"/>
              <w:spacing w:line="288" w:lineRule="auto"/>
              <w:ind w:firstLine="0"/>
              <w:jc w:val="both"/>
              <w:rPr>
                <w:rFonts w:hint="eastAsia" w:asciiTheme="minorEastAsia" w:hAnsiTheme="minorEastAsia" w:eastAsiaTheme="minorEastAsia" w:cstheme="minorEastAsia"/>
                <w:b w:val="0"/>
                <w:color w:val="auto"/>
                <w:kern w:val="0"/>
                <w:sz w:val="21"/>
                <w:szCs w:val="21"/>
                <w:highlight w:val="none"/>
              </w:rPr>
            </w:pPr>
            <w:r>
              <w:rPr>
                <w:rFonts w:hint="eastAsia" w:asciiTheme="minorEastAsia" w:hAnsiTheme="minorEastAsia" w:eastAsiaTheme="minorEastAsia" w:cstheme="minorEastAsia"/>
                <w:b w:val="0"/>
                <w:color w:val="auto"/>
                <w:kern w:val="0"/>
                <w:sz w:val="21"/>
                <w:szCs w:val="21"/>
                <w:highlight w:val="none"/>
              </w:rPr>
              <w:t xml:space="preserve">（1）评标价的确定： </w:t>
            </w:r>
          </w:p>
          <w:p>
            <w:pPr>
              <w:snapToGrid w:val="0"/>
              <w:spacing w:line="288" w:lineRule="auto"/>
              <w:ind w:firstLine="0"/>
              <w:jc w:val="both"/>
              <w:rPr>
                <w:rFonts w:hint="eastAsia" w:asciiTheme="minorEastAsia" w:hAnsiTheme="minorEastAsia" w:eastAsiaTheme="minorEastAsia" w:cstheme="minorEastAsia"/>
                <w:b w:val="0"/>
                <w:color w:val="auto"/>
                <w:kern w:val="0"/>
                <w:sz w:val="21"/>
                <w:szCs w:val="21"/>
                <w:highlight w:val="none"/>
              </w:rPr>
            </w:pPr>
            <w:r>
              <w:rPr>
                <w:rFonts w:hint="eastAsia" w:asciiTheme="minorEastAsia" w:hAnsiTheme="minorEastAsia" w:eastAsiaTheme="minorEastAsia" w:cstheme="minorEastAsia"/>
                <w:b w:val="0"/>
                <w:color w:val="auto"/>
                <w:kern w:val="0"/>
                <w:sz w:val="21"/>
                <w:szCs w:val="21"/>
                <w:highlight w:val="none"/>
              </w:rPr>
              <w:t>评标价＝投标函文字报价</w:t>
            </w:r>
          </w:p>
          <w:p>
            <w:pPr>
              <w:snapToGrid w:val="0"/>
              <w:spacing w:line="288" w:lineRule="auto"/>
              <w:ind w:firstLine="0"/>
              <w:jc w:val="both"/>
              <w:rPr>
                <w:rFonts w:hint="eastAsia" w:asciiTheme="minorEastAsia" w:hAnsiTheme="minorEastAsia" w:eastAsiaTheme="minorEastAsia" w:cstheme="minorEastAsia"/>
                <w:b w:val="0"/>
                <w:color w:val="auto"/>
                <w:kern w:val="0"/>
                <w:sz w:val="21"/>
                <w:szCs w:val="21"/>
                <w:highlight w:val="none"/>
              </w:rPr>
            </w:pPr>
            <w:r>
              <w:rPr>
                <w:rFonts w:hint="eastAsia" w:asciiTheme="minorEastAsia" w:hAnsiTheme="minorEastAsia" w:eastAsiaTheme="minorEastAsia" w:cstheme="minorEastAsia"/>
                <w:b w:val="0"/>
                <w:color w:val="auto"/>
                <w:kern w:val="0"/>
                <w:sz w:val="21"/>
                <w:szCs w:val="21"/>
                <w:highlight w:val="none"/>
              </w:rPr>
              <w:t>（2）评标价</w:t>
            </w:r>
            <w:r>
              <w:rPr>
                <w:rFonts w:hint="eastAsia" w:asciiTheme="minorEastAsia" w:hAnsiTheme="minorEastAsia" w:eastAsiaTheme="minorEastAsia" w:cstheme="minorEastAsia"/>
                <w:color w:val="auto"/>
                <w:kern w:val="0"/>
                <w:sz w:val="21"/>
                <w:szCs w:val="21"/>
                <w:highlight w:val="none"/>
              </w:rPr>
              <w:t>基准价</w:t>
            </w:r>
            <w:r>
              <w:rPr>
                <w:rFonts w:hint="eastAsia" w:asciiTheme="minorEastAsia" w:hAnsiTheme="minorEastAsia" w:eastAsiaTheme="minorEastAsia" w:cstheme="minorEastAsia"/>
                <w:b w:val="0"/>
                <w:color w:val="auto"/>
                <w:kern w:val="0"/>
                <w:sz w:val="21"/>
                <w:szCs w:val="21"/>
                <w:highlight w:val="none"/>
              </w:rPr>
              <w:t>的计算</w:t>
            </w:r>
            <w:r>
              <w:rPr>
                <w:rFonts w:hint="eastAsia" w:asciiTheme="minorEastAsia" w:hAnsiTheme="minorEastAsia" w:eastAsiaTheme="minorEastAsia" w:cstheme="minorEastAsia"/>
                <w:color w:val="auto"/>
                <w:kern w:val="0"/>
                <w:sz w:val="21"/>
                <w:szCs w:val="21"/>
                <w:highlight w:val="none"/>
              </w:rPr>
              <w:t>方式</w:t>
            </w:r>
            <w:r>
              <w:rPr>
                <w:rFonts w:hint="eastAsia" w:asciiTheme="minorEastAsia" w:hAnsiTheme="minorEastAsia" w:eastAsiaTheme="minorEastAsia" w:cstheme="minorEastAsia"/>
                <w:b w:val="0"/>
                <w:color w:val="auto"/>
                <w:kern w:val="0"/>
                <w:sz w:val="21"/>
                <w:szCs w:val="21"/>
                <w:highlight w:val="none"/>
              </w:rPr>
              <w:t xml:space="preserve">： </w:t>
            </w:r>
          </w:p>
          <w:p>
            <w:pPr>
              <w:snapToGrid w:val="0"/>
              <w:spacing w:line="288" w:lineRule="auto"/>
              <w:ind w:firstLine="0" w:firstLineChar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color w:val="auto"/>
                <w:kern w:val="0"/>
                <w:sz w:val="21"/>
                <w:szCs w:val="21"/>
                <w:highlight w:val="none"/>
              </w:rPr>
              <w:t>满足招标文件要求且</w:t>
            </w:r>
            <w:r>
              <w:rPr>
                <w:rFonts w:hint="eastAsia" w:asciiTheme="minorEastAsia" w:hAnsiTheme="minorEastAsia" w:eastAsiaTheme="minorEastAsia" w:cstheme="minorEastAsia"/>
                <w:color w:val="auto"/>
                <w:kern w:val="0"/>
                <w:sz w:val="21"/>
                <w:szCs w:val="21"/>
                <w:highlight w:val="none"/>
              </w:rPr>
              <w:t>在</w:t>
            </w:r>
            <w:r>
              <w:rPr>
                <w:rFonts w:hint="eastAsia" w:asciiTheme="minorEastAsia" w:hAnsiTheme="minorEastAsia" w:eastAsiaTheme="minorEastAsia" w:cstheme="minorEastAsia"/>
                <w:b w:val="0"/>
                <w:color w:val="auto"/>
                <w:kern w:val="0"/>
                <w:sz w:val="21"/>
                <w:szCs w:val="21"/>
                <w:highlight w:val="none"/>
              </w:rPr>
              <w:t>最高投标限价</w:t>
            </w:r>
            <w:r>
              <w:rPr>
                <w:rFonts w:hint="eastAsia" w:asciiTheme="minorEastAsia" w:hAnsiTheme="minorEastAsia" w:eastAsiaTheme="minorEastAsia" w:cstheme="minorEastAsia"/>
                <w:color w:val="auto"/>
                <w:kern w:val="0"/>
                <w:sz w:val="21"/>
                <w:szCs w:val="21"/>
                <w:highlight w:val="none"/>
              </w:rPr>
              <w:t>90</w:t>
            </w:r>
            <w:r>
              <w:rPr>
                <w:rFonts w:hint="eastAsia" w:asciiTheme="minorEastAsia" w:hAnsiTheme="minorEastAsia" w:eastAsiaTheme="minorEastAsia" w:cstheme="minorEastAsia"/>
                <w:b w:val="0"/>
                <w:color w:val="auto"/>
                <w:kern w:val="0"/>
                <w:sz w:val="21"/>
                <w:szCs w:val="21"/>
                <w:highlight w:val="none"/>
              </w:rPr>
              <w:t>%～100%范围内的投标报价（投标函文字报价）</w:t>
            </w:r>
            <w:r>
              <w:rPr>
                <w:rFonts w:hint="eastAsia" w:asciiTheme="minorEastAsia" w:hAnsiTheme="minorEastAsia" w:eastAsiaTheme="minorEastAsia" w:cstheme="minorEastAsia"/>
                <w:color w:val="auto"/>
                <w:kern w:val="0"/>
                <w:sz w:val="21"/>
                <w:szCs w:val="21"/>
                <w:highlight w:val="none"/>
              </w:rPr>
              <w:t>作为有效报价</w:t>
            </w:r>
            <w:r>
              <w:rPr>
                <w:rFonts w:hint="eastAsia" w:asciiTheme="minorEastAsia" w:hAnsiTheme="minorEastAsia" w:eastAsiaTheme="minorEastAsia" w:cstheme="minorEastAsia"/>
                <w:b w:val="0"/>
                <w:color w:val="auto"/>
                <w:kern w:val="0"/>
                <w:sz w:val="21"/>
                <w:szCs w:val="21"/>
                <w:highlight w:val="none"/>
              </w:rPr>
              <w:t>参与评标基准价的计算，</w:t>
            </w:r>
            <w:r>
              <w:rPr>
                <w:rFonts w:hint="eastAsia" w:asciiTheme="minorEastAsia" w:hAnsiTheme="minorEastAsia" w:eastAsiaTheme="minorEastAsia" w:cstheme="minorEastAsia"/>
                <w:b/>
                <w:bCs/>
                <w:color w:val="auto"/>
                <w:kern w:val="0"/>
                <w:sz w:val="21"/>
                <w:szCs w:val="21"/>
                <w:highlight w:val="none"/>
              </w:rPr>
              <w:t>所有有效报价的平均值直接作为评标基准价。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pPr>
              <w:ind w:right="113"/>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2.2.3</w:t>
            </w:r>
          </w:p>
        </w:tc>
        <w:tc>
          <w:tcPr>
            <w:tcW w:w="1360" w:type="dxa"/>
            <w:vAlign w:val="center"/>
          </w:tcPr>
          <w:p>
            <w:pPr>
              <w:ind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评标价的偏差率计算公式</w:t>
            </w:r>
          </w:p>
        </w:tc>
        <w:tc>
          <w:tcPr>
            <w:tcW w:w="6895" w:type="dxa"/>
            <w:gridSpan w:val="5"/>
            <w:vAlign w:val="center"/>
          </w:tcPr>
          <w:p>
            <w:pPr>
              <w:snapToGrid w:val="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偏差率=100%×（投标人评标价-评标基准价）/评标基准价</w:t>
            </w:r>
          </w:p>
          <w:p>
            <w:pPr>
              <w:snapToGrid w:val="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偏差率保留</w:t>
            </w:r>
            <w:r>
              <w:rPr>
                <w:rFonts w:hint="eastAsia" w:asciiTheme="minorEastAsia" w:hAnsiTheme="minorEastAsia" w:eastAsiaTheme="minorEastAsia" w:cstheme="minorEastAsia"/>
                <w:color w:val="auto"/>
                <w:sz w:val="21"/>
                <w:szCs w:val="21"/>
                <w:highlight w:val="none"/>
                <w:u w:val="single"/>
              </w:rPr>
              <w:t xml:space="preserve"> 2 </w:t>
            </w:r>
            <w:r>
              <w:rPr>
                <w:rFonts w:hint="eastAsia" w:asciiTheme="minorEastAsia" w:hAnsiTheme="minorEastAsia" w:eastAsiaTheme="minorEastAsia" w:cstheme="minorEastAsia"/>
                <w:color w:val="auto"/>
                <w:sz w:val="21"/>
                <w:szCs w:val="21"/>
                <w:highlight w:val="none"/>
              </w:rPr>
              <w:t>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58" w:type="dxa"/>
            <w:vMerge w:val="restart"/>
            <w:vAlign w:val="center"/>
          </w:tcPr>
          <w:p>
            <w:pPr>
              <w:spacing w:line="276" w:lineRule="auto"/>
              <w:jc w:val="center"/>
              <w:rPr>
                <w:rFonts w:ascii="宋体" w:hAnsi="宋体"/>
                <w:b/>
                <w:bCs/>
                <w:color w:val="auto"/>
                <w:kern w:val="0"/>
                <w:szCs w:val="24"/>
                <w:highlight w:val="none"/>
              </w:rPr>
            </w:pPr>
            <w:r>
              <w:rPr>
                <w:rFonts w:ascii="宋体" w:hAnsi="宋体"/>
                <w:b/>
                <w:bCs/>
                <w:color w:val="auto"/>
                <w:kern w:val="0"/>
                <w:szCs w:val="24"/>
                <w:highlight w:val="none"/>
              </w:rPr>
              <w:t>条款号</w:t>
            </w:r>
          </w:p>
        </w:tc>
        <w:tc>
          <w:tcPr>
            <w:tcW w:w="5905" w:type="dxa"/>
            <w:gridSpan w:val="5"/>
            <w:vAlign w:val="center"/>
          </w:tcPr>
          <w:p>
            <w:pPr>
              <w:spacing w:line="276" w:lineRule="auto"/>
              <w:jc w:val="center"/>
              <w:rPr>
                <w:rFonts w:ascii="宋体" w:hAnsi="宋体"/>
                <w:b/>
                <w:bCs/>
                <w:color w:val="auto"/>
                <w:kern w:val="0"/>
                <w:szCs w:val="24"/>
                <w:highlight w:val="none"/>
              </w:rPr>
            </w:pPr>
            <w:r>
              <w:rPr>
                <w:rFonts w:ascii="宋体" w:hAnsi="宋体"/>
                <w:b/>
                <w:bCs/>
                <w:color w:val="auto"/>
                <w:kern w:val="0"/>
                <w:szCs w:val="24"/>
                <w:highlight w:val="none"/>
              </w:rPr>
              <w:t>评分因素与权重分值</w:t>
            </w:r>
          </w:p>
        </w:tc>
        <w:tc>
          <w:tcPr>
            <w:tcW w:w="2350" w:type="dxa"/>
            <w:vMerge w:val="restart"/>
            <w:vAlign w:val="center"/>
          </w:tcPr>
          <w:p>
            <w:pPr>
              <w:spacing w:line="276" w:lineRule="auto"/>
              <w:jc w:val="center"/>
              <w:rPr>
                <w:rFonts w:ascii="宋体" w:hAnsi="宋体"/>
                <w:b/>
                <w:bCs/>
                <w:color w:val="auto"/>
                <w:kern w:val="0"/>
                <w:szCs w:val="24"/>
                <w:highlight w:val="none"/>
              </w:rPr>
            </w:pPr>
            <w:r>
              <w:rPr>
                <w:rFonts w:ascii="宋体" w:hAnsi="宋体"/>
                <w:b/>
                <w:bCs/>
                <w:color w:val="auto"/>
                <w:kern w:val="0"/>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continue"/>
            <w:vAlign w:val="center"/>
          </w:tcPr>
          <w:p>
            <w:pPr>
              <w:spacing w:line="276" w:lineRule="auto"/>
              <w:jc w:val="center"/>
              <w:rPr>
                <w:rFonts w:ascii="宋体" w:hAnsi="宋体"/>
                <w:b/>
                <w:bCs/>
                <w:color w:val="auto"/>
                <w:kern w:val="0"/>
                <w:szCs w:val="24"/>
                <w:highlight w:val="none"/>
              </w:rPr>
            </w:pPr>
          </w:p>
        </w:tc>
        <w:tc>
          <w:tcPr>
            <w:tcW w:w="1360" w:type="dxa"/>
            <w:vAlign w:val="center"/>
          </w:tcPr>
          <w:p>
            <w:pPr>
              <w:spacing w:line="276" w:lineRule="auto"/>
              <w:jc w:val="center"/>
              <w:rPr>
                <w:rFonts w:ascii="宋体" w:hAnsi="宋体"/>
                <w:b/>
                <w:bCs/>
                <w:color w:val="auto"/>
                <w:kern w:val="0"/>
                <w:szCs w:val="24"/>
                <w:highlight w:val="none"/>
              </w:rPr>
            </w:pPr>
            <w:r>
              <w:rPr>
                <w:rFonts w:ascii="宋体" w:hAnsi="宋体"/>
                <w:b/>
                <w:bCs/>
                <w:color w:val="auto"/>
                <w:kern w:val="0"/>
                <w:szCs w:val="24"/>
                <w:highlight w:val="none"/>
              </w:rPr>
              <w:t>评分因素</w:t>
            </w:r>
          </w:p>
        </w:tc>
        <w:tc>
          <w:tcPr>
            <w:tcW w:w="1640" w:type="dxa"/>
            <w:gridSpan w:val="2"/>
            <w:vAlign w:val="center"/>
          </w:tcPr>
          <w:p>
            <w:pPr>
              <w:spacing w:line="276" w:lineRule="auto"/>
              <w:jc w:val="center"/>
              <w:rPr>
                <w:rFonts w:ascii="宋体" w:hAnsi="宋体"/>
                <w:b/>
                <w:bCs/>
                <w:color w:val="auto"/>
                <w:kern w:val="0"/>
                <w:szCs w:val="24"/>
                <w:highlight w:val="none"/>
              </w:rPr>
            </w:pPr>
            <w:r>
              <w:rPr>
                <w:rFonts w:ascii="宋体" w:hAnsi="宋体"/>
                <w:b/>
                <w:bCs/>
                <w:color w:val="auto"/>
                <w:kern w:val="0"/>
                <w:szCs w:val="24"/>
                <w:highlight w:val="none"/>
              </w:rPr>
              <w:t>评分因素权重分值</w:t>
            </w:r>
          </w:p>
        </w:tc>
        <w:tc>
          <w:tcPr>
            <w:tcW w:w="2111" w:type="dxa"/>
            <w:vAlign w:val="center"/>
          </w:tcPr>
          <w:p>
            <w:pPr>
              <w:spacing w:line="276" w:lineRule="auto"/>
              <w:jc w:val="center"/>
              <w:rPr>
                <w:rFonts w:ascii="宋体" w:hAnsi="宋体"/>
                <w:b/>
                <w:bCs/>
                <w:color w:val="auto"/>
                <w:kern w:val="0"/>
                <w:szCs w:val="24"/>
                <w:highlight w:val="none"/>
              </w:rPr>
            </w:pPr>
            <w:r>
              <w:rPr>
                <w:rFonts w:ascii="宋体" w:hAnsi="宋体"/>
                <w:b/>
                <w:bCs/>
                <w:color w:val="auto"/>
                <w:kern w:val="0"/>
                <w:szCs w:val="24"/>
                <w:highlight w:val="none"/>
              </w:rPr>
              <w:t>各评分因素</w:t>
            </w:r>
          </w:p>
          <w:p>
            <w:pPr>
              <w:spacing w:line="276" w:lineRule="auto"/>
              <w:jc w:val="center"/>
              <w:rPr>
                <w:rFonts w:ascii="宋体" w:hAnsi="宋体"/>
                <w:b/>
                <w:bCs/>
                <w:color w:val="auto"/>
                <w:kern w:val="0"/>
                <w:szCs w:val="24"/>
                <w:highlight w:val="none"/>
              </w:rPr>
            </w:pPr>
            <w:r>
              <w:rPr>
                <w:rFonts w:ascii="宋体" w:hAnsi="宋体"/>
                <w:b/>
                <w:bCs/>
                <w:color w:val="auto"/>
                <w:kern w:val="0"/>
                <w:szCs w:val="24"/>
                <w:highlight w:val="none"/>
              </w:rPr>
              <w:t>细分项</w:t>
            </w:r>
          </w:p>
        </w:tc>
        <w:tc>
          <w:tcPr>
            <w:tcW w:w="794" w:type="dxa"/>
            <w:vAlign w:val="center"/>
          </w:tcPr>
          <w:p>
            <w:pPr>
              <w:spacing w:line="276" w:lineRule="auto"/>
              <w:jc w:val="center"/>
              <w:rPr>
                <w:rFonts w:ascii="宋体" w:hAnsi="宋体"/>
                <w:b/>
                <w:bCs/>
                <w:color w:val="auto"/>
                <w:kern w:val="0"/>
                <w:szCs w:val="24"/>
                <w:highlight w:val="none"/>
              </w:rPr>
            </w:pPr>
            <w:r>
              <w:rPr>
                <w:rFonts w:ascii="宋体" w:hAnsi="宋体"/>
                <w:b/>
                <w:bCs/>
                <w:color w:val="auto"/>
                <w:kern w:val="0"/>
                <w:szCs w:val="24"/>
                <w:highlight w:val="none"/>
              </w:rPr>
              <w:t>分值</w:t>
            </w:r>
          </w:p>
        </w:tc>
        <w:tc>
          <w:tcPr>
            <w:tcW w:w="2350" w:type="dxa"/>
            <w:vMerge w:val="continue"/>
            <w:vAlign w:val="center"/>
          </w:tcPr>
          <w:p>
            <w:pPr>
              <w:spacing w:line="276" w:lineRule="auto"/>
              <w:jc w:val="center"/>
              <w:rPr>
                <w:rFonts w:ascii="宋体" w:hAnsi="宋体"/>
                <w:b/>
                <w:bCs/>
                <w:color w:val="auto"/>
                <w:kern w:val="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958" w:type="dxa"/>
            <w:vMerge w:val="restart"/>
            <w:vAlign w:val="center"/>
          </w:tcPr>
          <w:p>
            <w:pPr>
              <w:spacing w:line="276" w:lineRule="auto"/>
              <w:ind w:left="-90" w:leftChars="-45" w:right="-90" w:rightChars="-45"/>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2.2.4</w:t>
            </w:r>
          </w:p>
          <w:p>
            <w:pPr>
              <w:spacing w:line="276" w:lineRule="auto"/>
              <w:ind w:left="-90" w:leftChars="-45" w:right="-90" w:rightChars="-45"/>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p>
        </w:tc>
        <w:tc>
          <w:tcPr>
            <w:tcW w:w="1360" w:type="dxa"/>
            <w:vMerge w:val="restart"/>
            <w:vAlign w:val="center"/>
          </w:tcPr>
          <w:p>
            <w:pPr>
              <w:spacing w:line="276" w:lineRule="auto"/>
              <w:ind w:left="-90" w:leftChars="-45"/>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技术建议书</w:t>
            </w:r>
          </w:p>
        </w:tc>
        <w:tc>
          <w:tcPr>
            <w:tcW w:w="1640" w:type="dxa"/>
            <w:gridSpan w:val="2"/>
            <w:vMerge w:val="restart"/>
            <w:vAlign w:val="center"/>
          </w:tcPr>
          <w:p>
            <w:pPr>
              <w:spacing w:line="276" w:lineRule="auto"/>
              <w:ind w:left="-32" w:leftChars="-16" w:right="-90" w:rightChars="-45"/>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40分</w:t>
            </w:r>
          </w:p>
        </w:tc>
        <w:tc>
          <w:tcPr>
            <w:tcW w:w="2111" w:type="dxa"/>
            <w:vAlign w:val="center"/>
          </w:tcPr>
          <w:p>
            <w:pPr>
              <w:pStyle w:val="9"/>
              <w:spacing w:line="288" w:lineRule="auto"/>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sz w:val="21"/>
                <w:szCs w:val="21"/>
                <w:highlight w:val="none"/>
              </w:rPr>
              <w:t>系统设计</w:t>
            </w:r>
          </w:p>
        </w:tc>
        <w:tc>
          <w:tcPr>
            <w:tcW w:w="794" w:type="dxa"/>
            <w:vAlign w:val="center"/>
          </w:tcPr>
          <w:p>
            <w:pPr>
              <w:snapToGrid w:val="0"/>
              <w:spacing w:line="288"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c>
          <w:tcPr>
            <w:tcW w:w="2350" w:type="dxa"/>
            <w:vMerge w:val="restart"/>
            <w:vAlign w:val="center"/>
          </w:tcPr>
          <w:p>
            <w:pPr>
              <w:pStyle w:val="5"/>
              <w:spacing w:line="288" w:lineRule="auto"/>
              <w:jc w:val="both"/>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均按4个等级评定：“很好”计90%～100%，“较好”计80～90%，“一般”计70%～80%，“较差但可行”计60%～70%，评标委员会成员对各项因素的评分一般不得低于招标文件规定该因素满分值的60%，低于满分值60%的，评标委员会成员应当在评标报告中作出说明。评标委员会对此将作为细微偏差对投标人技术建议书予以适当扣分。</w:t>
            </w:r>
          </w:p>
          <w:p>
            <w:pPr>
              <w:pStyle w:val="5"/>
              <w:spacing w:line="288" w:lineRule="auto"/>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0"/>
                <w:sz w:val="21"/>
                <w:szCs w:val="21"/>
                <w:highlight w:val="none"/>
              </w:rPr>
              <w:t>本项目由评标委员会按照上述规定，独立评分并签名，各项目以专家打分的平均值确定（当评标委员会成员为5人时该平均值以各成员打分的算术平均值确定；当评标委员会成员为7人及以上时，该平均值以去掉一个最高分和一个最低分后的平均值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958" w:type="dxa"/>
            <w:vMerge w:val="continue"/>
          </w:tcPr>
          <w:p>
            <w:pPr>
              <w:spacing w:line="276" w:lineRule="auto"/>
              <w:jc w:val="center"/>
              <w:rPr>
                <w:rFonts w:hint="eastAsia" w:asciiTheme="minorEastAsia" w:hAnsiTheme="minorEastAsia" w:eastAsiaTheme="minorEastAsia" w:cstheme="minorEastAsia"/>
                <w:color w:val="auto"/>
                <w:kern w:val="0"/>
                <w:sz w:val="21"/>
                <w:szCs w:val="21"/>
                <w:highlight w:val="none"/>
              </w:rPr>
            </w:pPr>
          </w:p>
        </w:tc>
        <w:tc>
          <w:tcPr>
            <w:tcW w:w="1360" w:type="dxa"/>
            <w:vMerge w:val="continue"/>
          </w:tcPr>
          <w:p>
            <w:pPr>
              <w:spacing w:line="276" w:lineRule="auto"/>
              <w:jc w:val="center"/>
              <w:rPr>
                <w:rFonts w:hint="eastAsia" w:asciiTheme="minorEastAsia" w:hAnsiTheme="minorEastAsia" w:eastAsiaTheme="minorEastAsia" w:cstheme="minorEastAsia"/>
                <w:color w:val="auto"/>
                <w:kern w:val="0"/>
                <w:sz w:val="21"/>
                <w:szCs w:val="21"/>
                <w:highlight w:val="none"/>
              </w:rPr>
            </w:pPr>
          </w:p>
        </w:tc>
        <w:tc>
          <w:tcPr>
            <w:tcW w:w="1640" w:type="dxa"/>
            <w:gridSpan w:val="2"/>
            <w:vMerge w:val="continue"/>
          </w:tcPr>
          <w:p>
            <w:pPr>
              <w:spacing w:line="276" w:lineRule="auto"/>
              <w:jc w:val="center"/>
              <w:rPr>
                <w:rFonts w:hint="eastAsia" w:asciiTheme="minorEastAsia" w:hAnsiTheme="minorEastAsia" w:eastAsiaTheme="minorEastAsia" w:cstheme="minorEastAsia"/>
                <w:color w:val="auto"/>
                <w:kern w:val="0"/>
                <w:sz w:val="21"/>
                <w:szCs w:val="21"/>
                <w:highlight w:val="none"/>
              </w:rPr>
            </w:pPr>
          </w:p>
        </w:tc>
        <w:tc>
          <w:tcPr>
            <w:tcW w:w="2111" w:type="dxa"/>
            <w:vAlign w:val="center"/>
          </w:tcPr>
          <w:p>
            <w:pPr>
              <w:pStyle w:val="9"/>
              <w:spacing w:line="288" w:lineRule="auto"/>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sz w:val="21"/>
                <w:szCs w:val="21"/>
                <w:highlight w:val="none"/>
              </w:rPr>
              <w:t>系统实施</w:t>
            </w:r>
          </w:p>
        </w:tc>
        <w:tc>
          <w:tcPr>
            <w:tcW w:w="794" w:type="dxa"/>
            <w:vAlign w:val="center"/>
          </w:tcPr>
          <w:p>
            <w:pPr>
              <w:snapToGrid w:val="0"/>
              <w:spacing w:line="288"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c>
          <w:tcPr>
            <w:tcW w:w="2350" w:type="dxa"/>
            <w:vMerge w:val="continue"/>
            <w:vAlign w:val="center"/>
          </w:tcPr>
          <w:p>
            <w:pPr>
              <w:spacing w:line="288" w:lineRule="auto"/>
              <w:ind w:right="-86" w:rightChars="-43"/>
              <w:jc w:val="left"/>
              <w:rPr>
                <w:rFonts w:hint="eastAsia" w:asciiTheme="minorEastAsia" w:hAnsiTheme="minorEastAsia" w:eastAsiaTheme="minorEastAsia" w:cstheme="minor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958" w:type="dxa"/>
            <w:vMerge w:val="continue"/>
          </w:tcPr>
          <w:p>
            <w:pPr>
              <w:spacing w:line="276" w:lineRule="auto"/>
              <w:jc w:val="center"/>
              <w:rPr>
                <w:rFonts w:hint="eastAsia" w:asciiTheme="minorEastAsia" w:hAnsiTheme="minorEastAsia" w:eastAsiaTheme="minorEastAsia" w:cstheme="minorEastAsia"/>
                <w:color w:val="auto"/>
                <w:kern w:val="0"/>
                <w:sz w:val="21"/>
                <w:szCs w:val="21"/>
                <w:highlight w:val="none"/>
              </w:rPr>
            </w:pPr>
          </w:p>
        </w:tc>
        <w:tc>
          <w:tcPr>
            <w:tcW w:w="1360" w:type="dxa"/>
            <w:vMerge w:val="continue"/>
          </w:tcPr>
          <w:p>
            <w:pPr>
              <w:spacing w:line="276" w:lineRule="auto"/>
              <w:jc w:val="center"/>
              <w:rPr>
                <w:rFonts w:hint="eastAsia" w:asciiTheme="minorEastAsia" w:hAnsiTheme="minorEastAsia" w:eastAsiaTheme="minorEastAsia" w:cstheme="minorEastAsia"/>
                <w:color w:val="auto"/>
                <w:kern w:val="0"/>
                <w:sz w:val="21"/>
                <w:szCs w:val="21"/>
                <w:highlight w:val="none"/>
              </w:rPr>
            </w:pPr>
          </w:p>
        </w:tc>
        <w:tc>
          <w:tcPr>
            <w:tcW w:w="1640" w:type="dxa"/>
            <w:gridSpan w:val="2"/>
            <w:vMerge w:val="continue"/>
          </w:tcPr>
          <w:p>
            <w:pPr>
              <w:spacing w:line="276" w:lineRule="auto"/>
              <w:jc w:val="center"/>
              <w:rPr>
                <w:rFonts w:hint="eastAsia" w:asciiTheme="minorEastAsia" w:hAnsiTheme="minorEastAsia" w:eastAsiaTheme="minorEastAsia" w:cstheme="minorEastAsia"/>
                <w:color w:val="auto"/>
                <w:kern w:val="0"/>
                <w:sz w:val="21"/>
                <w:szCs w:val="21"/>
                <w:highlight w:val="none"/>
              </w:rPr>
            </w:pPr>
          </w:p>
        </w:tc>
        <w:tc>
          <w:tcPr>
            <w:tcW w:w="2111" w:type="dxa"/>
            <w:vAlign w:val="center"/>
          </w:tcPr>
          <w:p>
            <w:pPr>
              <w:pStyle w:val="9"/>
              <w:spacing w:line="288" w:lineRule="auto"/>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sz w:val="21"/>
                <w:szCs w:val="21"/>
                <w:highlight w:val="none"/>
              </w:rPr>
              <w:t>系统运维及数据分析</w:t>
            </w:r>
          </w:p>
        </w:tc>
        <w:tc>
          <w:tcPr>
            <w:tcW w:w="794" w:type="dxa"/>
            <w:vAlign w:val="center"/>
          </w:tcPr>
          <w:p>
            <w:pPr>
              <w:snapToGrid w:val="0"/>
              <w:spacing w:line="288"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c>
          <w:tcPr>
            <w:tcW w:w="2350" w:type="dxa"/>
            <w:vMerge w:val="continue"/>
            <w:vAlign w:val="center"/>
          </w:tcPr>
          <w:p>
            <w:pPr>
              <w:spacing w:line="288" w:lineRule="auto"/>
              <w:ind w:left="-66" w:leftChars="-33" w:right="-86" w:rightChars="-43"/>
              <w:jc w:val="left"/>
              <w:rPr>
                <w:rFonts w:hint="eastAsia" w:asciiTheme="minorEastAsia" w:hAnsiTheme="minorEastAsia" w:eastAsiaTheme="minorEastAsia" w:cstheme="minor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958" w:type="dxa"/>
            <w:vMerge w:val="continue"/>
          </w:tcPr>
          <w:p>
            <w:pPr>
              <w:spacing w:line="276" w:lineRule="auto"/>
              <w:jc w:val="center"/>
              <w:rPr>
                <w:rFonts w:hint="eastAsia" w:asciiTheme="minorEastAsia" w:hAnsiTheme="minorEastAsia" w:eastAsiaTheme="minorEastAsia" w:cstheme="minorEastAsia"/>
                <w:color w:val="auto"/>
                <w:kern w:val="0"/>
                <w:sz w:val="21"/>
                <w:szCs w:val="21"/>
                <w:highlight w:val="none"/>
              </w:rPr>
            </w:pPr>
          </w:p>
        </w:tc>
        <w:tc>
          <w:tcPr>
            <w:tcW w:w="1360" w:type="dxa"/>
            <w:vMerge w:val="continue"/>
          </w:tcPr>
          <w:p>
            <w:pPr>
              <w:spacing w:line="276" w:lineRule="auto"/>
              <w:jc w:val="center"/>
              <w:rPr>
                <w:rFonts w:hint="eastAsia" w:asciiTheme="minorEastAsia" w:hAnsiTheme="minorEastAsia" w:eastAsiaTheme="minorEastAsia" w:cstheme="minorEastAsia"/>
                <w:color w:val="auto"/>
                <w:kern w:val="0"/>
                <w:sz w:val="21"/>
                <w:szCs w:val="21"/>
                <w:highlight w:val="none"/>
              </w:rPr>
            </w:pPr>
          </w:p>
        </w:tc>
        <w:tc>
          <w:tcPr>
            <w:tcW w:w="1640" w:type="dxa"/>
            <w:gridSpan w:val="2"/>
            <w:vMerge w:val="continue"/>
          </w:tcPr>
          <w:p>
            <w:pPr>
              <w:spacing w:line="276" w:lineRule="auto"/>
              <w:jc w:val="center"/>
              <w:rPr>
                <w:rFonts w:hint="eastAsia" w:asciiTheme="minorEastAsia" w:hAnsiTheme="minorEastAsia" w:eastAsiaTheme="minorEastAsia" w:cstheme="minorEastAsia"/>
                <w:color w:val="auto"/>
                <w:kern w:val="0"/>
                <w:sz w:val="21"/>
                <w:szCs w:val="21"/>
                <w:highlight w:val="none"/>
              </w:rPr>
            </w:pPr>
          </w:p>
        </w:tc>
        <w:tc>
          <w:tcPr>
            <w:tcW w:w="2111" w:type="dxa"/>
            <w:vAlign w:val="center"/>
          </w:tcPr>
          <w:p>
            <w:pPr>
              <w:pStyle w:val="9"/>
              <w:spacing w:line="288" w:lineRule="auto"/>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sz w:val="21"/>
                <w:szCs w:val="21"/>
                <w:highlight w:val="none"/>
              </w:rPr>
              <w:t>项目进度、质量、安全保障措施</w:t>
            </w:r>
          </w:p>
        </w:tc>
        <w:tc>
          <w:tcPr>
            <w:tcW w:w="794" w:type="dxa"/>
            <w:vAlign w:val="center"/>
          </w:tcPr>
          <w:p>
            <w:pPr>
              <w:snapToGrid w:val="0"/>
              <w:spacing w:line="288"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2350" w:type="dxa"/>
            <w:vMerge w:val="continue"/>
            <w:vAlign w:val="center"/>
          </w:tcPr>
          <w:p>
            <w:pPr>
              <w:spacing w:line="288" w:lineRule="auto"/>
              <w:rPr>
                <w:rFonts w:hint="eastAsia" w:asciiTheme="minorEastAsia" w:hAnsiTheme="minorEastAsia" w:eastAsiaTheme="minorEastAsia" w:cstheme="minor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continue"/>
          </w:tcPr>
          <w:p>
            <w:pPr>
              <w:spacing w:line="276" w:lineRule="auto"/>
              <w:jc w:val="center"/>
              <w:rPr>
                <w:rFonts w:hint="eastAsia" w:asciiTheme="minorEastAsia" w:hAnsiTheme="minorEastAsia" w:eastAsiaTheme="minorEastAsia" w:cstheme="minorEastAsia"/>
                <w:color w:val="auto"/>
                <w:kern w:val="0"/>
                <w:sz w:val="21"/>
                <w:szCs w:val="21"/>
                <w:highlight w:val="none"/>
              </w:rPr>
            </w:pPr>
          </w:p>
        </w:tc>
        <w:tc>
          <w:tcPr>
            <w:tcW w:w="1360" w:type="dxa"/>
            <w:vMerge w:val="continue"/>
          </w:tcPr>
          <w:p>
            <w:pPr>
              <w:spacing w:line="276" w:lineRule="auto"/>
              <w:jc w:val="center"/>
              <w:rPr>
                <w:rFonts w:hint="eastAsia" w:asciiTheme="minorEastAsia" w:hAnsiTheme="minorEastAsia" w:eastAsiaTheme="minorEastAsia" w:cstheme="minorEastAsia"/>
                <w:color w:val="auto"/>
                <w:kern w:val="0"/>
                <w:sz w:val="21"/>
                <w:szCs w:val="21"/>
                <w:highlight w:val="none"/>
              </w:rPr>
            </w:pPr>
          </w:p>
        </w:tc>
        <w:tc>
          <w:tcPr>
            <w:tcW w:w="1640" w:type="dxa"/>
            <w:gridSpan w:val="2"/>
            <w:vMerge w:val="continue"/>
          </w:tcPr>
          <w:p>
            <w:pPr>
              <w:spacing w:line="276" w:lineRule="auto"/>
              <w:jc w:val="center"/>
              <w:rPr>
                <w:rFonts w:hint="eastAsia" w:asciiTheme="minorEastAsia" w:hAnsiTheme="minorEastAsia" w:eastAsiaTheme="minorEastAsia" w:cstheme="minorEastAsia"/>
                <w:color w:val="auto"/>
                <w:kern w:val="0"/>
                <w:sz w:val="21"/>
                <w:szCs w:val="21"/>
                <w:highlight w:val="none"/>
              </w:rPr>
            </w:pPr>
          </w:p>
        </w:tc>
        <w:tc>
          <w:tcPr>
            <w:tcW w:w="2111" w:type="dxa"/>
            <w:vAlign w:val="center"/>
          </w:tcPr>
          <w:p>
            <w:pPr>
              <w:pStyle w:val="9"/>
              <w:spacing w:line="288"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本工程监测工作的重点与难点分析</w:t>
            </w:r>
          </w:p>
          <w:p>
            <w:pPr>
              <w:spacing w:line="288" w:lineRule="auto"/>
              <w:ind w:right="-86" w:rightChars="-43"/>
              <w:jc w:val="left"/>
              <w:rPr>
                <w:rFonts w:hint="eastAsia" w:asciiTheme="minorEastAsia" w:hAnsiTheme="minorEastAsia" w:eastAsiaTheme="minorEastAsia" w:cstheme="minorEastAsia"/>
                <w:color w:val="auto"/>
                <w:sz w:val="21"/>
                <w:szCs w:val="21"/>
                <w:highlight w:val="none"/>
              </w:rPr>
            </w:pPr>
          </w:p>
        </w:tc>
        <w:tc>
          <w:tcPr>
            <w:tcW w:w="794" w:type="dxa"/>
            <w:vAlign w:val="center"/>
          </w:tcPr>
          <w:p>
            <w:pPr>
              <w:spacing w:line="288" w:lineRule="auto"/>
              <w:ind w:right="-86" w:rightChars="-43"/>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2350" w:type="dxa"/>
            <w:vMerge w:val="continue"/>
            <w:vAlign w:val="center"/>
          </w:tcPr>
          <w:p>
            <w:pPr>
              <w:spacing w:line="288" w:lineRule="auto"/>
              <w:rPr>
                <w:rFonts w:hint="eastAsia" w:asciiTheme="minorEastAsia" w:hAnsiTheme="minorEastAsia" w:eastAsiaTheme="minorEastAsia" w:cstheme="minor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restart"/>
            <w:vAlign w:val="center"/>
          </w:tcPr>
          <w:p>
            <w:pPr>
              <w:spacing w:line="276"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2.2.4（2）</w:t>
            </w:r>
          </w:p>
        </w:tc>
        <w:tc>
          <w:tcPr>
            <w:tcW w:w="1360" w:type="dxa"/>
            <w:vMerge w:val="restart"/>
            <w:vAlign w:val="center"/>
          </w:tcPr>
          <w:p>
            <w:pPr>
              <w:spacing w:line="276"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主要人员</w:t>
            </w:r>
          </w:p>
        </w:tc>
        <w:tc>
          <w:tcPr>
            <w:tcW w:w="1640" w:type="dxa"/>
            <w:gridSpan w:val="2"/>
            <w:vMerge w:val="restart"/>
            <w:vAlign w:val="center"/>
          </w:tcPr>
          <w:p>
            <w:pPr>
              <w:spacing w:line="276"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eastAsia="zh-CN"/>
              </w:rPr>
              <w:t>2</w:t>
            </w:r>
            <w:r>
              <w:rPr>
                <w:rFonts w:hint="eastAsia" w:asciiTheme="minorEastAsia" w:hAnsiTheme="minorEastAsia" w:eastAsiaTheme="minorEastAsia" w:cstheme="minorEastAsia"/>
                <w:color w:val="auto"/>
                <w:kern w:val="0"/>
                <w:sz w:val="21"/>
                <w:szCs w:val="21"/>
                <w:highlight w:val="none"/>
              </w:rPr>
              <w:t>分</w:t>
            </w:r>
          </w:p>
        </w:tc>
        <w:tc>
          <w:tcPr>
            <w:tcW w:w="2111" w:type="dxa"/>
            <w:vAlign w:val="center"/>
          </w:tcPr>
          <w:p>
            <w:pPr>
              <w:spacing w:line="288" w:lineRule="auto"/>
              <w:ind w:left="-88" w:leftChars="-44" w:right="-90" w:rightChars="-45"/>
              <w:jc w:val="center"/>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项目负责人</w:t>
            </w:r>
          </w:p>
        </w:tc>
        <w:tc>
          <w:tcPr>
            <w:tcW w:w="794" w:type="dxa"/>
            <w:vAlign w:val="center"/>
          </w:tcPr>
          <w:p>
            <w:pPr>
              <w:pStyle w:val="6"/>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6</w:t>
            </w:r>
          </w:p>
        </w:tc>
        <w:tc>
          <w:tcPr>
            <w:tcW w:w="2350" w:type="dxa"/>
            <w:vAlign w:val="center"/>
          </w:tcPr>
          <w:p>
            <w:pPr>
              <w:pStyle w:val="5"/>
              <w:spacing w:line="288" w:lineRule="auto"/>
              <w:ind w:firstLine="0" w:firstLineChar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1.满足资格条件得4分，最高得4分。 </w:t>
            </w:r>
          </w:p>
          <w:p>
            <w:pPr>
              <w:pStyle w:val="5"/>
              <w:spacing w:line="288" w:lineRule="auto"/>
              <w:ind w:firstLine="0" w:firstLineChar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2.参与过一座公路特大桥梁结构健康监测（或桥梁结构安全监测）得 2分，最高得2分。 </w:t>
            </w:r>
          </w:p>
          <w:p>
            <w:pPr>
              <w:pStyle w:val="5"/>
              <w:spacing w:line="288" w:lineRule="auto"/>
              <w:ind w:firstLine="0" w:firstLineChar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需提供合同协议书及业主证明，上述证明能体现项目负责人参与过该项目。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continue"/>
            <w:vAlign w:val="center"/>
          </w:tcPr>
          <w:p>
            <w:pPr>
              <w:spacing w:line="276" w:lineRule="auto"/>
              <w:jc w:val="center"/>
              <w:rPr>
                <w:rFonts w:hint="eastAsia" w:asciiTheme="minorEastAsia" w:hAnsiTheme="minorEastAsia" w:eastAsiaTheme="minorEastAsia" w:cstheme="minorEastAsia"/>
                <w:color w:val="auto"/>
                <w:kern w:val="0"/>
                <w:sz w:val="21"/>
                <w:szCs w:val="21"/>
                <w:highlight w:val="none"/>
              </w:rPr>
            </w:pPr>
          </w:p>
        </w:tc>
        <w:tc>
          <w:tcPr>
            <w:tcW w:w="1360" w:type="dxa"/>
            <w:vMerge w:val="continue"/>
            <w:vAlign w:val="center"/>
          </w:tcPr>
          <w:p>
            <w:pPr>
              <w:spacing w:line="276" w:lineRule="auto"/>
              <w:jc w:val="center"/>
              <w:rPr>
                <w:rFonts w:hint="eastAsia" w:asciiTheme="minorEastAsia" w:hAnsiTheme="minorEastAsia" w:eastAsiaTheme="minorEastAsia" w:cstheme="minorEastAsia"/>
                <w:color w:val="auto"/>
                <w:kern w:val="0"/>
                <w:sz w:val="21"/>
                <w:szCs w:val="21"/>
                <w:highlight w:val="none"/>
              </w:rPr>
            </w:pPr>
          </w:p>
        </w:tc>
        <w:tc>
          <w:tcPr>
            <w:tcW w:w="1640" w:type="dxa"/>
            <w:gridSpan w:val="2"/>
            <w:vMerge w:val="continue"/>
            <w:vAlign w:val="center"/>
          </w:tcPr>
          <w:p>
            <w:pPr>
              <w:spacing w:line="276" w:lineRule="auto"/>
              <w:jc w:val="center"/>
              <w:rPr>
                <w:rFonts w:hint="eastAsia" w:asciiTheme="minorEastAsia" w:hAnsiTheme="minorEastAsia" w:eastAsiaTheme="minorEastAsia" w:cstheme="minorEastAsia"/>
                <w:color w:val="auto"/>
                <w:kern w:val="0"/>
                <w:sz w:val="21"/>
                <w:szCs w:val="21"/>
                <w:highlight w:val="none"/>
              </w:rPr>
            </w:pPr>
          </w:p>
        </w:tc>
        <w:tc>
          <w:tcPr>
            <w:tcW w:w="2111" w:type="dxa"/>
            <w:vAlign w:val="center"/>
          </w:tcPr>
          <w:p>
            <w:pPr>
              <w:spacing w:line="288" w:lineRule="auto"/>
              <w:ind w:left="-88" w:leftChars="-44" w:right="-90" w:rightChars="-45"/>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技术负责人</w:t>
            </w:r>
          </w:p>
        </w:tc>
        <w:tc>
          <w:tcPr>
            <w:tcW w:w="794" w:type="dxa"/>
            <w:vAlign w:val="center"/>
          </w:tcPr>
          <w:p>
            <w:pPr>
              <w:pStyle w:val="6"/>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6</w:t>
            </w:r>
          </w:p>
        </w:tc>
        <w:tc>
          <w:tcPr>
            <w:tcW w:w="2350" w:type="dxa"/>
            <w:vAlign w:val="center"/>
          </w:tcPr>
          <w:p>
            <w:pPr>
              <w:pStyle w:val="5"/>
              <w:spacing w:line="288" w:lineRule="auto"/>
              <w:ind w:firstLine="0" w:firstLineChars="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1.满足资格条件得4分，最高得4分。 </w:t>
            </w:r>
          </w:p>
          <w:p>
            <w:pPr>
              <w:pStyle w:val="5"/>
              <w:spacing w:line="288" w:lineRule="auto"/>
              <w:ind w:firstLine="0" w:firstLineChars="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2.参与过1座公路特大桥梁结构健康监测或桥梁结构安全监测项目得1分，每1位技术负责人只能得1分，此项最高得2分。 </w:t>
            </w:r>
          </w:p>
          <w:p>
            <w:pPr>
              <w:pStyle w:val="5"/>
              <w:spacing w:line="288" w:lineRule="auto"/>
              <w:ind w:firstLine="0" w:firstLineChars="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需提供合同协议书及业主证明，上述证明能体现技术负责人参与过该项目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pacing w:line="276"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2.2.4（3）</w:t>
            </w:r>
          </w:p>
        </w:tc>
        <w:tc>
          <w:tcPr>
            <w:tcW w:w="1360" w:type="dxa"/>
            <w:vAlign w:val="center"/>
          </w:tcPr>
          <w:p>
            <w:pPr>
              <w:spacing w:line="276"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评标价</w:t>
            </w:r>
          </w:p>
        </w:tc>
        <w:tc>
          <w:tcPr>
            <w:tcW w:w="1640" w:type="dxa"/>
            <w:gridSpan w:val="2"/>
            <w:vAlign w:val="center"/>
          </w:tcPr>
          <w:p>
            <w:pPr>
              <w:spacing w:line="276"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10分</w:t>
            </w:r>
          </w:p>
        </w:tc>
        <w:tc>
          <w:tcPr>
            <w:tcW w:w="5255" w:type="dxa"/>
            <w:gridSpan w:val="3"/>
            <w:vAlign w:val="center"/>
          </w:tcPr>
          <w:p>
            <w:pPr>
              <w:snapToGrid w:val="0"/>
              <w:spacing w:line="288"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（1）如果投标人的评标价＞评标基准价，则评标价得分F1=F-偏差率×100×E1。</w:t>
            </w:r>
          </w:p>
          <w:p>
            <w:pPr>
              <w:snapToGrid w:val="0"/>
              <w:spacing w:line="288"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（2）如果投标人的评标价≤评标基准价，则评标价得分F1=F+偏差率×100×E2。</w:t>
            </w:r>
          </w:p>
          <w:p>
            <w:pPr>
              <w:snapToGrid w:val="0"/>
              <w:spacing w:line="288" w:lineRule="auto"/>
              <w:ind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其中：F是评标价所占的权重分值，F=10；E1=0.2；E2=0.1。</w:t>
            </w:r>
          </w:p>
          <w:p>
            <w:pPr>
              <w:snapToGrid w:val="0"/>
              <w:spacing w:line="288" w:lineRule="auto"/>
              <w:ind w:right="96" w:rightChars="48"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（3）中间值按比例内插，四舍五入，保留2位小数。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restart"/>
            <w:vAlign w:val="center"/>
          </w:tcPr>
          <w:p>
            <w:pPr>
              <w:spacing w:line="276"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2.2.4（4）</w:t>
            </w:r>
          </w:p>
        </w:tc>
        <w:tc>
          <w:tcPr>
            <w:tcW w:w="1360" w:type="dxa"/>
            <w:vMerge w:val="restart"/>
            <w:vAlign w:val="center"/>
          </w:tcPr>
          <w:p>
            <w:pPr>
              <w:spacing w:line="276"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其他因素</w:t>
            </w:r>
          </w:p>
        </w:tc>
        <w:tc>
          <w:tcPr>
            <w:tcW w:w="820" w:type="dxa"/>
            <w:vAlign w:val="center"/>
          </w:tcPr>
          <w:p>
            <w:pPr>
              <w:spacing w:line="276"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业绩</w:t>
            </w:r>
          </w:p>
        </w:tc>
        <w:tc>
          <w:tcPr>
            <w:tcW w:w="820" w:type="dxa"/>
            <w:vAlign w:val="center"/>
          </w:tcPr>
          <w:p>
            <w:pPr>
              <w:spacing w:line="276"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eastAsia="zh-CN"/>
              </w:rPr>
              <w:t>0</w:t>
            </w:r>
          </w:p>
        </w:tc>
        <w:tc>
          <w:tcPr>
            <w:tcW w:w="5255" w:type="dxa"/>
            <w:gridSpan w:val="3"/>
            <w:vAlign w:val="center"/>
          </w:tcPr>
          <w:p>
            <w:pPr>
              <w:snapToGrid w:val="0"/>
              <w:spacing w:line="288"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1. 投标人近三年（2019 年 1 月 1 日至投标截止日止）承担过1座公路桥梁结构健康监测（或桥梁结构安全监测）项目（需至少包括①连续刚构（主跨跨径≥160m）；②斜拉桥（主跨跨径≥300m）；③上承式钢管混凝土拱桥（主跨跨径≥300m）；④悬索桥（主跨跨径≥500m））每一座桥梁得 2 分，最高得 10 分（以签订的合同时间及数量计） </w:t>
            </w:r>
          </w:p>
          <w:p>
            <w:pPr>
              <w:snapToGrid w:val="0"/>
              <w:spacing w:line="288"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2. 投标人近三年（2019 年 1 月 1 日至投标截止日止）承担过 1 座公路桥梁主跨跨径 1000 米及以上特大桥桥梁结构健康监测（或桥梁结构安全监测）项目得 5 分，最高得 5 分；（不能与第 1 项项目业绩重复） </w:t>
            </w:r>
          </w:p>
          <w:p>
            <w:pPr>
              <w:snapToGrid w:val="0"/>
              <w:spacing w:line="288"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3.投标人近三年（2019 年 1 月 1 日至投标截止日止）承接过交通运输部下发的公路长大桥梁结构健康监测系统建设试点项目一个得 2 分，最高 10 分。；（不能与第 1 、2项项目业绩重复）  </w:t>
            </w:r>
          </w:p>
          <w:p>
            <w:pPr>
              <w:snapToGrid w:val="0"/>
              <w:spacing w:line="288"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4.投标人主编或参编桥梁结构监测现行国家标准（GB）或交通运输部行业标准（JT/T），每提供一项得 2 分，本项最多得 2 分。 </w:t>
            </w:r>
          </w:p>
          <w:p>
            <w:pPr>
              <w:snapToGrid w:val="0"/>
              <w:spacing w:line="288"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5.投标人近 5 年（2017 年 1 月 1 日至投标截止时间前一日）参加的桥梁监测相关的研究成果获得国务院颁发的国家科学技术进步奖二等奖及以上的，得 3 分，本项最多得 3 分。 </w:t>
            </w:r>
          </w:p>
          <w:p>
            <w:pPr>
              <w:snapToGrid w:val="0"/>
              <w:spacing w:line="288"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第 1、2 项业绩需提供合同协议书及业主证明，且上述证明材料能体现出桥梁类型、跨径和项目实施时间等。 </w:t>
            </w:r>
          </w:p>
          <w:p>
            <w:pPr>
              <w:snapToGrid w:val="0"/>
              <w:spacing w:line="288"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第 3 项业绩需提供合同协议书及业主证明、交通运输部关于作为公路长大桥梁结构健康监测系统建设试点项目的相关证明文件。 </w:t>
            </w:r>
          </w:p>
          <w:p>
            <w:pPr>
              <w:snapToGrid w:val="0"/>
              <w:spacing w:line="288"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第 4 项业绩需提供相应的证明文件，提供相应标准封面及能体现编制单位的页面复印件并加盖投标人公章。 </w:t>
            </w:r>
          </w:p>
          <w:p>
            <w:pPr>
              <w:snapToGrid w:val="0"/>
              <w:spacing w:line="288"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第 5 项业绩需提供获奖证书。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jc w:val="center"/>
        </w:trPr>
        <w:tc>
          <w:tcPr>
            <w:tcW w:w="958" w:type="dxa"/>
            <w:vMerge w:val="continue"/>
            <w:vAlign w:val="center"/>
          </w:tcPr>
          <w:p>
            <w:pPr>
              <w:spacing w:line="276" w:lineRule="auto"/>
              <w:jc w:val="center"/>
              <w:rPr>
                <w:rFonts w:hint="eastAsia" w:asciiTheme="minorEastAsia" w:hAnsiTheme="minorEastAsia" w:eastAsiaTheme="minorEastAsia" w:cstheme="minorEastAsia"/>
                <w:color w:val="auto"/>
                <w:kern w:val="0"/>
                <w:sz w:val="21"/>
                <w:szCs w:val="21"/>
                <w:highlight w:val="none"/>
              </w:rPr>
            </w:pPr>
          </w:p>
        </w:tc>
        <w:tc>
          <w:tcPr>
            <w:tcW w:w="1360" w:type="dxa"/>
            <w:vMerge w:val="continue"/>
            <w:vAlign w:val="center"/>
          </w:tcPr>
          <w:p>
            <w:pPr>
              <w:spacing w:line="276" w:lineRule="auto"/>
              <w:jc w:val="center"/>
              <w:rPr>
                <w:rFonts w:hint="eastAsia" w:asciiTheme="minorEastAsia" w:hAnsiTheme="minorEastAsia" w:eastAsiaTheme="minorEastAsia" w:cstheme="minorEastAsia"/>
                <w:color w:val="auto"/>
                <w:kern w:val="0"/>
                <w:sz w:val="21"/>
                <w:szCs w:val="21"/>
                <w:highlight w:val="none"/>
              </w:rPr>
            </w:pPr>
          </w:p>
        </w:tc>
        <w:tc>
          <w:tcPr>
            <w:tcW w:w="820" w:type="dxa"/>
            <w:vAlign w:val="center"/>
          </w:tcPr>
          <w:p>
            <w:pPr>
              <w:spacing w:line="276"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u w:val="none"/>
              </w:rPr>
              <w:t>数据分析及运维优惠条件承诺</w:t>
            </w:r>
          </w:p>
        </w:tc>
        <w:tc>
          <w:tcPr>
            <w:tcW w:w="820" w:type="dxa"/>
            <w:vAlign w:val="center"/>
          </w:tcPr>
          <w:p>
            <w:pPr>
              <w:spacing w:line="276"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p>
        </w:tc>
        <w:tc>
          <w:tcPr>
            <w:tcW w:w="5255" w:type="dxa"/>
            <w:gridSpan w:val="3"/>
            <w:vAlign w:val="center"/>
          </w:tcPr>
          <w:p>
            <w:pPr>
              <w:spacing w:line="288" w:lineRule="auto"/>
              <w:ind w:firstLine="0" w:firstLineChars="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（1）满足本项目专用条款要求免费系统运维2年及免费数据分析2年得2分。 </w:t>
            </w:r>
          </w:p>
          <w:p>
            <w:pPr>
              <w:spacing w:line="288" w:lineRule="auto"/>
              <w:ind w:firstLine="0" w:firstLineChars="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（2）每增加1年免费系统运维得1分，最高得3分； </w:t>
            </w:r>
          </w:p>
          <w:p>
            <w:pPr>
              <w:spacing w:line="288" w:lineRule="auto"/>
              <w:ind w:firstLine="0" w:firstLineChars="0"/>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（3）每增加1年免费数据分析得1分，最高得3分。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3" w:type="dxa"/>
            <w:gridSpan w:val="7"/>
            <w:vAlign w:val="center"/>
          </w:tcPr>
          <w:p>
            <w:pPr>
              <w:spacing w:line="276" w:lineRule="auto"/>
              <w:jc w:val="both"/>
              <w:rPr>
                <w:rFonts w:hint="eastAsia" w:asciiTheme="minorEastAsia" w:hAnsiTheme="minorEastAsia" w:eastAsiaTheme="minorEastAsia" w:cstheme="minorEastAsia"/>
                <w:color w:val="auto"/>
                <w:kern w:val="0"/>
                <w:sz w:val="21"/>
                <w:szCs w:val="21"/>
                <w:highlight w:val="none"/>
                <w:u w:val="none"/>
              </w:rPr>
            </w:pPr>
            <w:r>
              <w:rPr>
                <w:rFonts w:hint="eastAsia" w:asciiTheme="minorEastAsia" w:hAnsiTheme="minorEastAsia" w:eastAsiaTheme="minorEastAsia" w:cstheme="minorEastAsia"/>
                <w:color w:val="auto"/>
                <w:kern w:val="0"/>
                <w:sz w:val="21"/>
                <w:szCs w:val="21"/>
                <w:highlight w:val="none"/>
                <w:u w:val="none"/>
              </w:rPr>
              <w:t>需要补充的其他内容：</w:t>
            </w:r>
          </w:p>
          <w:p>
            <w:pPr>
              <w:spacing w:line="276" w:lineRule="auto"/>
              <w:jc w:val="both"/>
              <w:rPr>
                <w:rFonts w:hint="eastAsia" w:asciiTheme="minorEastAsia" w:hAnsiTheme="minorEastAsia" w:eastAsiaTheme="minorEastAsia" w:cstheme="minorEastAsia"/>
                <w:color w:val="auto"/>
                <w:kern w:val="0"/>
                <w:sz w:val="21"/>
                <w:szCs w:val="21"/>
                <w:highlight w:val="none"/>
                <w:u w:val="none"/>
              </w:rPr>
            </w:pPr>
            <w:r>
              <w:rPr>
                <w:rFonts w:hint="eastAsia" w:asciiTheme="minorEastAsia" w:hAnsiTheme="minorEastAsia" w:eastAsiaTheme="minorEastAsia" w:cstheme="minorEastAsia"/>
                <w:color w:val="auto"/>
                <w:kern w:val="0"/>
                <w:sz w:val="21"/>
                <w:szCs w:val="21"/>
                <w:highlight w:val="none"/>
                <w:u w:val="none"/>
              </w:rPr>
              <w:t>1.评标委员会成员应当按照评标办法的规定，独立评分并署名，各评审因素（投标人的信誉、投标价除外）得分均不应低于其评分满分值的60%，且各评审因素得分应以评标委员会各成员的打分平均值确定，评标委员会成员总数为7人或7人以上时，该平均值应去掉一个最高分和一个最低分后计算。评标委员会成员对某一项评分因素的评分低于权重分值60%的，应在评标报告中作出说明。</w:t>
            </w:r>
          </w:p>
          <w:p>
            <w:pPr>
              <w:pStyle w:val="6"/>
              <w:spacing w:line="276" w:lineRule="auto"/>
              <w:ind w:left="0" w:firstLine="0" w:firstLineChars="0"/>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2.无效标条件：投标人或投标文件有下列情形之一的，其投标作无效标处理：</w:t>
            </w:r>
          </w:p>
          <w:p>
            <w:pPr>
              <w:pStyle w:val="6"/>
              <w:spacing w:line="276" w:lineRule="auto"/>
              <w:ind w:left="0" w:firstLine="0" w:firstLineChars="0"/>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(1)第二章“投标人须知正文部分”及“投标人须知前附表”规定的任何一种情形的；</w:t>
            </w:r>
          </w:p>
          <w:p>
            <w:pPr>
              <w:pStyle w:val="6"/>
              <w:spacing w:line="276" w:lineRule="auto"/>
              <w:ind w:firstLine="0" w:firstLineChars="0"/>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(2)在形式评审与响应性评审和资格评审中，评标委员会认定投标人的投标不符合评标办法前附表中规定的任何一项评审标准的；</w:t>
            </w:r>
          </w:p>
          <w:p>
            <w:pPr>
              <w:pStyle w:val="6"/>
              <w:spacing w:line="276" w:lineRule="auto"/>
              <w:ind w:left="0" w:firstLine="0" w:firstLineChars="0"/>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(3)不按评标委员会要求澄清、说明或补正的；</w:t>
            </w:r>
          </w:p>
          <w:p>
            <w:pPr>
              <w:pStyle w:val="6"/>
              <w:spacing w:line="276" w:lineRule="auto"/>
              <w:ind w:left="0" w:firstLine="0" w:firstLineChars="0"/>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(4)不接受评标委员会按招标文件要求对投标报价进行修正的；</w:t>
            </w:r>
          </w:p>
          <w:p>
            <w:pPr>
              <w:pStyle w:val="6"/>
              <w:spacing w:line="276" w:lineRule="auto"/>
              <w:ind w:left="0" w:firstLine="0" w:firstLineChars="0"/>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(5)投标人的最终投标报价超过招标人设置的投标控制限价的；</w:t>
            </w:r>
          </w:p>
          <w:p>
            <w:pPr>
              <w:pStyle w:val="6"/>
              <w:spacing w:line="276" w:lineRule="auto"/>
              <w:ind w:left="0" w:firstLine="0" w:firstLineChars="0"/>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(6)评标委员会认定投标人以低于成本报价竞标的；</w:t>
            </w:r>
          </w:p>
          <w:p>
            <w:pPr>
              <w:pStyle w:val="6"/>
              <w:spacing w:line="276" w:lineRule="auto"/>
              <w:ind w:left="0" w:firstLine="0" w:firstLineChars="0"/>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(7)投标文件对本招标文件需承诺内容未作出承诺的；</w:t>
            </w:r>
          </w:p>
          <w:p>
            <w:pPr>
              <w:pStyle w:val="6"/>
              <w:spacing w:line="276" w:lineRule="auto"/>
              <w:ind w:firstLine="0" w:firstLineChars="0"/>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(8)评标委员会根据评标办法正文3.6.2条规定认定投标人存在串通投标、弄虚作假、行贿等违法行为的。</w:t>
            </w:r>
          </w:p>
          <w:p>
            <w:pPr>
              <w:pStyle w:val="6"/>
              <w:spacing w:line="276" w:lineRule="auto"/>
              <w:ind w:left="0"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none"/>
              </w:rPr>
              <w:t>3.在评标过程中，如通过形式评审与响应性评审及资格评审的投标人不足3个的，评标委员会应当对有效投标是否仍具有竞争性进行评审。评标委员会一致认为有效投标仍具有竞争性的，应当继续推荐中标候选人，并在评标报告中予以说明。评标委员会对有效投标是否仍具有竞争性无法达成一致意见的，应当否决全部投标。</w:t>
            </w:r>
          </w:p>
        </w:tc>
      </w:tr>
    </w:tbl>
    <w:p>
      <w:pPr>
        <w:rPr>
          <w:rFonts w:hint="eastAsia" w:asciiTheme="minorEastAsia" w:hAnsiTheme="minorEastAsia" w:eastAsiaTheme="minorEastAsia" w:cstheme="minorEastAsia"/>
          <w:b/>
          <w:color w:val="auto"/>
          <w:sz w:val="21"/>
          <w:szCs w:val="21"/>
          <w:highlight w:val="none"/>
        </w:rPr>
      </w:pPr>
    </w:p>
    <w:p>
      <w:pPr>
        <w:rPr>
          <w:rFonts w:hint="eastAsia" w:asciiTheme="minorEastAsia" w:hAnsiTheme="minorEastAsia" w:eastAsiaTheme="minorEastAsia" w:cstheme="minorEastAsia"/>
          <w:b/>
          <w:color w:val="auto"/>
          <w:sz w:val="21"/>
          <w:szCs w:val="21"/>
          <w:highlight w:val="none"/>
        </w:rPr>
      </w:pPr>
    </w:p>
    <w:p>
      <w:pPr>
        <w:pStyle w:val="2"/>
        <w:rPr>
          <w:rFonts w:hint="eastAsia" w:asciiTheme="minorEastAsia" w:hAnsiTheme="minorEastAsia" w:eastAsiaTheme="minorEastAsia" w:cstheme="minorEastAsia"/>
          <w:b/>
          <w:color w:val="auto"/>
          <w:sz w:val="21"/>
          <w:szCs w:val="21"/>
          <w:highlight w:val="none"/>
        </w:rPr>
      </w:pPr>
    </w:p>
    <w:p>
      <w:pPr>
        <w:pStyle w:val="3"/>
        <w:rPr>
          <w:rFonts w:hint="eastAsia" w:asciiTheme="minorEastAsia" w:hAnsiTheme="minorEastAsia" w:eastAsiaTheme="minorEastAsia" w:cstheme="minorEastAsia"/>
          <w:b/>
          <w:color w:val="auto"/>
          <w:sz w:val="21"/>
          <w:szCs w:val="21"/>
          <w:highlight w:val="none"/>
        </w:rPr>
      </w:pPr>
    </w:p>
    <w:p>
      <w:pPr>
        <w:autoSpaceDE/>
        <w:autoSpaceDN/>
        <w:adjustRightInd/>
        <w:spacing w:line="360" w:lineRule="auto"/>
        <w:jc w:val="both"/>
        <w:textAlignment w:val="auto"/>
        <w:rPr>
          <w:rFonts w:hint="eastAsia" w:asciiTheme="minorEastAsia" w:hAnsiTheme="minorEastAsia" w:eastAsiaTheme="minorEastAsia" w:cstheme="minorEastAsia"/>
          <w:b/>
          <w:color w:val="auto"/>
          <w:kern w:val="2"/>
          <w:sz w:val="24"/>
          <w:szCs w:val="24"/>
          <w:highlight w:val="none"/>
        </w:rPr>
      </w:pPr>
      <w:bookmarkStart w:id="23" w:name="_Toc509660990"/>
      <w:r>
        <w:rPr>
          <w:rFonts w:hint="eastAsia" w:asciiTheme="minorEastAsia" w:hAnsiTheme="minorEastAsia" w:eastAsiaTheme="minorEastAsia" w:cstheme="minorEastAsia"/>
          <w:b/>
          <w:color w:val="auto"/>
          <w:kern w:val="2"/>
          <w:sz w:val="24"/>
          <w:szCs w:val="24"/>
          <w:highlight w:val="none"/>
        </w:rPr>
        <w:t>1.评标方法</w:t>
      </w:r>
      <w:bookmarkEnd w:id="23"/>
    </w:p>
    <w:p>
      <w:pPr>
        <w:autoSpaceDE/>
        <w:autoSpaceDN/>
        <w:adjustRightIn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得分相等时，评标委员会应按照评标办法前附表规定的优先次序推荐中标候选人或确定中标人。</w:t>
      </w:r>
    </w:p>
    <w:p>
      <w:pPr>
        <w:autoSpaceDE/>
        <w:autoSpaceDN/>
        <w:adjustRightInd/>
        <w:spacing w:line="360" w:lineRule="auto"/>
        <w:jc w:val="both"/>
        <w:textAlignment w:val="auto"/>
        <w:rPr>
          <w:rFonts w:hint="eastAsia" w:asciiTheme="minorEastAsia" w:hAnsiTheme="minorEastAsia" w:eastAsiaTheme="minorEastAsia" w:cstheme="minorEastAsia"/>
          <w:b/>
          <w:color w:val="auto"/>
          <w:kern w:val="2"/>
          <w:sz w:val="24"/>
          <w:szCs w:val="24"/>
          <w:highlight w:val="none"/>
        </w:rPr>
      </w:pPr>
      <w:bookmarkStart w:id="24" w:name="_Toc509660991"/>
      <w:r>
        <w:rPr>
          <w:rFonts w:hint="eastAsia" w:asciiTheme="minorEastAsia" w:hAnsiTheme="minorEastAsia" w:eastAsiaTheme="minorEastAsia" w:cstheme="minorEastAsia"/>
          <w:b/>
          <w:color w:val="auto"/>
          <w:kern w:val="2"/>
          <w:sz w:val="24"/>
          <w:szCs w:val="24"/>
          <w:highlight w:val="none"/>
        </w:rPr>
        <w:t>2.评审标准</w:t>
      </w:r>
      <w:bookmarkEnd w:id="24"/>
    </w:p>
    <w:p>
      <w:pPr>
        <w:autoSpaceDE/>
        <w:autoSpaceDN/>
        <w:adjustRightInd/>
        <w:spacing w:line="360" w:lineRule="auto"/>
        <w:jc w:val="both"/>
        <w:textAlignment w:val="auto"/>
        <w:rPr>
          <w:rFonts w:hint="eastAsia" w:asciiTheme="minorEastAsia" w:hAnsiTheme="minorEastAsia" w:eastAsiaTheme="minorEastAsia" w:cstheme="minorEastAsia"/>
          <w:b/>
          <w:color w:val="auto"/>
          <w:kern w:val="2"/>
          <w:sz w:val="21"/>
          <w:szCs w:val="24"/>
          <w:highlight w:val="none"/>
        </w:rPr>
      </w:pPr>
      <w:r>
        <w:rPr>
          <w:rFonts w:hint="eastAsia" w:asciiTheme="minorEastAsia" w:hAnsiTheme="minorEastAsia" w:eastAsiaTheme="minorEastAsia" w:cstheme="minorEastAsia"/>
          <w:b/>
          <w:color w:val="auto"/>
          <w:kern w:val="2"/>
          <w:sz w:val="21"/>
          <w:szCs w:val="24"/>
          <w:highlight w:val="none"/>
        </w:rPr>
        <w:t>2.1初步评审标准</w:t>
      </w:r>
    </w:p>
    <w:p>
      <w:pPr>
        <w:autoSpaceDE/>
        <w:autoSpaceDN/>
        <w:adjustRightInd/>
        <w:spacing w:line="360" w:lineRule="auto"/>
        <w:ind w:firstLine="420" w:firstLineChars="200"/>
        <w:contextualSpacing w:val="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2.1.1 形式评审标准：见评标办法前附表。</w:t>
      </w:r>
    </w:p>
    <w:p>
      <w:pPr>
        <w:autoSpaceDE/>
        <w:autoSpaceDN/>
        <w:adjustRightInd/>
        <w:spacing w:line="360" w:lineRule="auto"/>
        <w:ind w:firstLine="420" w:firstLineChars="200"/>
        <w:contextualSpacing w:val="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2.1.2 资格评审标准：见评标办法前附表（适用于未进行资格预审的）。</w:t>
      </w:r>
    </w:p>
    <w:p>
      <w:pPr>
        <w:autoSpaceDE/>
        <w:autoSpaceDN/>
        <w:adjustRightInd/>
        <w:spacing w:line="360" w:lineRule="auto"/>
        <w:ind w:firstLine="420" w:firstLineChars="200"/>
        <w:contextualSpacing w:val="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2.1.2资格评审标准：见资格预审文件第三章“资格审查办法”详细审查标准（适用于已进行资格预审的）。</w:t>
      </w:r>
    </w:p>
    <w:p>
      <w:pPr>
        <w:autoSpaceDE/>
        <w:autoSpaceDN/>
        <w:adjustRightInd/>
        <w:spacing w:line="360" w:lineRule="auto"/>
        <w:ind w:firstLine="420" w:firstLineChars="200"/>
        <w:contextualSpacing w:val="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2.1.3 响应性评审标准：见评标办法前附表。</w:t>
      </w:r>
    </w:p>
    <w:p>
      <w:pPr>
        <w:autoSpaceDE/>
        <w:autoSpaceDN/>
        <w:adjustRightInd/>
        <w:spacing w:line="360" w:lineRule="auto"/>
        <w:jc w:val="both"/>
        <w:textAlignment w:val="auto"/>
        <w:rPr>
          <w:rFonts w:hint="eastAsia" w:asciiTheme="minorEastAsia" w:hAnsiTheme="minorEastAsia" w:eastAsiaTheme="minorEastAsia" w:cstheme="minorEastAsia"/>
          <w:b/>
          <w:color w:val="auto"/>
          <w:kern w:val="2"/>
          <w:sz w:val="21"/>
          <w:szCs w:val="24"/>
          <w:highlight w:val="none"/>
        </w:rPr>
      </w:pPr>
      <w:r>
        <w:rPr>
          <w:rFonts w:hint="eastAsia" w:asciiTheme="minorEastAsia" w:hAnsiTheme="minorEastAsia" w:eastAsiaTheme="minorEastAsia" w:cstheme="minorEastAsia"/>
          <w:b/>
          <w:color w:val="auto"/>
          <w:kern w:val="2"/>
          <w:sz w:val="21"/>
          <w:szCs w:val="24"/>
          <w:highlight w:val="none"/>
        </w:rPr>
        <w:t>2.2分值构成与评分标准</w:t>
      </w:r>
    </w:p>
    <w:p>
      <w:pPr>
        <w:autoSpaceDE/>
        <w:autoSpaceDN/>
        <w:adjustRightIn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2.2.1分值构成</w:t>
      </w:r>
    </w:p>
    <w:p>
      <w:pPr>
        <w:autoSpaceDE/>
        <w:autoSpaceDN/>
        <w:adjustRightIn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(1)技术建议书：见评标办法則附表；</w:t>
      </w:r>
    </w:p>
    <w:p>
      <w:pPr>
        <w:autoSpaceDE/>
        <w:autoSpaceDN/>
        <w:adjustRightIn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(2)主要人员：见评标办法前附表；</w:t>
      </w:r>
    </w:p>
    <w:p>
      <w:pPr>
        <w:autoSpaceDE/>
        <w:autoSpaceDN/>
        <w:adjustRightIn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(3)评标价：见评标办法則附表；</w:t>
      </w:r>
    </w:p>
    <w:p>
      <w:pPr>
        <w:autoSpaceDE/>
        <w:autoSpaceDN/>
        <w:adjustRightIn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(4)其他评分因素：见评标办法前附表。</w:t>
      </w:r>
    </w:p>
    <w:p>
      <w:pPr>
        <w:autoSpaceDE/>
        <w:autoSpaceDN/>
        <w:adjustRightIn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2.2.2评标基准价计算</w:t>
      </w:r>
    </w:p>
    <w:p>
      <w:pPr>
        <w:autoSpaceDE/>
        <w:autoSpaceDN/>
        <w:adjustRightIn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评标基准价计算方法：见评标办法前附表。</w:t>
      </w:r>
    </w:p>
    <w:p>
      <w:pPr>
        <w:autoSpaceDE/>
        <w:autoSpaceDN/>
        <w:adjustRightIn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2.2.3评标价的偏差率计算</w:t>
      </w:r>
    </w:p>
    <w:p>
      <w:pPr>
        <w:autoSpaceDE/>
        <w:autoSpaceDN/>
        <w:adjustRightIn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评标价的偏差率计算公式：见评标办法前附表。</w:t>
      </w:r>
    </w:p>
    <w:p>
      <w:pPr>
        <w:autoSpaceDE/>
        <w:autoSpaceDN/>
        <w:adjustRightIn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2.2.4评分标准</w:t>
      </w:r>
    </w:p>
    <w:p>
      <w:pPr>
        <w:autoSpaceDE/>
        <w:autoSpaceDN/>
        <w:adjustRightIn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(1)技术建议书评分标准：见评标办法則附表;</w:t>
      </w:r>
    </w:p>
    <w:p>
      <w:pPr>
        <w:autoSpaceDE/>
        <w:autoSpaceDN/>
        <w:adjustRightIn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(2)主要人员评分标准：见评标办法前附表；</w:t>
      </w:r>
    </w:p>
    <w:p>
      <w:pPr>
        <w:autoSpaceDE/>
        <w:autoSpaceDN/>
        <w:adjustRightIn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(3)评标价评分标准：见评标办法前附表；</w:t>
      </w:r>
    </w:p>
    <w:p>
      <w:pPr>
        <w:autoSpaceDE/>
        <w:autoSpaceDN/>
        <w:adjustRightIn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(4)其他因素评分标准：见评标办法前附表。</w:t>
      </w:r>
    </w:p>
    <w:p>
      <w:pPr>
        <w:snapToGrid w:val="0"/>
        <w:spacing w:line="360" w:lineRule="auto"/>
        <w:jc w:val="both"/>
        <w:rPr>
          <w:rFonts w:hint="eastAsia" w:asciiTheme="minorEastAsia" w:hAnsiTheme="minorEastAsia" w:eastAsiaTheme="minorEastAsia" w:cstheme="minorEastAsia"/>
          <w:b/>
          <w:color w:val="auto"/>
          <w:sz w:val="24"/>
          <w:szCs w:val="24"/>
          <w:highlight w:val="none"/>
        </w:rPr>
      </w:pPr>
      <w:bookmarkStart w:id="25" w:name="_Toc509660992"/>
      <w:r>
        <w:rPr>
          <w:rFonts w:hint="eastAsia" w:asciiTheme="minorEastAsia" w:hAnsiTheme="minorEastAsia" w:eastAsiaTheme="minorEastAsia" w:cstheme="minorEastAsia"/>
          <w:b/>
          <w:color w:val="auto"/>
          <w:sz w:val="24"/>
          <w:szCs w:val="24"/>
          <w:highlight w:val="none"/>
        </w:rPr>
        <w:t>3.评标程序</w:t>
      </w:r>
      <w:bookmarkEnd w:id="25"/>
    </w:p>
    <w:p>
      <w:pPr>
        <w:autoSpaceDE/>
        <w:autoSpaceDN/>
        <w:adjustRightInd/>
        <w:spacing w:line="360" w:lineRule="auto"/>
        <w:jc w:val="both"/>
        <w:textAlignment w:val="auto"/>
        <w:rPr>
          <w:rFonts w:hint="eastAsia" w:asciiTheme="minorEastAsia" w:hAnsiTheme="minorEastAsia" w:eastAsiaTheme="minorEastAsia" w:cstheme="minorEastAsia"/>
          <w:b/>
          <w:color w:val="auto"/>
          <w:kern w:val="2"/>
          <w:sz w:val="21"/>
          <w:szCs w:val="24"/>
          <w:highlight w:val="none"/>
        </w:rPr>
      </w:pPr>
      <w:r>
        <w:rPr>
          <w:rFonts w:hint="eastAsia" w:asciiTheme="minorEastAsia" w:hAnsiTheme="minorEastAsia" w:eastAsiaTheme="minorEastAsia" w:cstheme="minorEastAsia"/>
          <w:b/>
          <w:color w:val="auto"/>
          <w:kern w:val="2"/>
          <w:sz w:val="21"/>
          <w:szCs w:val="24"/>
          <w:highlight w:val="none"/>
        </w:rPr>
        <w:t>3.1第一个信封初步评审</w:t>
      </w:r>
    </w:p>
    <w:p>
      <w:pPr>
        <w:autoSpaceDE/>
        <w:autoSpaceDN/>
        <w:adjustRightIn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3.1.1评标委员会可以要求投标人提交第二章“投标人须知”第3.5.1项至第3.5.5 项规定的有关证明和证件的原件，以便核验。评标委员会依据本章第2.1款规定的标准对投标文件第一个信封（商务及技术文件）进行初步评审。有一项不符合评审标准的，评标委员会应否决其投标。（适用于未进行资格预审的）</w:t>
      </w:r>
    </w:p>
    <w:p>
      <w:pPr>
        <w:autoSpaceDE/>
        <w:autoSpaceDN/>
        <w:adjustRightIn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3.1.1评标委员会依据本章第2.1.1项、第2.1.3项规定的评审标准对投标文件第一个信封（商务及技术文件）进行初步评审。有一项不符合评审标准的，评标委员会应否决其投标。当投标人资格预审申请文件的内容发生重大变化时，评标委员会依据本章第2.1.2项规定的标准对其更新资料进行评审。（适用于已进行资格预审的)</w:t>
      </w:r>
    </w:p>
    <w:p>
      <w:pPr>
        <w:autoSpaceDE/>
        <w:autoSpaceDN/>
        <w:adjustRightInd/>
        <w:spacing w:line="360" w:lineRule="auto"/>
        <w:jc w:val="both"/>
        <w:textAlignment w:val="auto"/>
        <w:rPr>
          <w:rFonts w:hint="eastAsia" w:asciiTheme="minorEastAsia" w:hAnsiTheme="minorEastAsia" w:eastAsiaTheme="minorEastAsia" w:cstheme="minorEastAsia"/>
          <w:b/>
          <w:color w:val="auto"/>
          <w:kern w:val="2"/>
          <w:sz w:val="21"/>
          <w:szCs w:val="24"/>
          <w:highlight w:val="none"/>
        </w:rPr>
      </w:pPr>
      <w:r>
        <w:rPr>
          <w:rFonts w:hint="eastAsia" w:asciiTheme="minorEastAsia" w:hAnsiTheme="minorEastAsia" w:eastAsiaTheme="minorEastAsia" w:cstheme="minorEastAsia"/>
          <w:b/>
          <w:color w:val="auto"/>
          <w:kern w:val="2"/>
          <w:sz w:val="21"/>
          <w:szCs w:val="24"/>
          <w:highlight w:val="none"/>
        </w:rPr>
        <w:t>3.2第一个信封详细评审</w:t>
      </w:r>
    </w:p>
    <w:p>
      <w:pPr>
        <w:autoSpaceDE/>
        <w:autoSpaceDN/>
        <w:adjustRightIn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3.2.1评标委员会按本章第2.2款规定的量化因素和分值进行打分，并计算出各投标人的商务和技术得分。</w:t>
      </w:r>
    </w:p>
    <w:p>
      <w:pPr>
        <w:autoSpaceDE/>
        <w:autoSpaceDN/>
        <w:adjustRightIn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(1)按本章第2.2.4项（1)目规定的评审因素和分值对技术建议书部分计算出得分A；</w:t>
      </w:r>
    </w:p>
    <w:p>
      <w:pPr>
        <w:autoSpaceDE/>
        <w:autoSpaceDN/>
        <w:adjustRightIn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(2)按本章第2.2.4项（2)目规定的评审因素和分值对主要人员部分计算出得分B；</w:t>
      </w:r>
    </w:p>
    <w:p>
      <w:pPr>
        <w:autoSpaceDE/>
        <w:autoSpaceDN/>
        <w:adjustRightIn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(3)按本章第2.2.4项(4)目规定的评审因素和分值对其他部分计算出得D。</w:t>
      </w:r>
    </w:p>
    <w:p>
      <w:pPr>
        <w:autoSpaceDE/>
        <w:autoSpaceDN/>
        <w:adjustRightIn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3.2.2投标人的商务和技术得分分值计算保留小数点后两位，小数点后第三位“四舍五入”。</w:t>
      </w:r>
    </w:p>
    <w:p>
      <w:pPr>
        <w:autoSpaceDE/>
        <w:autoSpaceDN/>
        <w:adjustRightIn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3.2.3投标人的商务和技术得分=A+B+D。</w:t>
      </w:r>
    </w:p>
    <w:p>
      <w:pPr>
        <w:autoSpaceDE/>
        <w:autoSpaceDN/>
        <w:adjustRightInd/>
        <w:spacing w:line="360" w:lineRule="auto"/>
        <w:jc w:val="both"/>
        <w:textAlignment w:val="auto"/>
        <w:rPr>
          <w:rFonts w:hint="eastAsia" w:asciiTheme="minorEastAsia" w:hAnsiTheme="minorEastAsia" w:eastAsiaTheme="minorEastAsia" w:cstheme="minorEastAsia"/>
          <w:b/>
          <w:color w:val="auto"/>
          <w:kern w:val="2"/>
          <w:sz w:val="21"/>
          <w:szCs w:val="24"/>
          <w:highlight w:val="none"/>
        </w:rPr>
      </w:pPr>
      <w:r>
        <w:rPr>
          <w:rFonts w:hint="eastAsia" w:asciiTheme="minorEastAsia" w:hAnsiTheme="minorEastAsia" w:eastAsiaTheme="minorEastAsia" w:cstheme="minorEastAsia"/>
          <w:b/>
          <w:color w:val="auto"/>
          <w:kern w:val="2"/>
          <w:sz w:val="21"/>
          <w:szCs w:val="24"/>
          <w:highlight w:val="none"/>
        </w:rPr>
        <w:t>3.3第二个信封开标</w:t>
      </w:r>
    </w:p>
    <w:p>
      <w:pPr>
        <w:autoSpaceDE/>
        <w:autoSpaceDN/>
        <w:adjustRightIn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第一个信封（商务及技术文件）评审结束后，招标人将按照第二章“投标人须知”第5.1款规定的时间和地点对通过投标文件第一个信封（商务及技术文件）评审的投标文件第二个信封（报价文件）进行开标。</w:t>
      </w:r>
    </w:p>
    <w:p>
      <w:pPr>
        <w:autoSpaceDE/>
        <w:autoSpaceDN/>
        <w:adjustRightInd/>
        <w:spacing w:line="360" w:lineRule="auto"/>
        <w:jc w:val="both"/>
        <w:textAlignment w:val="auto"/>
        <w:rPr>
          <w:rFonts w:hint="eastAsia" w:asciiTheme="minorEastAsia" w:hAnsiTheme="minorEastAsia" w:eastAsiaTheme="minorEastAsia" w:cstheme="minorEastAsia"/>
          <w:b/>
          <w:color w:val="auto"/>
          <w:kern w:val="2"/>
          <w:sz w:val="21"/>
          <w:szCs w:val="24"/>
          <w:highlight w:val="none"/>
        </w:rPr>
      </w:pPr>
      <w:r>
        <w:rPr>
          <w:rFonts w:hint="eastAsia" w:asciiTheme="minorEastAsia" w:hAnsiTheme="minorEastAsia" w:eastAsiaTheme="minorEastAsia" w:cstheme="minorEastAsia"/>
          <w:b/>
          <w:color w:val="auto"/>
          <w:kern w:val="2"/>
          <w:sz w:val="21"/>
          <w:szCs w:val="24"/>
          <w:highlight w:val="none"/>
        </w:rPr>
        <w:t>3.4第二个信封初步评审</w:t>
      </w:r>
    </w:p>
    <w:p>
      <w:pPr>
        <w:autoSpaceDE/>
        <w:autoSpaceDN/>
        <w:adjustRightIn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3.4.1评标委员会依据本章第2.1.1项、第2.1.3项规定的评审标准对投标文件第二个信封（报价文件）进行初步评审。有一项不符合评审标准的，评标委员会应否决其投标。</w:t>
      </w:r>
    </w:p>
    <w:p>
      <w:pPr>
        <w:autoSpaceDE/>
        <w:autoSpaceDN/>
        <w:adjustRightIn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3.4.2投标报价有算术错误的，评标委员会按以下原则对投标报价进行修正，修正的价格经投标人书面确认后具有约束力。投标人不接受修正价格的，评标委员会应否决其投标。</w:t>
      </w:r>
    </w:p>
    <w:p>
      <w:pPr>
        <w:autoSpaceDE/>
        <w:autoSpaceDN/>
        <w:adjustRightIn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(1)投标文件中的大写金额与小写金额不一致的，以大写金额为准；</w:t>
      </w:r>
    </w:p>
    <w:p>
      <w:pPr>
        <w:autoSpaceDE/>
        <w:autoSpaceDN/>
        <w:adjustRightIn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(2)总价金额与依据单价计算出的结果不一致的，以单价金额为准修正总价，但单价金额小数点有明显错误的除外；</w:t>
      </w:r>
    </w:p>
    <w:p>
      <w:pPr>
        <w:autoSpaceDE/>
        <w:autoSpaceDN/>
        <w:adjustRightIn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(3)当单价与数量相乘不等于合价时，以单价计算为准，如果单价有明显的小数点位置差错，应以标出的合价为准，同时对单价予以修正；</w:t>
      </w:r>
    </w:p>
    <w:p>
      <w:pPr>
        <w:autoSpaceDE/>
        <w:autoSpaceDN/>
        <w:adjustRightIn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(4)当各子目的合价累计不等于总价时，应以各子目合价累计数为准，修正总价。</w:t>
      </w:r>
    </w:p>
    <w:p>
      <w:pPr>
        <w:autoSpaceDE/>
        <w:autoSpaceDN/>
        <w:adjustRightIn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3.4.3修正后的最终投标报价若超过最高投标限价（如有)，评标委员会应否决其投标。</w:t>
      </w:r>
    </w:p>
    <w:p>
      <w:pPr>
        <w:autoSpaceDE/>
        <w:autoSpaceDN/>
        <w:adjustRightIn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3.4.4修正后的最终投标报价仅作为签订合同的一个依据，不参与评标价得分的计算。</w:t>
      </w:r>
    </w:p>
    <w:p>
      <w:pPr>
        <w:autoSpaceDE/>
        <w:autoSpaceDN/>
        <w:adjustRightInd/>
        <w:spacing w:line="360" w:lineRule="auto"/>
        <w:jc w:val="both"/>
        <w:textAlignment w:val="auto"/>
        <w:rPr>
          <w:rFonts w:hint="eastAsia" w:asciiTheme="minorEastAsia" w:hAnsiTheme="minorEastAsia" w:eastAsiaTheme="minorEastAsia" w:cstheme="minorEastAsia"/>
          <w:b/>
          <w:color w:val="auto"/>
          <w:kern w:val="2"/>
          <w:sz w:val="21"/>
          <w:szCs w:val="24"/>
          <w:highlight w:val="none"/>
        </w:rPr>
      </w:pPr>
      <w:r>
        <w:rPr>
          <w:rFonts w:hint="eastAsia" w:asciiTheme="minorEastAsia" w:hAnsiTheme="minorEastAsia" w:eastAsiaTheme="minorEastAsia" w:cstheme="minorEastAsia"/>
          <w:b/>
          <w:color w:val="auto"/>
          <w:kern w:val="2"/>
          <w:sz w:val="21"/>
          <w:szCs w:val="24"/>
          <w:highlight w:val="none"/>
        </w:rPr>
        <w:t>3.5第二个信封详细评审</w:t>
      </w:r>
    </w:p>
    <w:p>
      <w:pPr>
        <w:autoSpaceDE/>
        <w:autoSpaceDN/>
        <w:adjustRightIn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3.5.1评标委员会按本章第2.2.4项（3)目规定的评审因素和分值对评标价计算出得分C。评标价得分分值计算保留小数点后两位，小数点后第三位“四舍五入”。</w:t>
      </w:r>
    </w:p>
    <w:p>
      <w:pPr>
        <w:autoSpaceDE/>
        <w:autoSpaceDN/>
        <w:adjustRightIn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3.5.2投标人综合得分=投标人的商务和技术得分+C。</w:t>
      </w:r>
    </w:p>
    <w:p>
      <w:pPr>
        <w:autoSpaceDE/>
        <w:autoSpaceDN/>
        <w:adjustRightIn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3.5.3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autoSpaceDE/>
        <w:autoSpaceDN/>
        <w:adjustRightInd/>
        <w:spacing w:line="360" w:lineRule="auto"/>
        <w:jc w:val="both"/>
        <w:textAlignment w:val="auto"/>
        <w:rPr>
          <w:rFonts w:hint="eastAsia" w:asciiTheme="minorEastAsia" w:hAnsiTheme="minorEastAsia" w:eastAsiaTheme="minorEastAsia" w:cstheme="minorEastAsia"/>
          <w:b/>
          <w:color w:val="auto"/>
          <w:kern w:val="2"/>
          <w:sz w:val="21"/>
          <w:szCs w:val="24"/>
          <w:highlight w:val="none"/>
        </w:rPr>
      </w:pPr>
      <w:r>
        <w:rPr>
          <w:rFonts w:hint="eastAsia" w:asciiTheme="minorEastAsia" w:hAnsiTheme="minorEastAsia" w:eastAsiaTheme="minorEastAsia" w:cstheme="minorEastAsia"/>
          <w:b/>
          <w:color w:val="auto"/>
          <w:kern w:val="2"/>
          <w:sz w:val="21"/>
          <w:szCs w:val="24"/>
          <w:highlight w:val="none"/>
        </w:rPr>
        <w:t>3.6投标文件相关信息的核查</w:t>
      </w:r>
    </w:p>
    <w:p>
      <w:pPr>
        <w:autoSpaceDE/>
        <w:autoSpaceDN/>
        <w:adjustRightIn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3.6.1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p>
    <w:p>
      <w:pPr>
        <w:autoSpaceDE/>
        <w:autoSpaceDN/>
        <w:adjustRightIn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3.6.2评标委员会应对在评标过程中发现的投标人与投标人之间、投标人与招标人之间存在的串通投标的情形进行评审和认定。投标人存在串通投标、弄虚作假、行贿等违法行为的，评标委员会应否决其投标。</w:t>
      </w:r>
    </w:p>
    <w:p>
      <w:pPr>
        <w:autoSpaceDE/>
        <w:autoSpaceDN/>
        <w:adjustRightIn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(1)有下列情形之一的，属于投标人相互串通投标：</w:t>
      </w:r>
    </w:p>
    <w:p>
      <w:pPr>
        <w:autoSpaceDE/>
        <w:autoSpaceDN/>
        <w:adjustRightIn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a.投标人之间协商投标报价等投标文件的实质性内容；</w:t>
      </w:r>
    </w:p>
    <w:p>
      <w:pPr>
        <w:autoSpaceDE/>
        <w:autoSpaceDN/>
        <w:adjustRightIn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b.</w:t>
      </w:r>
      <w:r>
        <w:rPr>
          <w:rFonts w:hint="eastAsia" w:asciiTheme="minorEastAsia" w:hAnsiTheme="minorEastAsia" w:eastAsiaTheme="minorEastAsia" w:cstheme="minorEastAsia"/>
          <w:color w:val="auto"/>
          <w:kern w:val="2"/>
          <w:sz w:val="21"/>
          <w:szCs w:val="21"/>
          <w:highlight w:val="none"/>
        </w:rPr>
        <w:tab/>
      </w:r>
      <w:r>
        <w:rPr>
          <w:rFonts w:hint="eastAsia" w:asciiTheme="minorEastAsia" w:hAnsiTheme="minorEastAsia" w:eastAsiaTheme="minorEastAsia" w:cstheme="minorEastAsia"/>
          <w:color w:val="auto"/>
          <w:kern w:val="2"/>
          <w:sz w:val="21"/>
          <w:szCs w:val="21"/>
          <w:highlight w:val="none"/>
        </w:rPr>
        <w:t>投标人之间约定中标人；</w:t>
      </w:r>
    </w:p>
    <w:p>
      <w:pPr>
        <w:autoSpaceDE/>
        <w:autoSpaceDN/>
        <w:adjustRightIn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c.</w:t>
      </w:r>
      <w:r>
        <w:rPr>
          <w:rFonts w:hint="eastAsia" w:asciiTheme="minorEastAsia" w:hAnsiTheme="minorEastAsia" w:eastAsiaTheme="minorEastAsia" w:cstheme="minorEastAsia"/>
          <w:color w:val="auto"/>
          <w:kern w:val="2"/>
          <w:sz w:val="21"/>
          <w:szCs w:val="21"/>
          <w:highlight w:val="none"/>
        </w:rPr>
        <w:tab/>
      </w:r>
      <w:r>
        <w:rPr>
          <w:rFonts w:hint="eastAsia" w:asciiTheme="minorEastAsia" w:hAnsiTheme="minorEastAsia" w:eastAsiaTheme="minorEastAsia" w:cstheme="minorEastAsia"/>
          <w:color w:val="auto"/>
          <w:kern w:val="2"/>
          <w:sz w:val="21"/>
          <w:szCs w:val="21"/>
          <w:highlight w:val="none"/>
        </w:rPr>
        <w:t>投标人之间约定部分投标人放弃投标或中标；</w:t>
      </w:r>
    </w:p>
    <w:p>
      <w:pPr>
        <w:autoSpaceDE/>
        <w:autoSpaceDN/>
        <w:adjustRightIn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d.</w:t>
      </w:r>
      <w:r>
        <w:rPr>
          <w:rFonts w:hint="eastAsia" w:asciiTheme="minorEastAsia" w:hAnsiTheme="minorEastAsia" w:eastAsiaTheme="minorEastAsia" w:cstheme="minorEastAsia"/>
          <w:color w:val="auto"/>
          <w:kern w:val="2"/>
          <w:sz w:val="21"/>
          <w:szCs w:val="21"/>
          <w:highlight w:val="none"/>
        </w:rPr>
        <w:tab/>
      </w:r>
      <w:r>
        <w:rPr>
          <w:rFonts w:hint="eastAsia" w:asciiTheme="minorEastAsia" w:hAnsiTheme="minorEastAsia" w:eastAsiaTheme="minorEastAsia" w:cstheme="minorEastAsia"/>
          <w:color w:val="auto"/>
          <w:kern w:val="2"/>
          <w:sz w:val="21"/>
          <w:szCs w:val="21"/>
          <w:highlight w:val="none"/>
        </w:rPr>
        <w:t>属于同一集团、协会、商会等组织成员的投标人按照该组织要求协同投标;</w:t>
      </w:r>
    </w:p>
    <w:p>
      <w:pPr>
        <w:autoSpaceDE/>
        <w:autoSpaceDN/>
        <w:adjustRightIn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e.</w:t>
      </w:r>
      <w:r>
        <w:rPr>
          <w:rFonts w:hint="eastAsia" w:asciiTheme="minorEastAsia" w:hAnsiTheme="minorEastAsia" w:eastAsiaTheme="minorEastAsia" w:cstheme="minorEastAsia"/>
          <w:color w:val="auto"/>
          <w:kern w:val="2"/>
          <w:sz w:val="21"/>
          <w:szCs w:val="21"/>
          <w:highlight w:val="none"/>
        </w:rPr>
        <w:tab/>
      </w:r>
      <w:r>
        <w:rPr>
          <w:rFonts w:hint="eastAsia" w:asciiTheme="minorEastAsia" w:hAnsiTheme="minorEastAsia" w:eastAsiaTheme="minorEastAsia" w:cstheme="minorEastAsia"/>
          <w:color w:val="auto"/>
          <w:kern w:val="2"/>
          <w:sz w:val="21"/>
          <w:szCs w:val="21"/>
          <w:highlight w:val="none"/>
        </w:rPr>
        <w:t>投标人之间为谋取中标或排斥特定投标人而采取的其他联合行动。</w:t>
      </w:r>
    </w:p>
    <w:p>
      <w:pPr>
        <w:autoSpaceDE/>
        <w:autoSpaceDN/>
        <w:adjustRightIn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(2)有下列情形之一的，视为投标人相互串通投标：</w:t>
      </w:r>
    </w:p>
    <w:p>
      <w:pPr>
        <w:autoSpaceDE/>
        <w:autoSpaceDN/>
        <w:adjustRightIn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a.</w:t>
      </w:r>
      <w:r>
        <w:rPr>
          <w:rFonts w:hint="eastAsia" w:asciiTheme="minorEastAsia" w:hAnsiTheme="minorEastAsia" w:eastAsiaTheme="minorEastAsia" w:cstheme="minorEastAsia"/>
          <w:color w:val="auto"/>
          <w:kern w:val="2"/>
          <w:sz w:val="21"/>
          <w:szCs w:val="21"/>
          <w:highlight w:val="none"/>
        </w:rPr>
        <w:tab/>
      </w:r>
      <w:r>
        <w:rPr>
          <w:rFonts w:hint="eastAsia" w:asciiTheme="minorEastAsia" w:hAnsiTheme="minorEastAsia" w:eastAsiaTheme="minorEastAsia" w:cstheme="minorEastAsia"/>
          <w:color w:val="auto"/>
          <w:kern w:val="2"/>
          <w:sz w:val="21"/>
          <w:szCs w:val="21"/>
          <w:highlight w:val="none"/>
        </w:rPr>
        <w:t>不同投标人的投标文件由同一单位或个人编制；</w:t>
      </w:r>
    </w:p>
    <w:p>
      <w:pPr>
        <w:autoSpaceDE/>
        <w:autoSpaceDN/>
        <w:adjustRightIn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b.</w:t>
      </w:r>
      <w:r>
        <w:rPr>
          <w:rFonts w:hint="eastAsia" w:asciiTheme="minorEastAsia" w:hAnsiTheme="minorEastAsia" w:eastAsiaTheme="minorEastAsia" w:cstheme="minorEastAsia"/>
          <w:color w:val="auto"/>
          <w:kern w:val="2"/>
          <w:sz w:val="21"/>
          <w:szCs w:val="21"/>
          <w:highlight w:val="none"/>
        </w:rPr>
        <w:tab/>
      </w:r>
      <w:r>
        <w:rPr>
          <w:rFonts w:hint="eastAsia" w:asciiTheme="minorEastAsia" w:hAnsiTheme="minorEastAsia" w:eastAsiaTheme="minorEastAsia" w:cstheme="minorEastAsia"/>
          <w:color w:val="auto"/>
          <w:kern w:val="2"/>
          <w:sz w:val="21"/>
          <w:szCs w:val="21"/>
          <w:highlight w:val="none"/>
        </w:rPr>
        <w:t>不同投标人委托同一单位或个人办理投标事宜；</w:t>
      </w:r>
    </w:p>
    <w:p>
      <w:pPr>
        <w:autoSpaceDE/>
        <w:autoSpaceDN/>
        <w:adjustRightIn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c.</w:t>
      </w:r>
      <w:r>
        <w:rPr>
          <w:rFonts w:hint="eastAsia" w:asciiTheme="minorEastAsia" w:hAnsiTheme="minorEastAsia" w:eastAsiaTheme="minorEastAsia" w:cstheme="minorEastAsia"/>
          <w:color w:val="auto"/>
          <w:kern w:val="2"/>
          <w:sz w:val="21"/>
          <w:szCs w:val="21"/>
          <w:highlight w:val="none"/>
        </w:rPr>
        <w:tab/>
      </w:r>
      <w:r>
        <w:rPr>
          <w:rFonts w:hint="eastAsia" w:asciiTheme="minorEastAsia" w:hAnsiTheme="minorEastAsia" w:eastAsiaTheme="minorEastAsia" w:cstheme="minorEastAsia"/>
          <w:color w:val="auto"/>
          <w:kern w:val="2"/>
          <w:sz w:val="21"/>
          <w:szCs w:val="21"/>
          <w:highlight w:val="none"/>
        </w:rPr>
        <w:t>不同投标人的投标文件载明的项目管理成员为同一人；</w:t>
      </w:r>
    </w:p>
    <w:p>
      <w:pPr>
        <w:autoSpaceDE/>
        <w:autoSpaceDN/>
        <w:adjustRightIn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d.</w:t>
      </w:r>
      <w:r>
        <w:rPr>
          <w:rFonts w:hint="eastAsia" w:asciiTheme="minorEastAsia" w:hAnsiTheme="minorEastAsia" w:eastAsiaTheme="minorEastAsia" w:cstheme="minorEastAsia"/>
          <w:color w:val="auto"/>
          <w:kern w:val="2"/>
          <w:sz w:val="21"/>
          <w:szCs w:val="21"/>
          <w:highlight w:val="none"/>
        </w:rPr>
        <w:tab/>
      </w:r>
      <w:r>
        <w:rPr>
          <w:rFonts w:hint="eastAsia" w:asciiTheme="minorEastAsia" w:hAnsiTheme="minorEastAsia" w:eastAsiaTheme="minorEastAsia" w:cstheme="minorEastAsia"/>
          <w:color w:val="auto"/>
          <w:kern w:val="2"/>
          <w:sz w:val="21"/>
          <w:szCs w:val="21"/>
          <w:highlight w:val="none"/>
        </w:rPr>
        <w:t>不同投标人的投标文件异常一致或投标报价呈规律性差异；</w:t>
      </w:r>
    </w:p>
    <w:p>
      <w:pPr>
        <w:autoSpaceDE/>
        <w:autoSpaceDN/>
        <w:adjustRightIn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e.</w:t>
      </w:r>
      <w:r>
        <w:rPr>
          <w:rFonts w:hint="eastAsia" w:asciiTheme="minorEastAsia" w:hAnsiTheme="minorEastAsia" w:eastAsiaTheme="minorEastAsia" w:cstheme="minorEastAsia"/>
          <w:color w:val="auto"/>
          <w:kern w:val="2"/>
          <w:sz w:val="21"/>
          <w:szCs w:val="21"/>
          <w:highlight w:val="none"/>
        </w:rPr>
        <w:tab/>
      </w:r>
      <w:r>
        <w:rPr>
          <w:rFonts w:hint="eastAsia" w:asciiTheme="minorEastAsia" w:hAnsiTheme="minorEastAsia" w:eastAsiaTheme="minorEastAsia" w:cstheme="minorEastAsia"/>
          <w:color w:val="auto"/>
          <w:kern w:val="2"/>
          <w:sz w:val="21"/>
          <w:szCs w:val="21"/>
          <w:highlight w:val="none"/>
        </w:rPr>
        <w:t>不同投标人的投标文件相互混装；</w:t>
      </w:r>
    </w:p>
    <w:p>
      <w:pPr>
        <w:autoSpaceDE/>
        <w:autoSpaceDN/>
        <w:adjustRightIn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f.</w:t>
      </w:r>
      <w:r>
        <w:rPr>
          <w:rFonts w:hint="eastAsia" w:asciiTheme="minorEastAsia" w:hAnsiTheme="minorEastAsia" w:eastAsiaTheme="minorEastAsia" w:cstheme="minorEastAsia"/>
          <w:color w:val="auto"/>
          <w:kern w:val="2"/>
          <w:sz w:val="21"/>
          <w:szCs w:val="21"/>
          <w:highlight w:val="none"/>
        </w:rPr>
        <w:tab/>
      </w:r>
      <w:r>
        <w:rPr>
          <w:rFonts w:hint="eastAsia" w:asciiTheme="minorEastAsia" w:hAnsiTheme="minorEastAsia" w:eastAsiaTheme="minorEastAsia" w:cstheme="minorEastAsia"/>
          <w:color w:val="auto"/>
          <w:kern w:val="2"/>
          <w:sz w:val="21"/>
          <w:szCs w:val="21"/>
          <w:highlight w:val="none"/>
        </w:rPr>
        <w:t>不同投标人的投标保证金从同一单位或个人的账户转出。</w:t>
      </w:r>
    </w:p>
    <w:p>
      <w:pPr>
        <w:autoSpaceDE/>
        <w:autoSpaceDN/>
        <w:adjustRightIn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(3)有下列情形之一的，属于招标人与投标人串通投标：</w:t>
      </w:r>
    </w:p>
    <w:p>
      <w:pPr>
        <w:autoSpaceDE/>
        <w:autoSpaceDN/>
        <w:adjustRightIn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a.</w:t>
      </w:r>
      <w:r>
        <w:rPr>
          <w:rFonts w:hint="eastAsia" w:asciiTheme="minorEastAsia" w:hAnsiTheme="minorEastAsia" w:eastAsiaTheme="minorEastAsia" w:cstheme="minorEastAsia"/>
          <w:color w:val="auto"/>
          <w:kern w:val="2"/>
          <w:sz w:val="21"/>
          <w:szCs w:val="21"/>
          <w:highlight w:val="none"/>
        </w:rPr>
        <w:tab/>
      </w:r>
      <w:r>
        <w:rPr>
          <w:rFonts w:hint="eastAsia" w:asciiTheme="minorEastAsia" w:hAnsiTheme="minorEastAsia" w:eastAsiaTheme="minorEastAsia" w:cstheme="minorEastAsia"/>
          <w:color w:val="auto"/>
          <w:kern w:val="2"/>
          <w:sz w:val="21"/>
          <w:szCs w:val="21"/>
          <w:highlight w:val="none"/>
        </w:rPr>
        <w:t>招标人在开标前开启投标文件并将有关信息泄露给其他投标人；</w:t>
      </w:r>
    </w:p>
    <w:p>
      <w:pPr>
        <w:autoSpaceDE/>
        <w:autoSpaceDN/>
        <w:adjustRightIn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b.</w:t>
      </w:r>
      <w:r>
        <w:rPr>
          <w:rFonts w:hint="eastAsia" w:asciiTheme="minorEastAsia" w:hAnsiTheme="minorEastAsia" w:eastAsiaTheme="minorEastAsia" w:cstheme="minorEastAsia"/>
          <w:color w:val="auto"/>
          <w:kern w:val="2"/>
          <w:sz w:val="21"/>
          <w:szCs w:val="21"/>
          <w:highlight w:val="none"/>
        </w:rPr>
        <w:tab/>
      </w:r>
      <w:r>
        <w:rPr>
          <w:rFonts w:hint="eastAsia" w:asciiTheme="minorEastAsia" w:hAnsiTheme="minorEastAsia" w:eastAsiaTheme="minorEastAsia" w:cstheme="minorEastAsia"/>
          <w:color w:val="auto"/>
          <w:kern w:val="2"/>
          <w:sz w:val="21"/>
          <w:szCs w:val="21"/>
          <w:highlight w:val="none"/>
        </w:rPr>
        <w:t>招标人直接或间接向投标人泄露标底、评标委员会成员等信息；</w:t>
      </w:r>
    </w:p>
    <w:p>
      <w:pPr>
        <w:autoSpaceDE/>
        <w:autoSpaceDN/>
        <w:adjustRightIn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c.</w:t>
      </w:r>
      <w:r>
        <w:rPr>
          <w:rFonts w:hint="eastAsia" w:asciiTheme="minorEastAsia" w:hAnsiTheme="minorEastAsia" w:eastAsiaTheme="minorEastAsia" w:cstheme="minorEastAsia"/>
          <w:color w:val="auto"/>
          <w:kern w:val="2"/>
          <w:sz w:val="21"/>
          <w:szCs w:val="21"/>
          <w:highlight w:val="none"/>
        </w:rPr>
        <w:tab/>
      </w:r>
      <w:r>
        <w:rPr>
          <w:rFonts w:hint="eastAsia" w:asciiTheme="minorEastAsia" w:hAnsiTheme="minorEastAsia" w:eastAsiaTheme="minorEastAsia" w:cstheme="minorEastAsia"/>
          <w:color w:val="auto"/>
          <w:kern w:val="2"/>
          <w:sz w:val="21"/>
          <w:szCs w:val="21"/>
          <w:highlight w:val="none"/>
        </w:rPr>
        <w:t>招标人明示或暗示投标人压低或抬高投标报价；</w:t>
      </w:r>
    </w:p>
    <w:p>
      <w:pPr>
        <w:autoSpaceDE/>
        <w:autoSpaceDN/>
        <w:adjustRightIn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d.</w:t>
      </w:r>
      <w:r>
        <w:rPr>
          <w:rFonts w:hint="eastAsia" w:asciiTheme="minorEastAsia" w:hAnsiTheme="minorEastAsia" w:eastAsiaTheme="minorEastAsia" w:cstheme="minorEastAsia"/>
          <w:color w:val="auto"/>
          <w:kern w:val="2"/>
          <w:sz w:val="21"/>
          <w:szCs w:val="21"/>
          <w:highlight w:val="none"/>
        </w:rPr>
        <w:tab/>
      </w:r>
      <w:r>
        <w:rPr>
          <w:rFonts w:hint="eastAsia" w:asciiTheme="minorEastAsia" w:hAnsiTheme="minorEastAsia" w:eastAsiaTheme="minorEastAsia" w:cstheme="minorEastAsia"/>
          <w:color w:val="auto"/>
          <w:kern w:val="2"/>
          <w:sz w:val="21"/>
          <w:szCs w:val="21"/>
          <w:highlight w:val="none"/>
        </w:rPr>
        <w:t>招标人授意投标人撤换、修改投标文件；</w:t>
      </w:r>
    </w:p>
    <w:p>
      <w:pPr>
        <w:autoSpaceDE/>
        <w:autoSpaceDN/>
        <w:adjustRightIn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e.</w:t>
      </w:r>
      <w:r>
        <w:rPr>
          <w:rFonts w:hint="eastAsia" w:asciiTheme="minorEastAsia" w:hAnsiTheme="minorEastAsia" w:eastAsiaTheme="minorEastAsia" w:cstheme="minorEastAsia"/>
          <w:color w:val="auto"/>
          <w:kern w:val="2"/>
          <w:sz w:val="21"/>
          <w:szCs w:val="21"/>
          <w:highlight w:val="none"/>
        </w:rPr>
        <w:tab/>
      </w:r>
      <w:r>
        <w:rPr>
          <w:rFonts w:hint="eastAsia" w:asciiTheme="minorEastAsia" w:hAnsiTheme="minorEastAsia" w:eastAsiaTheme="minorEastAsia" w:cstheme="minorEastAsia"/>
          <w:color w:val="auto"/>
          <w:kern w:val="2"/>
          <w:sz w:val="21"/>
          <w:szCs w:val="21"/>
          <w:highlight w:val="none"/>
        </w:rPr>
        <w:t>招标人明示或暗示投标人为特定投标人中标提供方便；</w:t>
      </w:r>
    </w:p>
    <w:p>
      <w:pPr>
        <w:autoSpaceDE/>
        <w:autoSpaceDN/>
        <w:adjustRightIn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f.</w:t>
      </w:r>
      <w:r>
        <w:rPr>
          <w:rFonts w:hint="eastAsia" w:asciiTheme="minorEastAsia" w:hAnsiTheme="minorEastAsia" w:eastAsiaTheme="minorEastAsia" w:cstheme="minorEastAsia"/>
          <w:color w:val="auto"/>
          <w:kern w:val="2"/>
          <w:sz w:val="21"/>
          <w:szCs w:val="21"/>
          <w:highlight w:val="none"/>
        </w:rPr>
        <w:tab/>
      </w:r>
      <w:r>
        <w:rPr>
          <w:rFonts w:hint="eastAsia" w:asciiTheme="minorEastAsia" w:hAnsiTheme="minorEastAsia" w:eastAsiaTheme="minorEastAsia" w:cstheme="minorEastAsia"/>
          <w:color w:val="auto"/>
          <w:kern w:val="2"/>
          <w:sz w:val="21"/>
          <w:szCs w:val="21"/>
          <w:highlight w:val="none"/>
        </w:rPr>
        <w:t>招标人与投标人为谋求特定投标人中标而采取的其他串通行为。</w:t>
      </w:r>
    </w:p>
    <w:p>
      <w:pPr>
        <w:autoSpaceDE/>
        <w:autoSpaceDN/>
        <w:adjustRightIn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(4)投标人有下列情形之一的，属于弄虚作假的行为：</w:t>
      </w:r>
    </w:p>
    <w:p>
      <w:pPr>
        <w:autoSpaceDE/>
        <w:autoSpaceDN/>
        <w:adjustRightIn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a.</w:t>
      </w:r>
      <w:r>
        <w:rPr>
          <w:rFonts w:hint="eastAsia" w:asciiTheme="minorEastAsia" w:hAnsiTheme="minorEastAsia" w:eastAsiaTheme="minorEastAsia" w:cstheme="minorEastAsia"/>
          <w:color w:val="auto"/>
          <w:kern w:val="2"/>
          <w:sz w:val="21"/>
          <w:szCs w:val="21"/>
          <w:highlight w:val="none"/>
        </w:rPr>
        <w:tab/>
      </w:r>
      <w:r>
        <w:rPr>
          <w:rFonts w:hint="eastAsia" w:asciiTheme="minorEastAsia" w:hAnsiTheme="minorEastAsia" w:eastAsiaTheme="minorEastAsia" w:cstheme="minorEastAsia"/>
          <w:color w:val="auto"/>
          <w:kern w:val="2"/>
          <w:sz w:val="21"/>
          <w:szCs w:val="21"/>
          <w:highlight w:val="none"/>
        </w:rPr>
        <w:t>使用通过受让或租借等方式获取的资格、资质证书投标；</w:t>
      </w:r>
    </w:p>
    <w:p>
      <w:pPr>
        <w:autoSpaceDE/>
        <w:autoSpaceDN/>
        <w:adjustRightIn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b.</w:t>
      </w:r>
      <w:r>
        <w:rPr>
          <w:rFonts w:hint="eastAsia" w:asciiTheme="minorEastAsia" w:hAnsiTheme="minorEastAsia" w:eastAsiaTheme="minorEastAsia" w:cstheme="minorEastAsia"/>
          <w:color w:val="auto"/>
          <w:kern w:val="2"/>
          <w:sz w:val="21"/>
          <w:szCs w:val="21"/>
          <w:highlight w:val="none"/>
        </w:rPr>
        <w:tab/>
      </w:r>
      <w:r>
        <w:rPr>
          <w:rFonts w:hint="eastAsia" w:asciiTheme="minorEastAsia" w:hAnsiTheme="minorEastAsia" w:eastAsiaTheme="minorEastAsia" w:cstheme="minorEastAsia"/>
          <w:color w:val="auto"/>
          <w:kern w:val="2"/>
          <w:sz w:val="21"/>
          <w:szCs w:val="21"/>
          <w:highlight w:val="none"/>
        </w:rPr>
        <w:t>使用伪造、变造的许可证件；</w:t>
      </w:r>
    </w:p>
    <w:p>
      <w:pPr>
        <w:autoSpaceDE/>
        <w:autoSpaceDN/>
        <w:adjustRightIn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c.</w:t>
      </w:r>
      <w:r>
        <w:rPr>
          <w:rFonts w:hint="eastAsia" w:asciiTheme="minorEastAsia" w:hAnsiTheme="minorEastAsia" w:eastAsiaTheme="minorEastAsia" w:cstheme="minorEastAsia"/>
          <w:color w:val="auto"/>
          <w:kern w:val="2"/>
          <w:sz w:val="21"/>
          <w:szCs w:val="21"/>
          <w:highlight w:val="none"/>
        </w:rPr>
        <w:tab/>
      </w:r>
      <w:r>
        <w:rPr>
          <w:rFonts w:hint="eastAsia" w:asciiTheme="minorEastAsia" w:hAnsiTheme="minorEastAsia" w:eastAsiaTheme="minorEastAsia" w:cstheme="minorEastAsia"/>
          <w:color w:val="auto"/>
          <w:kern w:val="2"/>
          <w:sz w:val="21"/>
          <w:szCs w:val="21"/>
          <w:highlight w:val="none"/>
        </w:rPr>
        <w:t>提供虚假的业绩；</w:t>
      </w:r>
    </w:p>
    <w:p>
      <w:pPr>
        <w:autoSpaceDE/>
        <w:autoSpaceDN/>
        <w:adjustRightIn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d.</w:t>
      </w:r>
      <w:r>
        <w:rPr>
          <w:rFonts w:hint="eastAsia" w:asciiTheme="minorEastAsia" w:hAnsiTheme="minorEastAsia" w:eastAsiaTheme="minorEastAsia" w:cstheme="minorEastAsia"/>
          <w:color w:val="auto"/>
          <w:kern w:val="2"/>
          <w:sz w:val="21"/>
          <w:szCs w:val="21"/>
          <w:highlight w:val="none"/>
        </w:rPr>
        <w:tab/>
      </w:r>
      <w:r>
        <w:rPr>
          <w:rFonts w:hint="eastAsia" w:asciiTheme="minorEastAsia" w:hAnsiTheme="minorEastAsia" w:eastAsiaTheme="minorEastAsia" w:cstheme="minorEastAsia"/>
          <w:color w:val="auto"/>
          <w:kern w:val="2"/>
          <w:sz w:val="21"/>
          <w:szCs w:val="21"/>
          <w:highlight w:val="none"/>
        </w:rPr>
        <w:t>提供虚假的项目负责人或主要技术人员简历、劳动关系证明；</w:t>
      </w:r>
    </w:p>
    <w:p>
      <w:pPr>
        <w:autoSpaceDE/>
        <w:autoSpaceDN/>
        <w:adjustRightIn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e.</w:t>
      </w:r>
      <w:r>
        <w:rPr>
          <w:rFonts w:hint="eastAsia" w:asciiTheme="minorEastAsia" w:hAnsiTheme="minorEastAsia" w:eastAsiaTheme="minorEastAsia" w:cstheme="minorEastAsia"/>
          <w:color w:val="auto"/>
          <w:kern w:val="2"/>
          <w:sz w:val="21"/>
          <w:szCs w:val="21"/>
          <w:highlight w:val="none"/>
        </w:rPr>
        <w:tab/>
      </w:r>
      <w:r>
        <w:rPr>
          <w:rFonts w:hint="eastAsia" w:asciiTheme="minorEastAsia" w:hAnsiTheme="minorEastAsia" w:eastAsiaTheme="minorEastAsia" w:cstheme="minorEastAsia"/>
          <w:color w:val="auto"/>
          <w:kern w:val="2"/>
          <w:sz w:val="21"/>
          <w:szCs w:val="21"/>
          <w:highlight w:val="none"/>
        </w:rPr>
        <w:t>提供虚假的信用状况；</w:t>
      </w:r>
    </w:p>
    <w:p>
      <w:pPr>
        <w:autoSpaceDE/>
        <w:autoSpaceDN/>
        <w:adjustRightIn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f.</w:t>
      </w:r>
      <w:r>
        <w:rPr>
          <w:rFonts w:hint="eastAsia" w:asciiTheme="minorEastAsia" w:hAnsiTheme="minorEastAsia" w:eastAsiaTheme="minorEastAsia" w:cstheme="minorEastAsia"/>
          <w:color w:val="auto"/>
          <w:kern w:val="2"/>
          <w:sz w:val="21"/>
          <w:szCs w:val="21"/>
          <w:highlight w:val="none"/>
        </w:rPr>
        <w:tab/>
      </w:r>
      <w:r>
        <w:rPr>
          <w:rFonts w:hint="eastAsia" w:asciiTheme="minorEastAsia" w:hAnsiTheme="minorEastAsia" w:eastAsiaTheme="minorEastAsia" w:cstheme="minorEastAsia"/>
          <w:color w:val="auto"/>
          <w:kern w:val="2"/>
          <w:sz w:val="21"/>
          <w:szCs w:val="21"/>
          <w:highlight w:val="none"/>
        </w:rPr>
        <w:t>其他弄虚作假的行为。</w:t>
      </w:r>
    </w:p>
    <w:p>
      <w:pPr>
        <w:autoSpaceDE/>
        <w:autoSpaceDN/>
        <w:adjustRightInd/>
        <w:spacing w:line="360" w:lineRule="auto"/>
        <w:jc w:val="both"/>
        <w:textAlignment w:val="auto"/>
        <w:rPr>
          <w:rFonts w:hint="eastAsia" w:asciiTheme="minorEastAsia" w:hAnsiTheme="minorEastAsia" w:eastAsiaTheme="minorEastAsia" w:cstheme="minorEastAsia"/>
          <w:b/>
          <w:color w:val="auto"/>
          <w:kern w:val="2"/>
          <w:sz w:val="21"/>
          <w:szCs w:val="24"/>
          <w:highlight w:val="none"/>
        </w:rPr>
      </w:pPr>
      <w:r>
        <w:rPr>
          <w:rFonts w:hint="eastAsia" w:asciiTheme="minorEastAsia" w:hAnsiTheme="minorEastAsia" w:eastAsiaTheme="minorEastAsia" w:cstheme="minorEastAsia"/>
          <w:b/>
          <w:color w:val="auto"/>
          <w:kern w:val="2"/>
          <w:sz w:val="21"/>
          <w:szCs w:val="24"/>
          <w:highlight w:val="none"/>
        </w:rPr>
        <w:t>3.7投标文件的澄清和说明</w:t>
      </w:r>
    </w:p>
    <w:p>
      <w:pPr>
        <w:autoSpaceDE/>
        <w:autoSpaceDN/>
        <w:adjustRightIn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3.7.1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autoSpaceDE/>
        <w:autoSpaceDN/>
        <w:adjustRightIn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3.7.2澄清和说明不得超出投标文件的范围或改变投标文件的实质性内容（算术性错误的修正除外）。投标人的书面澄清、说明属于投标文件的组成部分。</w:t>
      </w:r>
    </w:p>
    <w:p>
      <w:pPr>
        <w:autoSpaceDE/>
        <w:autoSpaceDN/>
        <w:adjustRightIn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3.7.3评标委员会不得暗示或诱导投标人作出澄清、说明，对投标人提交的澄清、说明有疑问的，可以要求投标人进一步澄清或说明，直至满足评标委员会的要求。</w:t>
      </w:r>
    </w:p>
    <w:p>
      <w:pPr>
        <w:autoSpaceDE/>
        <w:autoSpaceDN/>
        <w:adjustRightIn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3.7.4凡超出招标文件规定的或给发包人带来未曾要求的利益的变化、偏差或其他因素在评标时不予考虑。</w:t>
      </w:r>
    </w:p>
    <w:p>
      <w:pPr>
        <w:autoSpaceDE/>
        <w:autoSpaceDN/>
        <w:adjustRightInd/>
        <w:spacing w:line="360" w:lineRule="auto"/>
        <w:jc w:val="both"/>
        <w:textAlignment w:val="auto"/>
        <w:rPr>
          <w:rFonts w:hint="eastAsia" w:asciiTheme="minorEastAsia" w:hAnsiTheme="minorEastAsia" w:eastAsiaTheme="minorEastAsia" w:cstheme="minorEastAsia"/>
          <w:b/>
          <w:color w:val="auto"/>
          <w:kern w:val="2"/>
          <w:sz w:val="21"/>
          <w:szCs w:val="24"/>
          <w:highlight w:val="none"/>
        </w:rPr>
      </w:pPr>
      <w:r>
        <w:rPr>
          <w:rFonts w:hint="eastAsia" w:asciiTheme="minorEastAsia" w:hAnsiTheme="minorEastAsia" w:eastAsiaTheme="minorEastAsia" w:cstheme="minorEastAsia"/>
          <w:b/>
          <w:color w:val="auto"/>
          <w:kern w:val="2"/>
          <w:sz w:val="21"/>
          <w:szCs w:val="24"/>
          <w:highlight w:val="none"/>
        </w:rPr>
        <w:t>3.8不得否决投标的情形</w:t>
      </w:r>
    </w:p>
    <w:p>
      <w:pPr>
        <w:autoSpaceDE/>
        <w:autoSpaceDN/>
        <w:adjustRightIn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投标文件存在第二章“投标人须知”</w:t>
      </w:r>
      <w:bookmarkStart w:id="26" w:name="_GoBack"/>
      <w:bookmarkEnd w:id="26"/>
      <w:r>
        <w:rPr>
          <w:rFonts w:hint="eastAsia" w:asciiTheme="minorEastAsia" w:hAnsiTheme="minorEastAsia" w:eastAsiaTheme="minorEastAsia" w:cstheme="minorEastAsia"/>
          <w:color w:val="auto"/>
          <w:kern w:val="2"/>
          <w:sz w:val="21"/>
          <w:szCs w:val="21"/>
          <w:highlight w:val="none"/>
        </w:rPr>
        <w:t>第1.12.3项所列情形的，均视为细微偏差，评标委员会不得否决投标人的投标，应按照第二章“投标人须知”第1.12.4项规定的原则处理。</w:t>
      </w:r>
    </w:p>
    <w:p>
      <w:pPr>
        <w:autoSpaceDE/>
        <w:autoSpaceDN/>
        <w:adjustRightInd/>
        <w:spacing w:line="360" w:lineRule="auto"/>
        <w:jc w:val="both"/>
        <w:textAlignment w:val="auto"/>
        <w:rPr>
          <w:rFonts w:hint="eastAsia" w:asciiTheme="minorEastAsia" w:hAnsiTheme="minorEastAsia" w:eastAsiaTheme="minorEastAsia" w:cstheme="minorEastAsia"/>
          <w:b/>
          <w:color w:val="auto"/>
          <w:kern w:val="2"/>
          <w:sz w:val="21"/>
          <w:szCs w:val="24"/>
          <w:highlight w:val="none"/>
        </w:rPr>
      </w:pPr>
      <w:r>
        <w:rPr>
          <w:rFonts w:hint="eastAsia" w:asciiTheme="minorEastAsia" w:hAnsiTheme="minorEastAsia" w:eastAsiaTheme="minorEastAsia" w:cstheme="minorEastAsia"/>
          <w:b/>
          <w:color w:val="auto"/>
          <w:kern w:val="2"/>
          <w:sz w:val="21"/>
          <w:szCs w:val="24"/>
          <w:highlight w:val="none"/>
        </w:rPr>
        <w:t>3.9评标结果</w:t>
      </w:r>
    </w:p>
    <w:p>
      <w:pPr>
        <w:autoSpaceDE/>
        <w:autoSpaceDN/>
        <w:adjustRightIn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3.9.1除第二章“投标人须知”前附表授权直接确定中标人外，评标委员会按照得分由高到低的顺序推荐中标候选人，并标明排序。</w:t>
      </w:r>
    </w:p>
    <w:p>
      <w:pPr>
        <w:autoSpaceDE/>
        <w:autoSpaceDN/>
        <w:adjustRightInd/>
        <w:spacing w:line="360" w:lineRule="auto"/>
        <w:ind w:firstLine="420" w:firstLineChars="200"/>
        <w:jc w:val="both"/>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3.9.2评标委员会完成评标后，应向招标人提交书面评标报告。</w:t>
      </w:r>
    </w:p>
    <w:p>
      <w:pPr>
        <w:pStyle w:val="2"/>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none" w:color="auto" w:sz="0" w:space="1"/>
        <w:left w:val="none" w:color="auto" w:sz="0" w:space="4"/>
        <w:bottom w:val="none" w:color="auto" w:sz="0" w:space="1"/>
        <w:right w:val="none" w:color="auto" w:sz="0" w:space="4"/>
        <w:between w:val="none" w:color="auto" w:sz="0" w:space="0"/>
      </w:pBdr>
      <w:ind w:right="66" w:rightChars="33" w:firstLine="90" w:firstLineChars="50"/>
      <w:jc w:val="lef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wps:txbx>
                    <wps:bodyPr wrap="none" lIns="0" tIns="0" rIns="0" bIns="0" upright="0">
                      <a:spAutoFit/>
                    </wps:bodyPr>
                  </wps:wsp>
                </a:graphicData>
              </a:graphic>
            </wp:anchor>
          </w:drawing>
        </mc:Choice>
        <mc:Fallback>
          <w:pict>
            <v:shape id="文本框 4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AgIrZGwAQAA&#10;TAMAAA4AAAAAAAAAAQAgAAAAHgEAAGRycy9lMm9Eb2MueG1sUEsFBgAAAAAGAAYAWQEAAEAFAAAA&#10;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431A73"/>
    <w:rsid w:val="021133FD"/>
    <w:rsid w:val="03277914"/>
    <w:rsid w:val="05AF28EC"/>
    <w:rsid w:val="0A474CA4"/>
    <w:rsid w:val="0C2C713B"/>
    <w:rsid w:val="0CDD11E8"/>
    <w:rsid w:val="0ED9107D"/>
    <w:rsid w:val="109F3F1B"/>
    <w:rsid w:val="124D3280"/>
    <w:rsid w:val="130528AB"/>
    <w:rsid w:val="136745AA"/>
    <w:rsid w:val="13743D45"/>
    <w:rsid w:val="13B37053"/>
    <w:rsid w:val="15126052"/>
    <w:rsid w:val="162062B4"/>
    <w:rsid w:val="17257C9C"/>
    <w:rsid w:val="1D0B07DD"/>
    <w:rsid w:val="205F6DC4"/>
    <w:rsid w:val="21725B68"/>
    <w:rsid w:val="219B6CD6"/>
    <w:rsid w:val="245075F4"/>
    <w:rsid w:val="25211348"/>
    <w:rsid w:val="25322CBC"/>
    <w:rsid w:val="26701980"/>
    <w:rsid w:val="2DB0789D"/>
    <w:rsid w:val="2E1A6B48"/>
    <w:rsid w:val="2EAB2D84"/>
    <w:rsid w:val="30723822"/>
    <w:rsid w:val="30AF4219"/>
    <w:rsid w:val="32A6641F"/>
    <w:rsid w:val="35B87FA5"/>
    <w:rsid w:val="39A9324D"/>
    <w:rsid w:val="3AC215C1"/>
    <w:rsid w:val="3CD82069"/>
    <w:rsid w:val="3D603BEF"/>
    <w:rsid w:val="3EE542BB"/>
    <w:rsid w:val="437C725D"/>
    <w:rsid w:val="43D314D0"/>
    <w:rsid w:val="455B79C5"/>
    <w:rsid w:val="466E213A"/>
    <w:rsid w:val="48232A51"/>
    <w:rsid w:val="48CA6BB5"/>
    <w:rsid w:val="49D922D9"/>
    <w:rsid w:val="4CC12619"/>
    <w:rsid w:val="4CFC06A2"/>
    <w:rsid w:val="4D333C05"/>
    <w:rsid w:val="50CE309B"/>
    <w:rsid w:val="536A7550"/>
    <w:rsid w:val="56AC2B54"/>
    <w:rsid w:val="5CDB4CF1"/>
    <w:rsid w:val="5FE21025"/>
    <w:rsid w:val="611A169F"/>
    <w:rsid w:val="615E748F"/>
    <w:rsid w:val="668E3466"/>
    <w:rsid w:val="675C62E2"/>
    <w:rsid w:val="6857330C"/>
    <w:rsid w:val="69024817"/>
    <w:rsid w:val="6B312C71"/>
    <w:rsid w:val="6B5F0A78"/>
    <w:rsid w:val="6DAB270E"/>
    <w:rsid w:val="6EAF4BB9"/>
    <w:rsid w:val="6F16681B"/>
    <w:rsid w:val="6F436F2E"/>
    <w:rsid w:val="70094B86"/>
    <w:rsid w:val="703C1E2E"/>
    <w:rsid w:val="70624026"/>
    <w:rsid w:val="712E353C"/>
    <w:rsid w:val="73D930E6"/>
    <w:rsid w:val="75431A73"/>
    <w:rsid w:val="7A050574"/>
    <w:rsid w:val="7A6706AF"/>
    <w:rsid w:val="7AA00B4D"/>
    <w:rsid w:val="7EC12BE6"/>
    <w:rsid w:val="7F061A9E"/>
    <w:rsid w:val="7FB66432"/>
    <w:rsid w:val="7FD36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textAlignment w:val="baseline"/>
    </w:pPr>
    <w:rPr>
      <w:rFonts w:ascii="Arial" w:hAnsi="Arial" w:eastAsia="宋体" w:cs="Times New Roman"/>
      <w:lang w:val="en-US" w:eastAsia="zh-CN" w:bidi="ar-SA"/>
    </w:rPr>
  </w:style>
  <w:style w:type="paragraph" w:styleId="4">
    <w:name w:val="heading 2"/>
    <w:basedOn w:val="1"/>
    <w:next w:val="1"/>
    <w:qFormat/>
    <w:uiPriority w:val="0"/>
    <w:pPr>
      <w:keepNext/>
      <w:keepLines/>
      <w:autoSpaceDE/>
      <w:autoSpaceDN/>
      <w:adjustRightInd/>
      <w:spacing w:before="260" w:after="260" w:line="416" w:lineRule="auto"/>
      <w:jc w:val="both"/>
      <w:textAlignment w:val="auto"/>
      <w:outlineLvl w:val="1"/>
    </w:pPr>
    <w:rPr>
      <w:rFonts w:eastAsia="黑体"/>
      <w:b/>
      <w:bCs/>
      <w:kern w:val="2"/>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99"/>
    <w:pPr>
      <w:tabs>
        <w:tab w:val="center" w:pos="4153"/>
        <w:tab w:val="right" w:pos="8306"/>
      </w:tabs>
    </w:pPr>
    <w:rPr>
      <w:rFonts w:ascii="宋体"/>
      <w:sz w:val="18"/>
    </w:rPr>
  </w:style>
  <w:style w:type="paragraph" w:customStyle="1" w:styleId="3">
    <w:name w:val="彩色列表 - 强调文字颜色 11"/>
    <w:basedOn w:val="1"/>
    <w:next w:val="1"/>
    <w:qFormat/>
    <w:uiPriority w:val="0"/>
    <w:pPr>
      <w:ind w:firstLine="420" w:firstLineChars="200"/>
    </w:pPr>
    <w:rPr>
      <w:rFonts w:ascii="Calibri" w:hAnsi="Calibri"/>
    </w:rPr>
  </w:style>
  <w:style w:type="paragraph" w:styleId="5">
    <w:name w:val="annotation text"/>
    <w:basedOn w:val="1"/>
    <w:semiHidden/>
    <w:qFormat/>
    <w:uiPriority w:val="0"/>
  </w:style>
  <w:style w:type="paragraph" w:styleId="6">
    <w:name w:val="Body Text Indent 2"/>
    <w:basedOn w:val="1"/>
    <w:qFormat/>
    <w:uiPriority w:val="0"/>
    <w:pPr>
      <w:ind w:firstLine="480" w:firstLineChars="200"/>
      <w:jc w:val="both"/>
    </w:pPr>
    <w:rPr>
      <w:rFonts w:ascii="仿宋_GB2312" w:eastAsia="仿宋_GB2312"/>
      <w:sz w:val="24"/>
    </w:rPr>
  </w:style>
  <w:style w:type="paragraph" w:customStyle="1" w:styleId="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2022-12-05T03:57:00Z</dcterms:created>
  <dc:creator>任燕</dc:creator>
  <cp:lastModifiedBy>任燕</cp:lastModifiedBy>
  <dcterms:modified xsi:type="dcterms:W3CDTF">2022-12-05T03:59:07Z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4DD5EA52C3D842038C996F949DC63EC6</vt:lpwstr>
  </property>
</Properties>
</file>