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1、附录</w:t>
      </w:r>
    </w:p>
    <w:p>
      <w:pPr>
        <w:spacing w:before="100" w:beforeAutospacing="1" w:after="100" w:afterAutospacing="1" w:line="360" w:lineRule="auto"/>
        <w:jc w:val="center"/>
        <w:outlineLvl w:val="1"/>
        <w:rPr>
          <w:rFonts w:ascii="宋体" w:hAnsi="宋体" w:cs="Arial"/>
          <w:b/>
          <w:color w:val="auto"/>
          <w:sz w:val="18"/>
          <w:szCs w:val="18"/>
          <w:highlight w:val="none"/>
        </w:rPr>
      </w:pPr>
      <w:r>
        <w:rPr>
          <w:rFonts w:hint="eastAsia" w:ascii="宋体" w:hAnsi="宋体" w:cs="Arial"/>
          <w:b/>
          <w:color w:val="auto"/>
          <w:sz w:val="30"/>
          <w:szCs w:val="30"/>
          <w:highlight w:val="none"/>
        </w:rPr>
        <w:t>附录</w:t>
      </w:r>
      <w:r>
        <w:rPr>
          <w:rFonts w:ascii="宋体" w:hAnsi="宋体" w:cs="Arial"/>
          <w:b/>
          <w:color w:val="auto"/>
          <w:sz w:val="30"/>
          <w:szCs w:val="30"/>
          <w:highlight w:val="none"/>
        </w:rPr>
        <w:t xml:space="preserve">1 </w:t>
      </w:r>
      <w:r>
        <w:rPr>
          <w:rFonts w:hint="eastAsia" w:ascii="宋体" w:hAnsi="宋体" w:cs="Arial"/>
          <w:b/>
          <w:color w:val="auto"/>
          <w:sz w:val="30"/>
          <w:szCs w:val="30"/>
          <w:highlight w:val="none"/>
        </w:rPr>
        <w:t>资格审查条件（资质最低要求）</w:t>
      </w:r>
    </w:p>
    <w:tbl>
      <w:tblPr>
        <w:tblStyle w:val="8"/>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9288" w:type="dxa"/>
            <w:noWrap w:val="0"/>
            <w:vAlign w:val="center"/>
          </w:tcPr>
          <w:p>
            <w:pPr>
              <w:autoSpaceDE w:val="0"/>
              <w:autoSpaceDN w:val="0"/>
              <w:adjustRightInd w:val="0"/>
              <w:spacing w:line="300" w:lineRule="auto"/>
              <w:jc w:val="center"/>
              <w:textAlignment w:val="baseline"/>
              <w:rPr>
                <w:rFonts w:ascii="宋体"/>
                <w:color w:val="auto"/>
                <w:kern w:val="0"/>
                <w:sz w:val="21"/>
                <w:szCs w:val="21"/>
                <w:highlight w:val="none"/>
              </w:rPr>
            </w:pPr>
            <w:r>
              <w:rPr>
                <w:rFonts w:hint="eastAsia" w:ascii="宋体" w:hAnsi="宋体"/>
                <w:b/>
                <w:bCs/>
                <w:color w:val="auto"/>
                <w:kern w:val="0"/>
                <w:sz w:val="24"/>
                <w:szCs w:val="24"/>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288" w:type="dxa"/>
            <w:noWrap w:val="0"/>
            <w:vAlign w:val="center"/>
          </w:tcPr>
          <w:p>
            <w:pPr>
              <w:autoSpaceDE w:val="0"/>
              <w:autoSpaceDN w:val="0"/>
              <w:adjustRightInd w:val="0"/>
              <w:spacing w:line="300" w:lineRule="auto"/>
              <w:jc w:val="center"/>
              <w:textAlignment w:val="baseline"/>
              <w:rPr>
                <w:rFonts w:hint="eastAsia" w:ascii="宋体" w:hAnsi="宋体"/>
                <w:color w:val="auto"/>
                <w:kern w:val="0"/>
                <w:sz w:val="21"/>
                <w:szCs w:val="21"/>
                <w:highlight w:val="none"/>
              </w:rPr>
            </w:pPr>
            <w:r>
              <w:rPr>
                <w:rFonts w:hint="eastAsia" w:ascii="宋体" w:hAnsi="宋体"/>
                <w:b w:val="0"/>
                <w:bCs w:val="0"/>
                <w:color w:val="auto"/>
                <w:kern w:val="0"/>
                <w:sz w:val="21"/>
                <w:szCs w:val="21"/>
                <w:highlight w:val="none"/>
              </w:rPr>
              <w:t>投标人须具备</w:t>
            </w:r>
            <w:r>
              <w:rPr>
                <w:rFonts w:hint="eastAsia" w:ascii="宋体" w:hAnsi="宋体"/>
                <w:b w:val="0"/>
                <w:bCs w:val="0"/>
                <w:color w:val="auto"/>
                <w:kern w:val="0"/>
                <w:sz w:val="21"/>
                <w:szCs w:val="21"/>
                <w:highlight w:val="none"/>
                <w:lang w:eastAsia="zh-CN"/>
              </w:rPr>
              <w:t>公路工程施工总承包壹级或以上及建筑工程施工总承包贰级或以上</w:t>
            </w:r>
            <w:r>
              <w:rPr>
                <w:rFonts w:hint="eastAsia" w:ascii="宋体" w:hAnsi="宋体"/>
                <w:b w:val="0"/>
                <w:bCs w:val="0"/>
                <w:color w:val="auto"/>
                <w:kern w:val="0"/>
                <w:sz w:val="21"/>
                <w:szCs w:val="21"/>
                <w:highlight w:val="none"/>
              </w:rPr>
              <w:t>；</w:t>
            </w:r>
          </w:p>
        </w:tc>
      </w:tr>
    </w:tbl>
    <w:p>
      <w:pPr>
        <w:jc w:val="left"/>
        <w:rPr>
          <w:color w:val="auto"/>
          <w:highlight w:val="none"/>
        </w:rPr>
      </w:pPr>
      <w:bookmarkStart w:id="0" w:name="_Toc492903356"/>
      <w:bookmarkStart w:id="1" w:name="_Toc236538952"/>
      <w:bookmarkStart w:id="2" w:name="_Toc330366399"/>
      <w:bookmarkStart w:id="3" w:name="_Toc329932161"/>
      <w:bookmarkStart w:id="4" w:name="_Toc442431577"/>
    </w:p>
    <w:p>
      <w:pPr>
        <w:spacing w:before="100" w:beforeAutospacing="1" w:after="100" w:afterAutospacing="1" w:line="360" w:lineRule="auto"/>
        <w:jc w:val="center"/>
        <w:outlineLvl w:val="1"/>
        <w:rPr>
          <w:rFonts w:hint="eastAsia" w:ascii="宋体" w:hAnsi="宋体"/>
          <w:b/>
          <w:color w:val="auto"/>
          <w:sz w:val="30"/>
          <w:szCs w:val="30"/>
          <w:highlight w:val="none"/>
        </w:rPr>
      </w:pPr>
    </w:p>
    <w:p>
      <w:pPr>
        <w:spacing w:before="100" w:beforeAutospacing="1" w:after="100" w:afterAutospacing="1" w:line="360" w:lineRule="auto"/>
        <w:jc w:val="center"/>
        <w:outlineLvl w:val="1"/>
        <w:rPr>
          <w:rFonts w:ascii="宋体" w:hAnsi="宋体"/>
          <w:b/>
          <w:color w:val="auto"/>
          <w:sz w:val="30"/>
          <w:szCs w:val="30"/>
          <w:highlight w:val="none"/>
        </w:rPr>
      </w:pPr>
      <w:r>
        <w:rPr>
          <w:rFonts w:hint="eastAsia" w:ascii="宋体" w:hAnsi="宋体"/>
          <w:b/>
          <w:color w:val="auto"/>
          <w:sz w:val="30"/>
          <w:szCs w:val="30"/>
          <w:highlight w:val="none"/>
        </w:rPr>
        <w:t>附录</w:t>
      </w:r>
      <w:r>
        <w:rPr>
          <w:rFonts w:ascii="宋体" w:hAnsi="宋体"/>
          <w:b/>
          <w:color w:val="auto"/>
          <w:sz w:val="30"/>
          <w:szCs w:val="30"/>
          <w:highlight w:val="none"/>
        </w:rPr>
        <w:t xml:space="preserve">2 </w:t>
      </w:r>
      <w:r>
        <w:rPr>
          <w:rFonts w:hint="eastAsia" w:ascii="宋体" w:hAnsi="宋体"/>
          <w:b/>
          <w:color w:val="auto"/>
          <w:sz w:val="30"/>
          <w:szCs w:val="30"/>
          <w:highlight w:val="none"/>
        </w:rPr>
        <w:t>资格审查条件（财务最低要求）</w:t>
      </w:r>
    </w:p>
    <w:tbl>
      <w:tblPr>
        <w:tblStyle w:val="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20" w:type="dxa"/>
            <w:noWrap w:val="0"/>
            <w:vAlign w:val="center"/>
          </w:tcPr>
          <w:p>
            <w:pPr>
              <w:spacing w:before="120" w:beforeLines="50" w:line="360" w:lineRule="auto"/>
              <w:jc w:val="center"/>
              <w:rPr>
                <w:rFonts w:ascii="宋体" w:hAnsi="宋体" w:cs="Arial"/>
                <w:color w:val="auto"/>
                <w:szCs w:val="21"/>
                <w:highlight w:val="none"/>
              </w:rPr>
            </w:pPr>
            <w:r>
              <w:rPr>
                <w:rFonts w:hint="eastAsia" w:ascii="宋体" w:hAnsi="宋体"/>
                <w:b/>
                <w:bCs/>
                <w:color w:val="auto"/>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220" w:type="dxa"/>
            <w:noWrap w:val="0"/>
            <w:vAlign w:val="center"/>
          </w:tcPr>
          <w:p>
            <w:pPr>
              <w:spacing w:line="360" w:lineRule="auto"/>
              <w:ind w:firstLine="210" w:firstLineChars="100"/>
              <w:jc w:val="center"/>
              <w:rPr>
                <w:rFonts w:ascii="宋体" w:hAnsi="宋体" w:cs="Arial"/>
                <w:color w:val="auto"/>
                <w:sz w:val="18"/>
                <w:szCs w:val="18"/>
                <w:highlight w:val="none"/>
              </w:rPr>
            </w:pPr>
            <w:r>
              <w:rPr>
                <w:rFonts w:hint="eastAsia" w:ascii="宋体" w:hAnsi="宋体"/>
                <w:b w:val="0"/>
                <w:bCs/>
                <w:color w:val="auto"/>
                <w:sz w:val="21"/>
                <w:szCs w:val="22"/>
                <w:highlight w:val="none"/>
              </w:rPr>
              <w:t>2020年度及2021年度流动比率大于1。</w:t>
            </w:r>
          </w:p>
        </w:tc>
      </w:tr>
    </w:tbl>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spacing w:before="100" w:beforeAutospacing="1" w:after="100" w:afterAutospacing="1" w:line="360" w:lineRule="auto"/>
        <w:jc w:val="center"/>
        <w:outlineLvl w:val="1"/>
        <w:rPr>
          <w:rFonts w:ascii="宋体" w:hAnsi="宋体"/>
          <w:b/>
          <w:color w:val="auto"/>
          <w:sz w:val="30"/>
          <w:szCs w:val="30"/>
          <w:highlight w:val="none"/>
        </w:rPr>
      </w:pPr>
      <w:r>
        <w:rPr>
          <w:rFonts w:hint="eastAsia" w:ascii="宋体" w:hAnsi="宋体"/>
          <w:b/>
          <w:color w:val="auto"/>
          <w:sz w:val="30"/>
          <w:szCs w:val="30"/>
          <w:highlight w:val="none"/>
        </w:rPr>
        <w:t>附录</w:t>
      </w:r>
      <w:r>
        <w:rPr>
          <w:rFonts w:ascii="宋体" w:hAnsi="宋体"/>
          <w:b/>
          <w:color w:val="auto"/>
          <w:sz w:val="30"/>
          <w:szCs w:val="30"/>
          <w:highlight w:val="none"/>
        </w:rPr>
        <w:t xml:space="preserve">3 </w:t>
      </w:r>
      <w:r>
        <w:rPr>
          <w:rFonts w:hint="eastAsia" w:ascii="宋体" w:hAnsi="宋体"/>
          <w:b/>
          <w:color w:val="auto"/>
          <w:sz w:val="30"/>
          <w:szCs w:val="30"/>
          <w:highlight w:val="none"/>
        </w:rPr>
        <w:t>资格审查条件（业绩最低要求）</w:t>
      </w:r>
    </w:p>
    <w:p>
      <w:pPr>
        <w:jc w:val="center"/>
        <w:rPr>
          <w:rFonts w:ascii="宋体" w:hAnsi="宋体"/>
          <w:b/>
          <w:bCs/>
          <w:color w:val="auto"/>
          <w:kern w:val="0"/>
          <w:sz w:val="24"/>
          <w:highlight w:val="none"/>
          <w:vertAlign w:val="superscript"/>
        </w:rPr>
      </w:pPr>
    </w:p>
    <w:tbl>
      <w:tblPr>
        <w:tblStyle w:val="8"/>
        <w:tblW w:w="90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82" w:type="dxa"/>
            <w:tcBorders>
              <w:top w:val="single" w:color="auto" w:sz="8" w:space="0"/>
              <w:left w:val="single" w:color="auto" w:sz="8" w:space="0"/>
              <w:bottom w:val="single" w:color="auto" w:sz="8" w:space="0"/>
              <w:right w:val="single" w:color="auto" w:sz="8" w:space="0"/>
            </w:tcBorders>
            <w:noWrap w:val="0"/>
            <w:vAlign w:val="bottom"/>
          </w:tcPr>
          <w:p>
            <w:pPr>
              <w:spacing w:line="480" w:lineRule="auto"/>
              <w:jc w:val="center"/>
              <w:textAlignment w:val="baseline"/>
              <w:rPr>
                <w:rFonts w:ascii="宋体" w:hAnsi="宋体"/>
                <w:color w:val="auto"/>
                <w:sz w:val="21"/>
                <w:szCs w:val="21"/>
                <w:highlight w:val="none"/>
              </w:rPr>
            </w:pPr>
            <w:r>
              <w:rPr>
                <w:rFonts w:hint="eastAsia" w:ascii="宋体" w:hAnsi="宋体"/>
                <w:b/>
                <w:bCs/>
                <w:color w:val="auto"/>
                <w:sz w:val="24"/>
                <w:szCs w:val="24"/>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082"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ascii="宋体" w:hAnsi="宋体"/>
                <w:b/>
                <w:color w:val="auto"/>
                <w:sz w:val="21"/>
                <w:szCs w:val="21"/>
                <w:highlight w:val="none"/>
              </w:rPr>
            </w:pPr>
            <w:r>
              <w:rPr>
                <w:rFonts w:hint="eastAsia" w:ascii="宋体" w:hAnsi="宋体"/>
                <w:b w:val="0"/>
                <w:bCs/>
                <w:color w:val="auto"/>
                <w:sz w:val="21"/>
                <w:szCs w:val="21"/>
                <w:highlight w:val="none"/>
              </w:rPr>
              <w:t>无业绩最低要求</w:t>
            </w:r>
          </w:p>
        </w:tc>
      </w:tr>
    </w:tbl>
    <w:p>
      <w:pPr>
        <w:jc w:val="left"/>
        <w:rPr>
          <w:color w:val="auto"/>
          <w:highlight w:val="none"/>
        </w:rPr>
      </w:pPr>
    </w:p>
    <w:p>
      <w:pPr>
        <w:jc w:val="left"/>
        <w:rPr>
          <w:color w:val="auto"/>
          <w:highlight w:val="none"/>
        </w:rPr>
      </w:pPr>
    </w:p>
    <w:bookmarkEnd w:id="0"/>
    <w:bookmarkEnd w:id="1"/>
    <w:bookmarkEnd w:id="2"/>
    <w:bookmarkEnd w:id="3"/>
    <w:bookmarkEnd w:id="4"/>
    <w:p>
      <w:pPr>
        <w:jc w:val="left"/>
        <w:rPr>
          <w:rFonts w:ascii="宋体" w:hAnsi="宋体" w:cs="Arial"/>
          <w:b/>
          <w:color w:val="auto"/>
          <w:sz w:val="30"/>
          <w:szCs w:val="30"/>
          <w:highlight w:val="none"/>
        </w:rPr>
      </w:pPr>
      <w:r>
        <w:rPr>
          <w:rFonts w:hint="eastAsia" w:ascii="宋体" w:hAnsi="宋体" w:cs="Arial"/>
          <w:b/>
          <w:color w:val="auto"/>
          <w:sz w:val="30"/>
          <w:szCs w:val="30"/>
          <w:highlight w:val="none"/>
        </w:rPr>
        <w:br w:type="page"/>
      </w:r>
    </w:p>
    <w:p>
      <w:pPr>
        <w:spacing w:before="100" w:beforeAutospacing="1" w:after="100" w:afterAutospacing="1" w:line="360" w:lineRule="auto"/>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t>附录</w:t>
      </w:r>
      <w:r>
        <w:rPr>
          <w:rFonts w:ascii="宋体" w:hAnsi="宋体" w:cs="Arial"/>
          <w:b/>
          <w:color w:val="auto"/>
          <w:sz w:val="30"/>
          <w:szCs w:val="30"/>
          <w:highlight w:val="none"/>
        </w:rPr>
        <w:t xml:space="preserve">4 </w:t>
      </w:r>
      <w:r>
        <w:rPr>
          <w:rFonts w:hint="eastAsia" w:ascii="宋体" w:hAnsi="宋体" w:cs="Arial"/>
          <w:b/>
          <w:color w:val="auto"/>
          <w:sz w:val="30"/>
          <w:szCs w:val="30"/>
          <w:highlight w:val="none"/>
        </w:rPr>
        <w:t>资格审查条件（信誉最低要求）</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174" w:type="dxa"/>
            <w:noWrap w:val="0"/>
            <w:vAlign w:val="center"/>
          </w:tcPr>
          <w:p>
            <w:pPr>
              <w:spacing w:line="360" w:lineRule="auto"/>
              <w:jc w:val="center"/>
              <w:rPr>
                <w:rFonts w:ascii="宋体" w:hAnsi="宋体" w:cs="Arial"/>
                <w:color w:val="auto"/>
                <w:sz w:val="18"/>
                <w:szCs w:val="18"/>
                <w:highlight w:val="none"/>
              </w:rPr>
            </w:pPr>
            <w:r>
              <w:rPr>
                <w:rFonts w:hint="eastAsia" w:ascii="宋体" w:hAnsi="宋体" w:cs="Arial"/>
                <w:b/>
                <w:bCs/>
                <w:color w:val="auto"/>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9174" w:type="dxa"/>
            <w:noWrap w:val="0"/>
            <w:vAlign w:val="center"/>
          </w:tcPr>
          <w:p>
            <w:pPr>
              <w:spacing w:line="360" w:lineRule="auto"/>
              <w:ind w:firstLine="315" w:firstLineChars="150"/>
              <w:rPr>
                <w:rFonts w:ascii="宋体" w:hAnsi="宋体" w:cs="Arial"/>
                <w:color w:val="auto"/>
                <w:kern w:val="0"/>
                <w:szCs w:val="21"/>
                <w:highlight w:val="none"/>
              </w:rPr>
            </w:pPr>
            <w:r>
              <w:rPr>
                <w:rFonts w:ascii="宋体" w:hAnsi="宋体" w:cs="Arial"/>
                <w:color w:val="auto"/>
                <w:kern w:val="0"/>
                <w:szCs w:val="21"/>
                <w:highlight w:val="none"/>
              </w:rPr>
              <w:t>投标人在最新贵州省交通建设市场从业单位信用评价的综合考核定级中，未被评价为D级；未进行评价的企业按</w:t>
            </w:r>
            <w:r>
              <w:rPr>
                <w:rFonts w:ascii="宋体" w:hAnsi="宋体" w:cs="Arial"/>
                <w:color w:val="auto"/>
                <w:szCs w:val="21"/>
                <w:highlight w:val="none"/>
              </w:rPr>
              <w:t>贵州省交通运输厅关于印发《贵州省高速公路设计施工企业信用评价实施细则（试行）》的通知黔交建设〔2016〕279号及《贵州省高速公路设计施工企业信用评价结果引用的补充通知》黔交建设〔2016〕291号</w:t>
            </w:r>
            <w:r>
              <w:rPr>
                <w:rFonts w:ascii="宋体" w:hAnsi="宋体" w:cs="Arial"/>
                <w:color w:val="auto"/>
                <w:kern w:val="0"/>
                <w:szCs w:val="21"/>
                <w:highlight w:val="none"/>
              </w:rPr>
              <w:t>（可在贵州省交通运输厅网站</w:t>
            </w:r>
            <w:r>
              <w:rPr>
                <w:rFonts w:hint="eastAsia" w:ascii="宋体" w:hAnsi="宋体" w:cs="Arial"/>
                <w:color w:val="auto"/>
                <w:kern w:val="0"/>
                <w:szCs w:val="21"/>
                <w:highlight w:val="none"/>
              </w:rPr>
              <w:t>http://jt.guizhou.gov.cn/</w:t>
            </w:r>
            <w:r>
              <w:rPr>
                <w:rFonts w:ascii="宋体" w:hAnsi="宋体" w:cs="Arial"/>
                <w:color w:val="auto"/>
                <w:kern w:val="0"/>
                <w:szCs w:val="21"/>
                <w:highlight w:val="none"/>
              </w:rPr>
              <w:t>上查询）”文件规定确定的最新信用</w:t>
            </w:r>
            <w:r>
              <w:rPr>
                <w:rFonts w:hint="eastAsia" w:ascii="宋体" w:hAnsi="宋体" w:cs="Arial"/>
                <w:color w:val="auto"/>
                <w:kern w:val="0"/>
                <w:szCs w:val="21"/>
                <w:highlight w:val="none"/>
              </w:rPr>
              <w:t>（本项目投标专业指</w:t>
            </w:r>
            <w:r>
              <w:rPr>
                <w:rFonts w:hint="eastAsia" w:ascii="宋体" w:hAnsi="宋体" w:cs="Arial"/>
                <w:b/>
                <w:bCs/>
                <w:color w:val="auto"/>
                <w:kern w:val="0"/>
                <w:szCs w:val="21"/>
                <w:highlight w:val="none"/>
                <w:lang w:val="en-US" w:eastAsia="zh-CN"/>
              </w:rPr>
              <w:t>养护工程</w:t>
            </w:r>
            <w:r>
              <w:rPr>
                <w:rFonts w:hint="eastAsia" w:ascii="宋体" w:hAnsi="宋体" w:cs="Arial"/>
                <w:color w:val="auto"/>
                <w:kern w:val="0"/>
                <w:szCs w:val="21"/>
                <w:highlight w:val="none"/>
              </w:rPr>
              <w:t>专业）</w:t>
            </w:r>
            <w:r>
              <w:rPr>
                <w:rFonts w:ascii="宋体" w:hAnsi="宋体" w:cs="Arial"/>
                <w:color w:val="auto"/>
                <w:kern w:val="0"/>
                <w:szCs w:val="21"/>
                <w:highlight w:val="none"/>
              </w:rPr>
              <w:t>等级不为D级</w:t>
            </w:r>
            <w:r>
              <w:rPr>
                <w:rFonts w:ascii="宋体" w:hAnsi="宋体" w:cs="Arial"/>
                <w:b/>
                <w:color w:val="auto"/>
                <w:kern w:val="0"/>
                <w:szCs w:val="21"/>
                <w:highlight w:val="none"/>
              </w:rPr>
              <w:t>。</w:t>
            </w:r>
          </w:p>
        </w:tc>
      </w:tr>
    </w:tbl>
    <w:p>
      <w:pPr>
        <w:spacing w:before="100" w:beforeAutospacing="1" w:after="100" w:afterAutospacing="1"/>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br w:type="page"/>
      </w:r>
      <w:r>
        <w:rPr>
          <w:rFonts w:hint="eastAsia" w:ascii="宋体" w:hAnsi="宋体" w:cs="Arial"/>
          <w:b/>
          <w:color w:val="auto"/>
          <w:sz w:val="30"/>
          <w:szCs w:val="30"/>
          <w:highlight w:val="none"/>
        </w:rPr>
        <w:t>附录5资格审查条件</w:t>
      </w:r>
    </w:p>
    <w:tbl>
      <w:tblPr>
        <w:tblStyle w:val="8"/>
        <w:tblW w:w="934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198"/>
        <w:gridCol w:w="914"/>
        <w:gridCol w:w="3974"/>
        <w:gridCol w:w="226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349" w:type="dxa"/>
            <w:gridSpan w:val="4"/>
            <w:tcBorders>
              <w:top w:val="single" w:color="auto" w:sz="2" w:space="0"/>
            </w:tcBorders>
            <w:noWrap w:val="0"/>
            <w:vAlign w:val="bottom"/>
          </w:tcPr>
          <w:p>
            <w:pPr>
              <w:spacing w:line="360" w:lineRule="auto"/>
              <w:jc w:val="center"/>
              <w:rPr>
                <w:rFonts w:ascii="宋体" w:hAnsi="宋体" w:cs="Arial"/>
                <w:color w:val="auto"/>
                <w:sz w:val="22"/>
                <w:szCs w:val="22"/>
                <w:highlight w:val="none"/>
              </w:rPr>
            </w:pPr>
            <w:r>
              <w:rPr>
                <w:rFonts w:hint="eastAsia" w:ascii="宋体" w:hAnsi="宋体" w:eastAsia="宋体" w:cs="宋体"/>
                <w:b/>
                <w:bCs/>
                <w:color w:val="auto"/>
                <w:sz w:val="24"/>
                <w:szCs w:val="24"/>
                <w:highlight w:val="none"/>
              </w:rPr>
              <w:t>项目经理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项目总工</w:t>
            </w:r>
            <w:r>
              <w:rPr>
                <w:rFonts w:hint="eastAsia" w:ascii="宋体" w:hAnsi="宋体" w:cs="宋体"/>
                <w:b/>
                <w:bCs/>
                <w:color w:val="auto"/>
                <w:sz w:val="24"/>
                <w:szCs w:val="24"/>
                <w:highlight w:val="none"/>
                <w:lang w:eastAsia="zh-CN"/>
              </w:rPr>
              <w:t>和安全负责人</w:t>
            </w:r>
            <w:r>
              <w:rPr>
                <w:rFonts w:hint="eastAsia" w:ascii="宋体" w:hAnsi="宋体" w:eastAsia="宋体" w:cs="宋体"/>
                <w:b/>
                <w:bCs/>
                <w:color w:val="auto"/>
                <w:sz w:val="24"/>
                <w:szCs w:val="24"/>
                <w:highlight w:val="none"/>
              </w:rPr>
              <w:t>最低要求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198" w:type="dxa"/>
            <w:tcBorders>
              <w:top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Arial" w:hAnsi="Arial" w:cs="Arial"/>
                <w:color w:val="auto"/>
                <w:sz w:val="21"/>
                <w:szCs w:val="21"/>
                <w:highlight w:val="none"/>
              </w:rPr>
            </w:pPr>
            <w:r>
              <w:rPr>
                <w:rFonts w:hint="eastAsia" w:ascii="Arial" w:hAnsi="Arial" w:cs="Arial"/>
                <w:color w:val="auto"/>
                <w:sz w:val="21"/>
                <w:szCs w:val="21"/>
                <w:highlight w:val="none"/>
              </w:rPr>
              <w:t>人员</w:t>
            </w:r>
          </w:p>
        </w:tc>
        <w:tc>
          <w:tcPr>
            <w:tcW w:w="914" w:type="dxa"/>
            <w:tcBorders>
              <w:top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Arial" w:hAnsi="Arial" w:cs="Arial"/>
                <w:color w:val="auto"/>
                <w:sz w:val="21"/>
                <w:szCs w:val="21"/>
                <w:highlight w:val="none"/>
              </w:rPr>
            </w:pPr>
            <w:r>
              <w:rPr>
                <w:rFonts w:hint="eastAsia" w:ascii="Arial" w:hAnsi="Arial" w:cs="Arial"/>
                <w:color w:val="auto"/>
                <w:sz w:val="21"/>
                <w:szCs w:val="21"/>
                <w:highlight w:val="none"/>
              </w:rPr>
              <w:t>数量</w:t>
            </w:r>
          </w:p>
        </w:tc>
        <w:tc>
          <w:tcPr>
            <w:tcW w:w="3974" w:type="dxa"/>
            <w:tcBorders>
              <w:top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Arial"/>
                <w:color w:val="auto"/>
                <w:sz w:val="21"/>
                <w:szCs w:val="21"/>
                <w:highlight w:val="none"/>
              </w:rPr>
            </w:pPr>
            <w:r>
              <w:rPr>
                <w:rFonts w:ascii="宋体" w:hAnsi="宋体" w:cs="Arial"/>
                <w:color w:val="auto"/>
                <w:sz w:val="21"/>
                <w:szCs w:val="21"/>
                <w:highlight w:val="none"/>
              </w:rPr>
              <w:t>资格要求</w:t>
            </w:r>
          </w:p>
        </w:tc>
        <w:tc>
          <w:tcPr>
            <w:tcW w:w="2263" w:type="dxa"/>
            <w:tcBorders>
              <w:top w:val="single" w:color="auto" w:sz="2" w:space="0"/>
              <w:left w:val="single" w:color="auto" w:sz="4" w:space="0"/>
            </w:tcBorders>
            <w:noWrap w:val="0"/>
            <w:vAlign w:val="center"/>
          </w:tcPr>
          <w:p>
            <w:pPr>
              <w:jc w:val="center"/>
              <w:rPr>
                <w:rFonts w:ascii="宋体" w:hAnsi="宋体" w:cs="Arial"/>
                <w:color w:val="auto"/>
                <w:sz w:val="22"/>
                <w:szCs w:val="22"/>
                <w:highlight w:val="none"/>
              </w:rPr>
            </w:pPr>
            <w:r>
              <w:rPr>
                <w:rFonts w:ascii="宋体" w:hAnsi="宋体" w:cs="Arial"/>
                <w:color w:val="auto"/>
                <w:sz w:val="22"/>
                <w:szCs w:val="22"/>
                <w:highlight w:val="none"/>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42" w:hRule="atLeast"/>
          <w:jc w:val="center"/>
        </w:trPr>
        <w:tc>
          <w:tcPr>
            <w:tcW w:w="2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Arial"/>
                <w:color w:val="auto"/>
                <w:sz w:val="21"/>
                <w:szCs w:val="21"/>
                <w:highlight w:val="none"/>
              </w:rPr>
            </w:pPr>
            <w:r>
              <w:rPr>
                <w:rFonts w:ascii="宋体" w:hAnsi="宋体" w:cs="Arial"/>
                <w:color w:val="auto"/>
                <w:sz w:val="21"/>
                <w:szCs w:val="21"/>
                <w:highlight w:val="none"/>
              </w:rPr>
              <w:t>项目经理</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Arial"/>
                <w:color w:val="auto"/>
                <w:sz w:val="21"/>
                <w:szCs w:val="21"/>
                <w:highlight w:val="none"/>
              </w:rPr>
            </w:pPr>
            <w:r>
              <w:rPr>
                <w:rFonts w:ascii="宋体" w:hAnsi="宋体" w:cs="Arial"/>
                <w:color w:val="auto"/>
                <w:sz w:val="21"/>
                <w:szCs w:val="21"/>
                <w:highlight w:val="none"/>
              </w:rPr>
              <w:t>1</w:t>
            </w:r>
          </w:p>
        </w:tc>
        <w:tc>
          <w:tcPr>
            <w:tcW w:w="39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Arial"/>
                <w:color w:val="auto"/>
                <w:sz w:val="21"/>
                <w:szCs w:val="21"/>
                <w:highlight w:val="none"/>
              </w:rPr>
            </w:pPr>
            <w:r>
              <w:rPr>
                <w:rFonts w:hint="eastAsia" w:ascii="宋体" w:hAnsi="宋体" w:cs="Arial"/>
                <w:color w:val="auto"/>
                <w:sz w:val="21"/>
                <w:szCs w:val="21"/>
                <w:highlight w:val="none"/>
              </w:rPr>
              <w:t>工程师或以上职称，持有建设行政主管部门颁发的</w:t>
            </w:r>
            <w:r>
              <w:rPr>
                <w:rFonts w:hint="eastAsia" w:ascii="宋体" w:hAnsi="宋体" w:cs="Arial"/>
                <w:color w:val="auto"/>
                <w:sz w:val="21"/>
                <w:szCs w:val="21"/>
                <w:highlight w:val="none"/>
                <w:lang w:val="en-US" w:eastAsia="zh-CN"/>
              </w:rPr>
              <w:t>一</w:t>
            </w:r>
            <w:r>
              <w:rPr>
                <w:rFonts w:hint="eastAsia" w:ascii="宋体" w:hAnsi="宋体" w:cs="Arial"/>
                <w:color w:val="auto"/>
                <w:sz w:val="21"/>
                <w:szCs w:val="21"/>
                <w:highlight w:val="none"/>
              </w:rPr>
              <w:t>级建造师注册证书（</w:t>
            </w:r>
            <w:r>
              <w:rPr>
                <w:rFonts w:hint="eastAsia" w:ascii="宋体" w:hAnsi="宋体" w:cs="Arial"/>
                <w:color w:val="auto"/>
                <w:sz w:val="21"/>
                <w:szCs w:val="21"/>
                <w:highlight w:val="none"/>
                <w:lang w:eastAsia="zh-CN"/>
              </w:rPr>
              <w:t>公路工程专业</w:t>
            </w:r>
            <w:r>
              <w:rPr>
                <w:rFonts w:hint="eastAsia" w:ascii="宋体" w:hAnsi="宋体" w:cs="Arial"/>
                <w:color w:val="auto"/>
                <w:sz w:val="21"/>
                <w:szCs w:val="21"/>
                <w:highlight w:val="none"/>
              </w:rPr>
              <w:t>），持有有效的交通主管部门颁发的安全生产考核合格证书（B类证书）。</w:t>
            </w:r>
          </w:p>
        </w:tc>
        <w:tc>
          <w:tcPr>
            <w:tcW w:w="2263"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Arial"/>
                <w:color w:val="auto"/>
                <w:szCs w:val="21"/>
                <w:highlight w:val="none"/>
              </w:rPr>
            </w:pPr>
            <w:r>
              <w:rPr>
                <w:rFonts w:hint="eastAsia" w:ascii="宋体" w:hAnsi="宋体" w:cs="Arial"/>
                <w:color w:val="auto"/>
                <w:sz w:val="21"/>
                <w:szCs w:val="21"/>
                <w:highlight w:val="none"/>
              </w:rPr>
              <w:t>无在岗项目（指目前未在其他项目上任职，或虽在其他项目上任职但本项目中标后能够从该项目撤离，或处于其他招标项目中标公示期或中标公示期已满但尚未签署合同但本项目中标后能够从该项目撤离）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2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Arial"/>
                <w:color w:val="auto"/>
                <w:sz w:val="21"/>
                <w:szCs w:val="21"/>
                <w:highlight w:val="none"/>
              </w:rPr>
            </w:pPr>
            <w:r>
              <w:rPr>
                <w:rFonts w:ascii="宋体" w:hAnsi="宋体" w:cs="Arial"/>
                <w:color w:val="auto"/>
                <w:sz w:val="21"/>
                <w:szCs w:val="21"/>
                <w:highlight w:val="none"/>
              </w:rPr>
              <w:t>项目总工</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Arial"/>
                <w:color w:val="auto"/>
                <w:sz w:val="21"/>
                <w:szCs w:val="21"/>
                <w:highlight w:val="none"/>
              </w:rPr>
            </w:pPr>
            <w:r>
              <w:rPr>
                <w:rFonts w:ascii="宋体" w:hAnsi="宋体" w:cs="Arial"/>
                <w:color w:val="auto"/>
                <w:sz w:val="21"/>
                <w:szCs w:val="21"/>
                <w:highlight w:val="none"/>
              </w:rPr>
              <w:t>1</w:t>
            </w:r>
          </w:p>
        </w:tc>
        <w:tc>
          <w:tcPr>
            <w:tcW w:w="39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lang w:val="en-US" w:eastAsia="zh-CN"/>
              </w:rPr>
              <w:t>高级</w:t>
            </w:r>
            <w:r>
              <w:rPr>
                <w:rFonts w:hint="eastAsia" w:ascii="宋体" w:hAnsi="宋体" w:cs="Arial"/>
                <w:color w:val="auto"/>
                <w:sz w:val="21"/>
                <w:szCs w:val="21"/>
                <w:highlight w:val="none"/>
              </w:rPr>
              <w:t>工程师或以上职称（公路</w:t>
            </w:r>
            <w:r>
              <w:rPr>
                <w:rFonts w:hint="eastAsia" w:ascii="宋体" w:hAnsi="宋体" w:cs="Arial"/>
                <w:color w:val="auto"/>
                <w:sz w:val="21"/>
                <w:szCs w:val="21"/>
                <w:highlight w:val="none"/>
                <w:lang w:val="en-US" w:eastAsia="zh-CN"/>
              </w:rPr>
              <w:t>工程</w:t>
            </w:r>
            <w:r>
              <w:rPr>
                <w:rFonts w:hint="eastAsia" w:ascii="宋体" w:hAnsi="宋体" w:cs="Arial"/>
                <w:color w:val="auto"/>
                <w:sz w:val="21"/>
                <w:szCs w:val="21"/>
                <w:highlight w:val="none"/>
              </w:rPr>
              <w:t>相关专业），持有有效的交通主管部门颁发的安全生产考核合格证书（B类证书）</w:t>
            </w:r>
            <w:r>
              <w:rPr>
                <w:rFonts w:hint="eastAsia" w:ascii="宋体" w:hAnsi="宋体" w:cs="Arial"/>
                <w:color w:val="auto"/>
                <w:sz w:val="21"/>
                <w:szCs w:val="21"/>
                <w:highlight w:val="none"/>
                <w:lang w:eastAsia="zh-CN"/>
              </w:rPr>
              <w:t>。</w:t>
            </w:r>
          </w:p>
        </w:tc>
        <w:tc>
          <w:tcPr>
            <w:tcW w:w="2263" w:type="dxa"/>
            <w:vMerge w:val="continue"/>
            <w:tcBorders>
              <w:left w:val="single" w:color="auto" w:sz="4" w:space="0"/>
            </w:tcBorders>
            <w:noWrap w:val="0"/>
            <w:vAlign w:val="center"/>
          </w:tcPr>
          <w:p>
            <w:pPr>
              <w:jc w:val="left"/>
              <w:rPr>
                <w:rFonts w:ascii="Arial" w:hAnsi="Arial" w:cs="Arial"/>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2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Arial"/>
                <w:color w:val="auto"/>
                <w:sz w:val="21"/>
                <w:szCs w:val="21"/>
                <w:highlight w:val="none"/>
              </w:rPr>
            </w:pPr>
            <w:r>
              <w:rPr>
                <w:rFonts w:hint="eastAsia" w:ascii="Arial" w:hAnsi="Arial" w:cs="Arial"/>
                <w:color w:val="auto"/>
                <w:sz w:val="21"/>
                <w:szCs w:val="21"/>
                <w:highlight w:val="none"/>
              </w:rPr>
              <w:t>安全负责人</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1</w:t>
            </w:r>
          </w:p>
        </w:tc>
        <w:tc>
          <w:tcPr>
            <w:tcW w:w="39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rPr>
              <w:t>工程师或以上职称，持有有效的交通主管部门或建设主管部门颁发的安全生产考核合格证书（C类证书）。</w:t>
            </w:r>
          </w:p>
        </w:tc>
        <w:tc>
          <w:tcPr>
            <w:tcW w:w="2263" w:type="dxa"/>
            <w:vMerge w:val="continue"/>
            <w:tcBorders>
              <w:left w:val="single" w:color="auto" w:sz="4" w:space="0"/>
            </w:tcBorders>
            <w:noWrap w:val="0"/>
            <w:vAlign w:val="center"/>
          </w:tcPr>
          <w:p>
            <w:pPr>
              <w:jc w:val="left"/>
              <w:rPr>
                <w:rFonts w:ascii="Arial" w:hAnsi="Arial" w:cs="Arial"/>
                <w:color w:val="auto"/>
                <w:szCs w:val="21"/>
                <w:highlight w:val="none"/>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Arial"/>
          <w:color w:val="auto"/>
          <w:sz w:val="20"/>
          <w:szCs w:val="20"/>
          <w:highlight w:val="none"/>
        </w:rPr>
      </w:pPr>
      <w:r>
        <w:rPr>
          <w:rFonts w:ascii="宋体" w:hAnsi="宋体" w:cs="Arial"/>
          <w:color w:val="auto"/>
          <w:sz w:val="20"/>
          <w:szCs w:val="20"/>
          <w:highlight w:val="none"/>
        </w:rPr>
        <w:t>注：1、建造师注册证书的注册单位、安全生产考核合格证书的持证单位必须与投标单位名称一致，正在办理变更的必须提供发证机关出具的证明文件</w:t>
      </w:r>
      <w:r>
        <w:rPr>
          <w:rFonts w:hint="eastAsia" w:ascii="宋体" w:hAnsi="宋体" w:cs="Arial"/>
          <w:color w:val="auto"/>
          <w:sz w:val="20"/>
          <w:szCs w:val="20"/>
          <w:highlight w:val="none"/>
        </w:rPr>
        <w:t>（其它证明无效）</w:t>
      </w:r>
      <w:r>
        <w:rPr>
          <w:rFonts w:ascii="宋体" w:hAnsi="宋体" w:cs="Arial"/>
          <w:color w:val="auto"/>
          <w:sz w:val="20"/>
          <w:szCs w:val="20"/>
          <w:highlight w:val="none"/>
        </w:rPr>
        <w:t>。</w:t>
      </w:r>
      <w:r>
        <w:rPr>
          <w:rFonts w:hint="eastAsia" w:ascii="宋体" w:hAnsi="宋体" w:cs="Arial"/>
          <w:color w:val="auto"/>
          <w:sz w:val="20"/>
          <w:szCs w:val="20"/>
          <w:highlight w:val="none"/>
        </w:rPr>
        <w:t>项目总工的安全生产考核合格证应可从交通运输部http://www.mot.gov.cn/相关链接http://219.143.235.78:8080/khglui/（交通运输部公路水运工程企业负责人和安全生产管理人员信息公共平台）进行查询；项目经理的注册建造师证书，应可从http://www.coc.gov.cn/“注册建造师查询”栏链接中查询到；如从上述网站查询不到或与查询到的信息不符，则不予认定。</w:t>
      </w:r>
    </w:p>
    <w:p>
      <w:pPr>
        <w:keepNext w:val="0"/>
        <w:keepLines w:val="0"/>
        <w:pageBreakBefore w:val="0"/>
        <w:kinsoku/>
        <w:wordWrap/>
        <w:overflowPunct/>
        <w:topLinePunct w:val="0"/>
        <w:autoSpaceDE/>
        <w:autoSpaceDN/>
        <w:bidi w:val="0"/>
        <w:adjustRightInd/>
        <w:snapToGrid/>
        <w:spacing w:line="400" w:lineRule="exact"/>
        <w:ind w:firstLine="360"/>
        <w:textAlignment w:val="auto"/>
        <w:rPr>
          <w:rFonts w:ascii="宋体" w:hAnsi="宋体" w:cs="Arial"/>
          <w:color w:val="auto"/>
          <w:sz w:val="20"/>
          <w:szCs w:val="20"/>
          <w:highlight w:val="none"/>
        </w:rPr>
      </w:pPr>
      <w:r>
        <w:rPr>
          <w:rFonts w:hint="eastAsia" w:ascii="宋体" w:hAnsi="宋体" w:cs="Arial"/>
          <w:color w:val="auto"/>
          <w:sz w:val="20"/>
          <w:szCs w:val="20"/>
          <w:highlight w:val="none"/>
        </w:rPr>
        <w:t>2、根据《交通运输部办公厅关于做好公路水运工程施工企业主要负责人和安全生产管理人员考核管理相关工作的通知》（交办安监函〔2016〕816号）的规定，</w:t>
      </w:r>
      <w:r>
        <w:rPr>
          <w:rFonts w:ascii="宋体" w:hAnsi="宋体" w:cs="Arial"/>
          <w:color w:val="auto"/>
          <w:sz w:val="20"/>
          <w:szCs w:val="20"/>
          <w:highlight w:val="none"/>
        </w:rPr>
        <w:t>项目经理</w:t>
      </w:r>
      <w:r>
        <w:rPr>
          <w:rFonts w:hint="eastAsia" w:ascii="宋体" w:hAnsi="宋体" w:cs="Arial"/>
          <w:color w:val="auto"/>
          <w:sz w:val="20"/>
          <w:szCs w:val="20"/>
          <w:highlight w:val="none"/>
        </w:rPr>
        <w:t>、项目总工提供的</w:t>
      </w:r>
      <w:r>
        <w:rPr>
          <w:rFonts w:ascii="宋体" w:hAnsi="宋体" w:cs="Arial"/>
          <w:color w:val="auto"/>
          <w:sz w:val="20"/>
          <w:szCs w:val="20"/>
          <w:highlight w:val="none"/>
        </w:rPr>
        <w:t>安全生产考核合格证书（B类证书）必须为新证</w:t>
      </w:r>
      <w:r>
        <w:rPr>
          <w:rFonts w:hint="eastAsia" w:ascii="宋体" w:hAnsi="宋体" w:cs="Arial"/>
          <w:color w:val="auto"/>
          <w:sz w:val="20"/>
          <w:szCs w:val="20"/>
          <w:highlight w:val="none"/>
        </w:rPr>
        <w:t>。</w:t>
      </w:r>
    </w:p>
    <w:p>
      <w:pPr>
        <w:keepNext w:val="0"/>
        <w:keepLines w:val="0"/>
        <w:pageBreakBefore w:val="0"/>
        <w:kinsoku/>
        <w:wordWrap/>
        <w:overflowPunct/>
        <w:topLinePunct w:val="0"/>
        <w:autoSpaceDE/>
        <w:autoSpaceDN/>
        <w:bidi w:val="0"/>
        <w:adjustRightInd/>
        <w:snapToGrid/>
        <w:spacing w:line="400" w:lineRule="exact"/>
        <w:ind w:firstLine="360"/>
        <w:textAlignment w:val="auto"/>
        <w:rPr>
          <w:rFonts w:ascii="宋体" w:hAnsi="宋体" w:cs="Arial"/>
          <w:color w:val="auto"/>
          <w:sz w:val="20"/>
          <w:szCs w:val="20"/>
          <w:highlight w:val="none"/>
        </w:rPr>
      </w:pPr>
      <w:r>
        <w:rPr>
          <w:rFonts w:hint="eastAsia" w:ascii="宋体" w:hAnsi="宋体" w:cs="Arial"/>
          <w:color w:val="auto"/>
          <w:sz w:val="20"/>
          <w:szCs w:val="20"/>
          <w:highlight w:val="none"/>
        </w:rPr>
        <w:t>3、如项目经理或项目总工目前仍在其他项目上任职，则投标人应提供该项目发包人出具的承诺上述人员能够从该项目撤离的书面证明材料。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00" w:firstLineChars="200"/>
        <w:jc w:val="left"/>
        <w:textAlignment w:val="auto"/>
        <w:rPr>
          <w:rFonts w:hint="eastAsia" w:ascii="宋体" w:hAnsi="宋体"/>
          <w:snapToGrid w:val="0"/>
          <w:color w:val="auto"/>
          <w:sz w:val="20"/>
          <w:szCs w:val="20"/>
          <w:highlight w:val="none"/>
        </w:rPr>
      </w:pPr>
      <w:r>
        <w:rPr>
          <w:rFonts w:hint="eastAsia" w:ascii="宋体" w:hAnsi="宋体"/>
          <w:snapToGrid w:val="0"/>
          <w:color w:val="auto"/>
          <w:sz w:val="20"/>
          <w:szCs w:val="20"/>
          <w:highlight w:val="none"/>
        </w:rPr>
        <w:t>4.人员职称证书颁发单位应为各级人力资源和社会保障部门或在人力资源和社会保障部门进行过核准备案的单位，中央单位颁发的高级职称应是人力资源和社会保障部发布的中央单位高级职称评审委员会备案目录内的单位、专业、级别。非人力资源和社会保障部门颁布的职称证书投标人应提供颁发机构或获得的职称人员在人力资源和社会保障部门的备案证明文件，否则评标委员会将不予认可。</w:t>
      </w:r>
    </w:p>
    <w:p>
      <w:pPr>
        <w:jc w:val="center"/>
        <w:rPr>
          <w:color w:val="auto"/>
          <w:highlight w:val="none"/>
        </w:rPr>
      </w:pPr>
      <w:r>
        <w:rPr>
          <w:color w:val="auto"/>
          <w:highlight w:val="none"/>
        </w:rPr>
        <w:br w:type="page"/>
      </w:r>
    </w:p>
    <w:p>
      <w:pPr>
        <w:jc w:val="center"/>
        <w:rPr>
          <w:rFonts w:hint="eastAsia" w:ascii="宋体" w:hAnsi="宋体"/>
          <w:b/>
          <w:color w:val="auto"/>
          <w:sz w:val="30"/>
          <w:szCs w:val="30"/>
          <w:highlight w:val="none"/>
          <w:lang w:eastAsia="zh-CN"/>
        </w:rPr>
      </w:pPr>
      <w:r>
        <w:rPr>
          <w:rFonts w:hint="eastAsia" w:ascii="宋体" w:hAnsi="宋体" w:cs="Arial"/>
          <w:b/>
          <w:color w:val="auto"/>
          <w:sz w:val="30"/>
          <w:szCs w:val="30"/>
          <w:highlight w:val="none"/>
        </w:rPr>
        <w:t>附录</w:t>
      </w:r>
      <w:r>
        <w:rPr>
          <w:rFonts w:hint="eastAsia" w:ascii="宋体" w:hAnsi="宋体" w:cs="Arial"/>
          <w:b/>
          <w:color w:val="auto"/>
          <w:sz w:val="30"/>
          <w:szCs w:val="30"/>
          <w:highlight w:val="none"/>
          <w:lang w:val="en-US" w:eastAsia="zh-CN"/>
        </w:rPr>
        <w:t>6</w:t>
      </w:r>
      <w:r>
        <w:rPr>
          <w:rFonts w:hint="eastAsia" w:ascii="宋体" w:hAnsi="宋体"/>
          <w:b/>
          <w:color w:val="auto"/>
          <w:sz w:val="30"/>
          <w:szCs w:val="30"/>
          <w:highlight w:val="none"/>
        </w:rPr>
        <w:t>资格审查条件</w:t>
      </w:r>
      <w:r>
        <w:rPr>
          <w:rFonts w:hint="eastAsia" w:ascii="宋体" w:hAnsi="宋体"/>
          <w:b/>
          <w:color w:val="auto"/>
          <w:sz w:val="30"/>
          <w:szCs w:val="30"/>
          <w:highlight w:val="none"/>
          <w:lang w:eastAsia="zh-CN"/>
        </w:rPr>
        <w:t>（</w:t>
      </w:r>
      <w:r>
        <w:rPr>
          <w:rFonts w:hint="eastAsia" w:ascii="宋体" w:hAnsi="宋体" w:cs="Arial"/>
          <w:b/>
          <w:color w:val="auto"/>
          <w:sz w:val="30"/>
          <w:szCs w:val="30"/>
          <w:highlight w:val="none"/>
          <w:lang w:val="en-US" w:eastAsia="zh-CN"/>
        </w:rPr>
        <w:t>其他管理人员和技术人员最低要求</w:t>
      </w:r>
      <w:r>
        <w:rPr>
          <w:rFonts w:hint="eastAsia" w:ascii="宋体" w:hAnsi="宋体"/>
          <w:b/>
          <w:color w:val="auto"/>
          <w:sz w:val="30"/>
          <w:szCs w:val="30"/>
          <w:highlight w:val="none"/>
          <w:lang w:eastAsia="zh-CN"/>
        </w:rPr>
        <w:t>）</w:t>
      </w:r>
    </w:p>
    <w:tbl>
      <w:tblPr>
        <w:tblStyle w:val="8"/>
        <w:tblW w:w="884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217"/>
        <w:gridCol w:w="1155"/>
        <w:gridCol w:w="547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217" w:type="dxa"/>
            <w:tcBorders>
              <w:top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Arial" w:hAnsi="Arial" w:cs="Arial"/>
                <w:color w:val="auto"/>
                <w:sz w:val="21"/>
                <w:szCs w:val="21"/>
                <w:highlight w:val="none"/>
              </w:rPr>
            </w:pPr>
            <w:r>
              <w:rPr>
                <w:rFonts w:hint="eastAsia" w:ascii="Arial" w:hAnsi="Arial" w:cs="Arial"/>
                <w:color w:val="auto"/>
                <w:sz w:val="21"/>
                <w:szCs w:val="21"/>
                <w:highlight w:val="none"/>
              </w:rPr>
              <w:t>人员</w:t>
            </w:r>
          </w:p>
        </w:tc>
        <w:tc>
          <w:tcPr>
            <w:tcW w:w="1155" w:type="dxa"/>
            <w:tcBorders>
              <w:top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Arial" w:hAnsi="Arial" w:cs="Arial"/>
                <w:color w:val="auto"/>
                <w:sz w:val="21"/>
                <w:szCs w:val="21"/>
                <w:highlight w:val="none"/>
              </w:rPr>
            </w:pPr>
            <w:r>
              <w:rPr>
                <w:rFonts w:hint="eastAsia" w:ascii="Arial" w:hAnsi="Arial" w:cs="Arial"/>
                <w:color w:val="auto"/>
                <w:sz w:val="21"/>
                <w:szCs w:val="21"/>
                <w:highlight w:val="none"/>
              </w:rPr>
              <w:t>数量</w:t>
            </w:r>
          </w:p>
        </w:tc>
        <w:tc>
          <w:tcPr>
            <w:tcW w:w="5470" w:type="dxa"/>
            <w:tcBorders>
              <w:top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Arial"/>
                <w:color w:val="auto"/>
                <w:sz w:val="21"/>
                <w:szCs w:val="21"/>
                <w:highlight w:val="none"/>
              </w:rPr>
            </w:pPr>
            <w:r>
              <w:rPr>
                <w:rFonts w:ascii="宋体" w:hAnsi="宋体" w:cs="Arial"/>
                <w:color w:val="auto"/>
                <w:sz w:val="21"/>
                <w:szCs w:val="21"/>
                <w:highlight w:val="none"/>
              </w:rPr>
              <w:t>资格要求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42" w:hRule="atLeast"/>
          <w:jc w:val="center"/>
        </w:trPr>
        <w:tc>
          <w:tcPr>
            <w:tcW w:w="22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lang w:eastAsia="zh-CN"/>
              </w:rPr>
              <w:t>质检工程师</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Arial"/>
                <w:color w:val="auto"/>
                <w:sz w:val="21"/>
                <w:szCs w:val="21"/>
                <w:highlight w:val="none"/>
              </w:rPr>
            </w:pPr>
            <w:r>
              <w:rPr>
                <w:rFonts w:ascii="宋体" w:hAnsi="宋体" w:cs="Arial"/>
                <w:color w:val="auto"/>
                <w:sz w:val="21"/>
                <w:szCs w:val="21"/>
                <w:highlight w:val="none"/>
              </w:rPr>
              <w:t>1</w:t>
            </w:r>
          </w:p>
        </w:tc>
        <w:tc>
          <w:tcPr>
            <w:tcW w:w="547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工程师或以上职称，5 年以上工作经验。至少担任过 1 个</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Arial"/>
                <w:color w:val="auto"/>
                <w:sz w:val="21"/>
                <w:szCs w:val="21"/>
                <w:highlight w:val="none"/>
              </w:rPr>
            </w:pPr>
            <w:r>
              <w:rPr>
                <w:rFonts w:hint="eastAsia" w:ascii="宋体" w:hAnsi="宋体" w:cs="Arial"/>
                <w:color w:val="auto"/>
                <w:sz w:val="21"/>
                <w:szCs w:val="21"/>
                <w:highlight w:val="none"/>
              </w:rPr>
              <w:t>类似项目的质检工程师，兼试验检测工作。</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22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lang w:eastAsia="zh-CN"/>
              </w:rPr>
              <w:t>计量工程师</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Arial"/>
                <w:color w:val="auto"/>
                <w:sz w:val="21"/>
                <w:szCs w:val="21"/>
                <w:highlight w:val="none"/>
              </w:rPr>
            </w:pPr>
            <w:r>
              <w:rPr>
                <w:rFonts w:ascii="宋体" w:hAnsi="宋体" w:cs="Arial"/>
                <w:color w:val="auto"/>
                <w:sz w:val="21"/>
                <w:szCs w:val="21"/>
                <w:highlight w:val="none"/>
              </w:rPr>
              <w:t>1</w:t>
            </w:r>
          </w:p>
        </w:tc>
        <w:tc>
          <w:tcPr>
            <w:tcW w:w="547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eastAsia="zh-CN"/>
              </w:rPr>
              <w:t>工程师或以上职称，5 年以上工作经验。至少担任过 1 个</w:t>
            </w:r>
          </w:p>
          <w:p>
            <w:pPr>
              <w:keepNext w:val="0"/>
              <w:keepLines w:val="0"/>
              <w:pageBreakBefore w:val="0"/>
              <w:widowControl w:val="0"/>
              <w:tabs>
                <w:tab w:val="center" w:pos="2707"/>
              </w:tabs>
              <w:kinsoku/>
              <w:wordWrap/>
              <w:overflowPunct/>
              <w:topLinePunct w:val="0"/>
              <w:autoSpaceDE/>
              <w:autoSpaceDN/>
              <w:bidi w:val="0"/>
              <w:adjustRightInd/>
              <w:snapToGrid/>
              <w:spacing w:line="360" w:lineRule="exact"/>
              <w:jc w:val="left"/>
              <w:textAlignment w:val="auto"/>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eastAsia="zh-CN"/>
              </w:rPr>
              <w:t>类似项目的计量工程师。</w:t>
            </w:r>
            <w:r>
              <w:rPr>
                <w:rFonts w:hint="eastAsia" w:ascii="宋体" w:hAnsi="宋体" w:eastAsia="宋体" w:cs="Arial"/>
                <w:color w:val="auto"/>
                <w:sz w:val="21"/>
                <w:szCs w:val="21"/>
                <w:highlight w:val="none"/>
                <w:lang w:eastAsia="zh-CN"/>
              </w:rPr>
              <w:tab/>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22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Arial"/>
                <w:color w:val="auto"/>
                <w:sz w:val="21"/>
                <w:szCs w:val="21"/>
                <w:highlight w:val="none"/>
                <w:lang w:eastAsia="zh-CN"/>
              </w:rPr>
            </w:pPr>
            <w:r>
              <w:rPr>
                <w:rFonts w:hint="eastAsia" w:ascii="Arial" w:hAnsi="Arial" w:cs="Arial"/>
                <w:color w:val="auto"/>
                <w:sz w:val="21"/>
                <w:szCs w:val="21"/>
                <w:highlight w:val="none"/>
                <w:lang w:eastAsia="zh-CN"/>
              </w:rPr>
              <w:t>测量工程师</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1</w:t>
            </w:r>
          </w:p>
        </w:tc>
        <w:tc>
          <w:tcPr>
            <w:tcW w:w="547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工程师或以上职称，5 年以上工作经验。至少担任过 1 个</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类似项目的测量工程师。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22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cs="Arial"/>
                <w:color w:val="auto"/>
                <w:sz w:val="21"/>
                <w:szCs w:val="21"/>
                <w:highlight w:val="none"/>
                <w:lang w:eastAsia="zh-CN"/>
              </w:rPr>
            </w:pPr>
            <w:r>
              <w:rPr>
                <w:rFonts w:hint="eastAsia" w:ascii="Arial" w:hAnsi="Arial" w:cs="Arial"/>
                <w:color w:val="auto"/>
                <w:sz w:val="21"/>
                <w:szCs w:val="21"/>
                <w:highlight w:val="none"/>
                <w:lang w:eastAsia="zh-CN"/>
              </w:rPr>
              <w:t>土建工程师</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1</w:t>
            </w:r>
          </w:p>
        </w:tc>
        <w:tc>
          <w:tcPr>
            <w:tcW w:w="547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工程师或以上职称，5 年以上工作经验。至少担任过 1 个</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类似项目的土建工程师。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22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cs="Arial"/>
                <w:color w:val="auto"/>
                <w:sz w:val="21"/>
                <w:szCs w:val="21"/>
                <w:highlight w:val="none"/>
                <w:lang w:eastAsia="zh-CN"/>
              </w:rPr>
            </w:pPr>
            <w:r>
              <w:rPr>
                <w:rFonts w:hint="eastAsia" w:ascii="Arial" w:hAnsi="Arial" w:cs="Arial"/>
                <w:color w:val="auto"/>
                <w:sz w:val="21"/>
                <w:szCs w:val="21"/>
                <w:highlight w:val="none"/>
                <w:lang w:eastAsia="zh-CN"/>
              </w:rPr>
              <w:t>房建工程师</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1</w:t>
            </w:r>
          </w:p>
        </w:tc>
        <w:tc>
          <w:tcPr>
            <w:tcW w:w="547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工程师或以上职称，5 年以上工作经验。至少担任过 1 个</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类似项目的房建工程师。</w:t>
            </w:r>
          </w:p>
        </w:tc>
      </w:tr>
    </w:tbl>
    <w:p>
      <w:pPr>
        <w:rPr>
          <w:rFonts w:hint="eastAsia"/>
          <w:sz w:val="28"/>
          <w:szCs w:val="28"/>
        </w:rPr>
      </w:pPr>
      <w:r>
        <w:rPr>
          <w:rFonts w:hint="eastAsia" w:ascii="宋体" w:hAnsi="宋体" w:eastAsia="宋体" w:cs="Arial"/>
          <w:b/>
          <w:bCs/>
          <w:color w:val="auto"/>
          <w:sz w:val="20"/>
          <w:szCs w:val="20"/>
          <w:highlight w:val="none"/>
        </w:rPr>
        <w:t>注：本次招标仅审查项目经理、项目总工、安全负责人，不审查其他管理人员和技术人员，投标人无需提供其他管理人员和技术人员资料。在合同谈判时，中标人应提供满足资格审查要求的其他主要人员的资料</w:t>
      </w:r>
      <w:r>
        <w:rPr>
          <w:rFonts w:hint="eastAsia" w:ascii="宋体" w:hAnsi="宋体" w:eastAsia="宋体" w:cs="Arial"/>
          <w:b/>
          <w:bCs/>
          <w:color w:val="auto"/>
          <w:sz w:val="20"/>
          <w:szCs w:val="20"/>
          <w:highlight w:val="none"/>
          <w:lang w:eastAsia="zh-CN"/>
        </w:rPr>
        <w:t>。</w:t>
      </w:r>
      <w:r>
        <w:rPr>
          <w:b/>
          <w:bCs/>
          <w:color w:val="auto"/>
          <w:highlight w:val="none"/>
        </w:rPr>
        <w:br w:type="page"/>
      </w:r>
      <w:r>
        <w:rPr>
          <w:rFonts w:hint="eastAsia"/>
          <w:sz w:val="28"/>
          <w:szCs w:val="28"/>
        </w:rPr>
        <w:t>2、评标办法</w:t>
      </w:r>
    </w:p>
    <w:p>
      <w:pPr>
        <w:pStyle w:val="3"/>
        <w:pageBreakBefore w:val="0"/>
        <w:kinsoku/>
        <w:wordWrap/>
        <w:overflowPunct/>
        <w:topLinePunct w:val="0"/>
        <w:autoSpaceDE/>
        <w:autoSpaceDN/>
        <w:bidi w:val="0"/>
        <w:snapToGrid/>
        <w:spacing w:before="0" w:after="0" w:line="500" w:lineRule="exact"/>
        <w:jc w:val="center"/>
        <w:outlineLvl w:val="0"/>
        <w:rPr>
          <w:color w:val="auto"/>
          <w:sz w:val="30"/>
          <w:szCs w:val="30"/>
          <w:highlight w:val="none"/>
        </w:rPr>
      </w:pPr>
      <w:r>
        <w:rPr>
          <w:color w:val="auto"/>
          <w:sz w:val="30"/>
          <w:szCs w:val="30"/>
          <w:highlight w:val="none"/>
        </w:rPr>
        <w:t>评标办法（</w:t>
      </w:r>
      <w:r>
        <w:rPr>
          <w:rFonts w:hint="eastAsia"/>
          <w:color w:val="auto"/>
          <w:sz w:val="30"/>
          <w:szCs w:val="30"/>
          <w:highlight w:val="none"/>
        </w:rPr>
        <w:t>技术评分最低标价法</w:t>
      </w:r>
      <w:r>
        <w:rPr>
          <w:color w:val="auto"/>
          <w:sz w:val="30"/>
          <w:szCs w:val="30"/>
          <w:highlight w:val="none"/>
        </w:rPr>
        <w:t>）</w:t>
      </w:r>
    </w:p>
    <w:p>
      <w:pPr>
        <w:pStyle w:val="5"/>
        <w:pageBreakBefore w:val="0"/>
        <w:kinsoku/>
        <w:wordWrap/>
        <w:overflowPunct/>
        <w:topLinePunct w:val="0"/>
        <w:autoSpaceDE/>
        <w:autoSpaceDN/>
        <w:bidi w:val="0"/>
        <w:snapToGrid/>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评标办法前附表</w:t>
      </w:r>
    </w:p>
    <w:p>
      <w:pPr>
        <w:pageBreakBefore w:val="0"/>
        <w:kinsoku/>
        <w:wordWrap/>
        <w:overflowPunct/>
        <w:topLinePunct w:val="0"/>
        <w:autoSpaceDE/>
        <w:autoSpaceDN/>
        <w:bidi w:val="0"/>
        <w:snapToGrid/>
        <w:spacing w:line="500" w:lineRule="exact"/>
        <w:ind w:firstLine="420" w:firstLineChars="200"/>
        <w:rPr>
          <w:rFonts w:hint="eastAsia"/>
          <w:color w:val="auto"/>
          <w:highlight w:val="none"/>
        </w:rPr>
      </w:pPr>
      <w:r>
        <w:rPr>
          <w:color w:val="auto"/>
          <w:szCs w:val="21"/>
          <w:highlight w:val="none"/>
        </w:rPr>
        <w:t>说明：“评标办法前附表”是对“评标办法正文”的补充、细化，“评标办法前附表”与“评标办法正文”不一致的以“评标办法前附表”为准。</w:t>
      </w:r>
    </w:p>
    <w:tbl>
      <w:tblPr>
        <w:tblStyle w:val="8"/>
        <w:tblW w:w="5002" w:type="pct"/>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2"/>
        <w:gridCol w:w="924"/>
        <w:gridCol w:w="17"/>
        <w:gridCol w:w="1191"/>
        <w:gridCol w:w="18"/>
        <w:gridCol w:w="6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1" w:type="pct"/>
          <w:tblHeader/>
        </w:trPr>
        <w:tc>
          <w:tcPr>
            <w:tcW w:w="1274" w:type="pct"/>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b/>
                <w:color w:val="auto"/>
                <w:kern w:val="0"/>
                <w:sz w:val="21"/>
                <w:szCs w:val="21"/>
                <w:highlight w:val="none"/>
              </w:rPr>
            </w:pPr>
            <w:r>
              <w:rPr>
                <w:b/>
                <w:color w:val="auto"/>
                <w:kern w:val="0"/>
                <w:sz w:val="21"/>
                <w:szCs w:val="21"/>
                <w:highlight w:val="none"/>
              </w:rPr>
              <w:t>条款号</w:t>
            </w:r>
          </w:p>
        </w:tc>
        <w:tc>
          <w:tcPr>
            <w:tcW w:w="372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b/>
                <w:color w:val="auto"/>
                <w:spacing w:val="4"/>
                <w:kern w:val="0"/>
                <w:sz w:val="21"/>
                <w:szCs w:val="21"/>
                <w:highlight w:val="none"/>
              </w:rPr>
            </w:pPr>
            <w:r>
              <w:rPr>
                <w:b/>
                <w:color w:val="auto"/>
                <w:spacing w:val="4"/>
                <w:kern w:val="0"/>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1" w:type="pct"/>
        </w:trPr>
        <w:tc>
          <w:tcPr>
            <w:tcW w:w="552" w:type="pc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color w:val="auto"/>
                <w:kern w:val="0"/>
                <w:sz w:val="21"/>
                <w:szCs w:val="21"/>
                <w:highlight w:val="none"/>
              </w:rPr>
            </w:pPr>
            <w:r>
              <w:rPr>
                <w:color w:val="auto"/>
                <w:kern w:val="0"/>
                <w:sz w:val="21"/>
                <w:szCs w:val="21"/>
                <w:highlight w:val="none"/>
              </w:rPr>
              <w:t>1</w:t>
            </w:r>
          </w:p>
        </w:tc>
        <w:tc>
          <w:tcPr>
            <w:tcW w:w="722"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color w:val="auto"/>
                <w:kern w:val="0"/>
                <w:sz w:val="21"/>
                <w:szCs w:val="21"/>
                <w:highlight w:val="none"/>
              </w:rPr>
            </w:pPr>
            <w:r>
              <w:rPr>
                <w:color w:val="auto"/>
                <w:kern w:val="0"/>
                <w:sz w:val="21"/>
                <w:szCs w:val="21"/>
                <w:highlight w:val="none"/>
              </w:rPr>
              <w:t>评标方法</w:t>
            </w:r>
          </w:p>
        </w:tc>
        <w:tc>
          <w:tcPr>
            <w:tcW w:w="3724" w:type="pct"/>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textAlignment w:val="auto"/>
              <w:rPr>
                <w:color w:val="auto"/>
                <w:kern w:val="0"/>
                <w:sz w:val="21"/>
                <w:szCs w:val="21"/>
                <w:highlight w:val="none"/>
              </w:rPr>
            </w:pPr>
            <w:r>
              <w:rPr>
                <w:color w:val="auto"/>
                <w:kern w:val="0"/>
                <w:sz w:val="21"/>
                <w:szCs w:val="21"/>
                <w:highlight w:val="none"/>
              </w:rPr>
              <w:t>评标价相等时，评标委员会依次按照以下优先顺序推荐中标候选人或确定中标人：</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w:t>
            </w:r>
            <w:r>
              <w:rPr>
                <w:rFonts w:hint="eastAsia"/>
                <w:color w:val="auto"/>
                <w:kern w:val="0"/>
                <w:sz w:val="21"/>
                <w:szCs w:val="21"/>
                <w:highlight w:val="none"/>
                <w:lang w:val="en-US" w:eastAsia="zh-CN"/>
              </w:rPr>
              <w:t>1</w:t>
            </w:r>
            <w:r>
              <w:rPr>
                <w:color w:val="auto"/>
                <w:kern w:val="0"/>
                <w:sz w:val="21"/>
                <w:szCs w:val="21"/>
                <w:highlight w:val="none"/>
              </w:rPr>
              <w:t>）最新信用等级较高的投标人优先；</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w:t>
            </w:r>
            <w:r>
              <w:rPr>
                <w:rFonts w:hint="eastAsia"/>
                <w:color w:val="auto"/>
                <w:kern w:val="0"/>
                <w:sz w:val="21"/>
                <w:szCs w:val="21"/>
                <w:highlight w:val="none"/>
                <w:lang w:val="en-US" w:eastAsia="zh-CN"/>
              </w:rPr>
              <w:t>2</w:t>
            </w:r>
            <w:r>
              <w:rPr>
                <w:color w:val="auto"/>
                <w:kern w:val="0"/>
                <w:sz w:val="21"/>
                <w:szCs w:val="21"/>
                <w:highlight w:val="none"/>
              </w:rPr>
              <w:t>）商务和技术得分较高的投标人优先；</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w:t>
            </w:r>
            <w:r>
              <w:rPr>
                <w:rFonts w:hint="eastAsia"/>
                <w:color w:val="auto"/>
                <w:kern w:val="0"/>
                <w:sz w:val="21"/>
                <w:szCs w:val="21"/>
                <w:highlight w:val="none"/>
                <w:lang w:val="en-US" w:eastAsia="zh-CN"/>
              </w:rPr>
              <w:t>3</w:t>
            </w:r>
            <w:r>
              <w:rPr>
                <w:color w:val="auto"/>
                <w:kern w:val="0"/>
                <w:sz w:val="21"/>
                <w:szCs w:val="21"/>
                <w:highlight w:val="none"/>
              </w:rPr>
              <w:t>）由评标委员会择优确定。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1" w:type="pct"/>
          <w:trHeight w:val="4404" w:hRule="atLeast"/>
        </w:trPr>
        <w:tc>
          <w:tcPr>
            <w:tcW w:w="552" w:type="pc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color w:val="auto"/>
                <w:kern w:val="0"/>
                <w:sz w:val="21"/>
                <w:szCs w:val="21"/>
                <w:highlight w:val="none"/>
              </w:rPr>
            </w:pPr>
            <w:r>
              <w:rPr>
                <w:color w:val="auto"/>
                <w:kern w:val="0"/>
                <w:sz w:val="21"/>
                <w:szCs w:val="21"/>
                <w:highlight w:val="none"/>
              </w:rPr>
              <w:t>2.1.1</w:t>
            </w:r>
          </w:p>
          <w:p>
            <w:pPr>
              <w:keepNext w:val="0"/>
              <w:keepLines w:val="0"/>
              <w:pageBreakBefore w:val="0"/>
              <w:widowControl/>
              <w:kinsoku/>
              <w:wordWrap/>
              <w:overflowPunct/>
              <w:topLinePunct w:val="0"/>
              <w:autoSpaceDE/>
              <w:autoSpaceDN/>
              <w:bidi w:val="0"/>
              <w:adjustRightInd/>
              <w:spacing w:line="360" w:lineRule="exact"/>
              <w:jc w:val="center"/>
              <w:textAlignment w:val="auto"/>
              <w:rPr>
                <w:color w:val="auto"/>
                <w:kern w:val="0"/>
                <w:sz w:val="21"/>
                <w:szCs w:val="21"/>
                <w:highlight w:val="none"/>
              </w:rPr>
            </w:pPr>
            <w:r>
              <w:rPr>
                <w:color w:val="auto"/>
                <w:kern w:val="0"/>
                <w:sz w:val="21"/>
                <w:szCs w:val="21"/>
                <w:highlight w:val="none"/>
              </w:rPr>
              <w:t>2.1.3</w:t>
            </w:r>
          </w:p>
        </w:tc>
        <w:tc>
          <w:tcPr>
            <w:tcW w:w="722"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color w:val="auto"/>
                <w:kern w:val="0"/>
                <w:sz w:val="21"/>
                <w:szCs w:val="21"/>
                <w:highlight w:val="none"/>
              </w:rPr>
            </w:pPr>
            <w:r>
              <w:rPr>
                <w:color w:val="auto"/>
                <w:kern w:val="0"/>
                <w:sz w:val="21"/>
                <w:szCs w:val="21"/>
                <w:highlight w:val="none"/>
              </w:rPr>
              <w:t>形式评审与响应性评审标准</w:t>
            </w:r>
          </w:p>
        </w:tc>
        <w:tc>
          <w:tcPr>
            <w:tcW w:w="3724" w:type="pct"/>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b/>
                <w:color w:val="auto"/>
                <w:kern w:val="0"/>
                <w:sz w:val="21"/>
                <w:szCs w:val="21"/>
                <w:highlight w:val="none"/>
              </w:rPr>
            </w:pPr>
            <w:r>
              <w:rPr>
                <w:b/>
                <w:color w:val="auto"/>
                <w:kern w:val="0"/>
                <w:sz w:val="21"/>
                <w:szCs w:val="21"/>
                <w:highlight w:val="none"/>
              </w:rPr>
              <w:t>第一个信封（商务及技术文件）评审标准：</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（1）投标文件按照招标文件规定的格式、内容填写，字迹清晰可辨：</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a.投标函按招标文件规定填报了项目名称、标段名称、补遗书编号（如有）、工期、工程质量要求及安全目标；</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b.投标函附录的所有数据均符合招标文件规定；</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c.投标文件组成齐全完整，内容均按规定填写。</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（2）投标文件上法定代表人的个人签</w:t>
            </w:r>
            <w:r>
              <w:rPr>
                <w:rFonts w:hint="eastAsia"/>
                <w:color w:val="auto"/>
                <w:kern w:val="0"/>
                <w:sz w:val="21"/>
                <w:szCs w:val="21"/>
                <w:highlight w:val="none"/>
              </w:rPr>
              <w:t>字</w:t>
            </w:r>
            <w:r>
              <w:rPr>
                <w:color w:val="auto"/>
                <w:kern w:val="0"/>
                <w:sz w:val="21"/>
                <w:szCs w:val="21"/>
                <w:highlight w:val="none"/>
              </w:rPr>
              <w:t>、投标人的单位章盖章齐全，符合招标文件规定。</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（3）投标人按照招标文件的规定提供了投标保证金：</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a.投标保证金金额符合招标文件规定的金额，且投标保证金有效期不少于投标有效期；</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b.若投标保证金采用现金或支票形式提交，投标人应在递交投标文件截止时间之前，将投标保证金由投标人的基本账户转入招标人指定账户；</w:t>
            </w:r>
          </w:p>
          <w:p>
            <w:pPr>
              <w:keepNext w:val="0"/>
              <w:keepLines w:val="0"/>
              <w:pageBreakBefore w:val="0"/>
              <w:tabs>
                <w:tab w:val="left" w:pos="315"/>
                <w:tab w:val="left" w:pos="690"/>
              </w:tabs>
              <w:kinsoku/>
              <w:wordWrap/>
              <w:overflowPunct/>
              <w:topLinePunct w:val="0"/>
              <w:autoSpaceDE/>
              <w:autoSpaceDN/>
              <w:bidi w:val="0"/>
              <w:adjustRightInd/>
              <w:spacing w:line="360" w:lineRule="exact"/>
              <w:textAlignment w:val="auto"/>
              <w:rPr>
                <w:color w:val="auto"/>
                <w:sz w:val="21"/>
                <w:szCs w:val="21"/>
                <w:highlight w:val="none"/>
              </w:rPr>
            </w:pPr>
            <w:r>
              <w:rPr>
                <w:color w:val="auto"/>
                <w:kern w:val="0"/>
                <w:sz w:val="21"/>
                <w:szCs w:val="21"/>
                <w:highlight w:val="none"/>
              </w:rPr>
              <w:t>c.若投标保证金采用</w:t>
            </w:r>
            <w:r>
              <w:rPr>
                <w:rFonts w:hint="eastAsia"/>
                <w:color w:val="auto"/>
                <w:sz w:val="21"/>
                <w:szCs w:val="21"/>
                <w:highlight w:val="none"/>
              </w:rPr>
              <w:t>电子保函（含银行保函、保证保险、担保保函等）</w:t>
            </w:r>
            <w:r>
              <w:rPr>
                <w:color w:val="auto"/>
                <w:sz w:val="21"/>
                <w:szCs w:val="21"/>
                <w:highlight w:val="none"/>
              </w:rPr>
              <w:t>形式提交，</w:t>
            </w:r>
            <w:r>
              <w:rPr>
                <w:rFonts w:hint="eastAsia"/>
                <w:color w:val="auto"/>
                <w:sz w:val="21"/>
                <w:szCs w:val="21"/>
                <w:highlight w:val="none"/>
              </w:rPr>
              <w:t>电子</w:t>
            </w:r>
            <w:r>
              <w:rPr>
                <w:color w:val="auto"/>
                <w:sz w:val="21"/>
                <w:szCs w:val="21"/>
                <w:highlight w:val="none"/>
              </w:rPr>
              <w:t>保函开具</w:t>
            </w:r>
            <w:r>
              <w:rPr>
                <w:rFonts w:hint="eastAsia"/>
                <w:color w:val="auto"/>
                <w:sz w:val="21"/>
                <w:szCs w:val="21"/>
                <w:highlight w:val="none"/>
              </w:rPr>
              <w:t>的方式、保函有效期、提供的证明文件等</w:t>
            </w:r>
            <w:r>
              <w:rPr>
                <w:color w:val="auto"/>
                <w:sz w:val="21"/>
                <w:szCs w:val="21"/>
                <w:highlight w:val="none"/>
              </w:rPr>
              <w:t>均满足招标文件要求。</w:t>
            </w:r>
          </w:p>
          <w:p>
            <w:pPr>
              <w:widowControl w:val="0"/>
              <w:tabs>
                <w:tab w:val="left" w:pos="315"/>
              </w:tabs>
              <w:spacing w:line="360" w:lineRule="exact"/>
              <w:jc w:val="both"/>
              <w:rPr>
                <w:color w:val="auto"/>
                <w:kern w:val="2"/>
                <w:szCs w:val="21"/>
                <w:highlight w:val="none"/>
              </w:rPr>
            </w:pPr>
            <w:r>
              <w:rPr>
                <w:color w:val="auto"/>
                <w:kern w:val="0"/>
                <w:sz w:val="21"/>
                <w:szCs w:val="21"/>
                <w:highlight w:val="none"/>
              </w:rPr>
              <w:t>（4）投标人法定代表人授权委托代理人签署投标文件的，须提交授权委托书，且授权人和被授权人均在授权委托书上加盖个人电子印（签）章/签字。</w:t>
            </w:r>
            <w:r>
              <w:rPr>
                <w:rFonts w:hint="eastAsia"/>
                <w:color w:val="auto"/>
                <w:sz w:val="21"/>
                <w:szCs w:val="21"/>
                <w:highlight w:val="none"/>
              </w:rPr>
              <w:t>（不适用）</w:t>
            </w:r>
          </w:p>
          <w:p>
            <w:pPr>
              <w:keepNext w:val="0"/>
              <w:keepLines w:val="0"/>
              <w:pageBreakBefore w:val="0"/>
              <w:tabs>
                <w:tab w:val="left" w:pos="315"/>
              </w:tabs>
              <w:kinsoku/>
              <w:wordWrap/>
              <w:overflowPunct/>
              <w:topLinePunct w:val="0"/>
              <w:autoSpaceDE/>
              <w:autoSpaceDN/>
              <w:bidi w:val="0"/>
              <w:adjustRightInd/>
              <w:spacing w:line="360" w:lineRule="exact"/>
              <w:textAlignment w:val="auto"/>
              <w:rPr>
                <w:color w:val="auto"/>
                <w:kern w:val="0"/>
                <w:sz w:val="21"/>
                <w:szCs w:val="21"/>
                <w:highlight w:val="none"/>
              </w:rPr>
            </w:pPr>
            <w:r>
              <w:rPr>
                <w:color w:val="auto"/>
                <w:kern w:val="0"/>
                <w:sz w:val="21"/>
                <w:szCs w:val="21"/>
                <w:highlight w:val="none"/>
              </w:rPr>
              <w:t>（5）</w:t>
            </w:r>
            <w:r>
              <w:rPr>
                <w:color w:val="auto"/>
                <w:sz w:val="21"/>
                <w:szCs w:val="21"/>
                <w:highlight w:val="none"/>
              </w:rPr>
              <w:t>提供了法定代表人身份证明，</w:t>
            </w:r>
            <w:r>
              <w:rPr>
                <w:rFonts w:hint="eastAsia"/>
                <w:color w:val="auto"/>
                <w:sz w:val="21"/>
                <w:szCs w:val="21"/>
                <w:highlight w:val="none"/>
              </w:rPr>
              <w:t>且法定代表人身份证明、投标函等要求</w:t>
            </w:r>
            <w:r>
              <w:rPr>
                <w:color w:val="auto"/>
                <w:sz w:val="21"/>
                <w:szCs w:val="21"/>
                <w:highlight w:val="none"/>
              </w:rPr>
              <w:t>签</w:t>
            </w:r>
            <w:r>
              <w:rPr>
                <w:rFonts w:hint="eastAsia"/>
                <w:color w:val="auto"/>
                <w:sz w:val="21"/>
                <w:szCs w:val="21"/>
                <w:highlight w:val="none"/>
              </w:rPr>
              <w:t>字、盖章的地方符合招标文件</w:t>
            </w:r>
            <w:r>
              <w:rPr>
                <w:rFonts w:hint="eastAsia"/>
                <w:color w:val="auto"/>
                <w:szCs w:val="21"/>
                <w:highlight w:val="none"/>
              </w:rPr>
              <w:t>3.7.3的</w:t>
            </w:r>
            <w:r>
              <w:rPr>
                <w:rFonts w:hint="eastAsia"/>
                <w:color w:val="auto"/>
                <w:sz w:val="21"/>
                <w:szCs w:val="21"/>
                <w:highlight w:val="none"/>
              </w:rPr>
              <w:t>规定</w:t>
            </w:r>
            <w:r>
              <w:rPr>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（6）投标人</w:t>
            </w:r>
            <w:r>
              <w:rPr>
                <w:rFonts w:hint="eastAsia"/>
                <w:color w:val="auto"/>
                <w:kern w:val="0"/>
                <w:sz w:val="21"/>
                <w:szCs w:val="21"/>
                <w:highlight w:val="none"/>
              </w:rPr>
              <w:t>未</w:t>
            </w:r>
            <w:r>
              <w:rPr>
                <w:color w:val="auto"/>
                <w:kern w:val="0"/>
                <w:sz w:val="21"/>
                <w:szCs w:val="21"/>
                <w:highlight w:val="none"/>
              </w:rPr>
              <w:t>以联合体形式</w:t>
            </w:r>
            <w:r>
              <w:rPr>
                <w:rFonts w:hint="eastAsia"/>
                <w:color w:val="auto"/>
                <w:kern w:val="0"/>
                <w:sz w:val="21"/>
                <w:szCs w:val="21"/>
                <w:highlight w:val="none"/>
              </w:rPr>
              <w:t>参与</w:t>
            </w:r>
            <w:r>
              <w:rPr>
                <w:color w:val="auto"/>
                <w:kern w:val="0"/>
                <w:sz w:val="21"/>
                <w:szCs w:val="21"/>
                <w:highlight w:val="none"/>
              </w:rPr>
              <w:t>投标</w:t>
            </w:r>
            <w:r>
              <w:rPr>
                <w:rFonts w:hint="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（7）投标人如有分包计划，符合招标文件第二章“投标人须知”第1.11款规定，且按招标文件第九章“投标文件格式”的要求填写了“拟分包项目情况表”。</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（8）同一投标人未提交两个以上不同的投标文件。</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color w:val="auto"/>
                <w:kern w:val="0"/>
                <w:sz w:val="21"/>
                <w:szCs w:val="21"/>
                <w:highlight w:val="none"/>
              </w:rPr>
            </w:pPr>
            <w:r>
              <w:rPr>
                <w:color w:val="auto"/>
                <w:kern w:val="0"/>
                <w:sz w:val="21"/>
                <w:szCs w:val="21"/>
                <w:highlight w:val="none"/>
              </w:rPr>
              <w:t>（9）投标文件中未出现有关投标报价的内容。</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（10）投标文件载明的招标项目完成期限未超过招标文件规定的时限。</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（11）投标文件对招标文件的实质性要求和条件作出响应。</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（12）权利义务符合招标文件规定：</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a.投标人应接受招标文件规定的风险划分原则，未提出新的风险划分办法；</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b.投标人未增加发包人的责任范围，或减少投标人义务；</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c.投标人未提出不同的工程验收、计量、支付办法；</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d.投标人对合同纠纷、事故处理办法未提出异议；</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e.投标人在投标活动中无欺诈行为；</w:t>
            </w:r>
          </w:p>
          <w:p>
            <w:pPr>
              <w:keepNext w:val="0"/>
              <w:keepLines w:val="0"/>
              <w:pageBreakBefore w:val="0"/>
              <w:widowControl/>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f.投标人未对合同条款有重要保留。</w:t>
            </w:r>
          </w:p>
          <w:p>
            <w:pPr>
              <w:pStyle w:val="6"/>
              <w:spacing w:line="360" w:lineRule="exact"/>
              <w:ind w:left="0"/>
              <w:rPr>
                <w:rFonts w:hint="eastAsia" w:eastAsia="宋体"/>
                <w:color w:val="auto"/>
                <w:kern w:val="0"/>
                <w:szCs w:val="21"/>
                <w:highlight w:val="none"/>
                <w:lang w:eastAsia="zh-CN"/>
              </w:rPr>
            </w:pPr>
            <w:r>
              <w:rPr>
                <w:rFonts w:hint="eastAsia"/>
                <w:b/>
                <w:bCs/>
                <w:color w:val="auto"/>
                <w:kern w:val="2"/>
                <w:sz w:val="21"/>
                <w:szCs w:val="21"/>
                <w:highlight w:val="none"/>
              </w:rPr>
              <w:t>（13）投标人在开标记录表中确认的来自投标人自行填写进“电子交易平台”中的内容（含：投标保证金递交情况、工程质量、安全目标、工期或主要人员等）与投标文件中的相应内容一致</w:t>
            </w:r>
            <w:r>
              <w:rPr>
                <w:rFonts w:hint="eastAsia"/>
                <w:b/>
                <w:bCs/>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3" w:type="pct"/>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2.1.1</w:t>
            </w:r>
          </w:p>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2.1.3</w:t>
            </w:r>
          </w:p>
        </w:tc>
        <w:tc>
          <w:tcPr>
            <w:tcW w:w="723"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形式评审与响应性评审标准</w:t>
            </w:r>
          </w:p>
        </w:tc>
        <w:tc>
          <w:tcPr>
            <w:tcW w:w="3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jc w:val="left"/>
              <w:textAlignment w:val="auto"/>
              <w:rPr>
                <w:b/>
                <w:color w:val="auto"/>
                <w:kern w:val="0"/>
                <w:sz w:val="21"/>
                <w:szCs w:val="21"/>
                <w:highlight w:val="none"/>
              </w:rPr>
            </w:pPr>
            <w:r>
              <w:rPr>
                <w:b/>
                <w:color w:val="auto"/>
                <w:kern w:val="0"/>
                <w:sz w:val="21"/>
                <w:szCs w:val="21"/>
                <w:highlight w:val="none"/>
              </w:rPr>
              <w:t>第二个信封（报价文件）评审标准：</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（1）投标文件按照招标文件规定的格式、标段名称、内容填写，字迹清晰可辨：</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a.投标函按招标文件规定填报了项目名称、标段名称、补遗书编号（如有）、投标价（包括大写金额和小写金额）；</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b.已标价工程量清单说明文字与招标文件规定一致，未进行实质性修改和删减；</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c.投标文件组成齐全完整，内容均按规定填写。</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（2）</w:t>
            </w:r>
            <w:r>
              <w:rPr>
                <w:rFonts w:hint="eastAsia"/>
                <w:color w:val="auto"/>
                <w:kern w:val="0"/>
                <w:sz w:val="21"/>
                <w:szCs w:val="21"/>
                <w:highlight w:val="none"/>
              </w:rPr>
              <w:t>投</w:t>
            </w:r>
            <w:r>
              <w:rPr>
                <w:color w:val="auto"/>
                <w:kern w:val="0"/>
                <w:sz w:val="21"/>
                <w:szCs w:val="21"/>
                <w:highlight w:val="none"/>
              </w:rPr>
              <w:t>标文件上法定代表人</w:t>
            </w:r>
            <w:r>
              <w:rPr>
                <w:rFonts w:hint="eastAsia"/>
                <w:color w:val="auto"/>
                <w:kern w:val="0"/>
                <w:sz w:val="21"/>
                <w:szCs w:val="21"/>
                <w:highlight w:val="none"/>
              </w:rPr>
              <w:t>的</w:t>
            </w:r>
            <w:r>
              <w:rPr>
                <w:color w:val="auto"/>
                <w:kern w:val="0"/>
                <w:sz w:val="21"/>
                <w:szCs w:val="21"/>
                <w:highlight w:val="none"/>
              </w:rPr>
              <w:t>签字、投标人的单位</w:t>
            </w:r>
            <w:r>
              <w:rPr>
                <w:rFonts w:hint="eastAsia"/>
                <w:color w:val="auto"/>
                <w:kern w:val="0"/>
                <w:sz w:val="21"/>
                <w:szCs w:val="21"/>
                <w:highlight w:val="none"/>
              </w:rPr>
              <w:t>章盖章</w:t>
            </w:r>
            <w:r>
              <w:rPr>
                <w:color w:val="auto"/>
                <w:kern w:val="0"/>
                <w:sz w:val="21"/>
                <w:szCs w:val="21"/>
                <w:highlight w:val="none"/>
              </w:rPr>
              <w:t>齐全，符合招标文件规定。</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（3）投标报价未超过招标文件设定的最高投标限价，</w:t>
            </w:r>
            <w:r>
              <w:rPr>
                <w:rFonts w:hint="eastAsia"/>
                <w:color w:val="auto"/>
                <w:kern w:val="0"/>
                <w:sz w:val="21"/>
                <w:szCs w:val="21"/>
                <w:highlight w:val="none"/>
              </w:rPr>
              <w:t>且</w:t>
            </w:r>
            <w:r>
              <w:rPr>
                <w:color w:val="auto"/>
                <w:kern w:val="0"/>
                <w:sz w:val="21"/>
                <w:szCs w:val="21"/>
                <w:highlight w:val="none"/>
              </w:rPr>
              <w:t>各子目单价未超过招标文件设定的工程量清单相应子目最高单价限价。</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（4）投标报价的大写金额能够确定具体数值。</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（5）同一投标人未提交两个以上不同的投标报价。</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rFonts w:hint="eastAsia"/>
                <w:color w:val="auto"/>
                <w:kern w:val="0"/>
                <w:sz w:val="21"/>
                <w:szCs w:val="21"/>
                <w:highlight w:val="none"/>
              </w:rPr>
            </w:pPr>
            <w:r>
              <w:rPr>
                <w:color w:val="auto"/>
                <w:kern w:val="0"/>
                <w:sz w:val="21"/>
                <w:szCs w:val="21"/>
                <w:highlight w:val="none"/>
              </w:rPr>
              <w:t>（6）填写完毕的工程量固化清单未对工程量固化清单电子文件中的数据、格式和运算定义进行修改；工程量固化清单中的投标报价和投标函大写金额报价一致。</w:t>
            </w:r>
          </w:p>
          <w:p>
            <w:pPr>
              <w:pStyle w:val="6"/>
              <w:spacing w:line="360" w:lineRule="exact"/>
              <w:rPr>
                <w:color w:val="auto"/>
                <w:kern w:val="0"/>
                <w:szCs w:val="21"/>
                <w:highlight w:val="none"/>
              </w:rPr>
            </w:pPr>
            <w:r>
              <w:rPr>
                <w:rFonts w:hint="eastAsia" w:ascii="宋体" w:hAnsi="宋体" w:cs="Arial"/>
                <w:b/>
                <w:color w:val="auto"/>
                <w:szCs w:val="21"/>
                <w:highlight w:val="none"/>
              </w:rPr>
              <w:t>（</w:t>
            </w:r>
            <w:r>
              <w:rPr>
                <w:rFonts w:hint="eastAsia"/>
                <w:b/>
                <w:bCs/>
                <w:color w:val="auto"/>
                <w:kern w:val="2"/>
                <w:sz w:val="21"/>
                <w:szCs w:val="21"/>
                <w:highlight w:val="none"/>
              </w:rPr>
              <w:t>7）投标人在开标记录表中确认的来自投标人自行填写进“电子交易平台”中的投标价与投标函中一致。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3" w:type="pct"/>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2.1.2</w:t>
            </w:r>
          </w:p>
        </w:tc>
        <w:tc>
          <w:tcPr>
            <w:tcW w:w="723" w:type="pct"/>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资格评审</w:t>
            </w:r>
          </w:p>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标准</w:t>
            </w:r>
          </w:p>
        </w:tc>
        <w:tc>
          <w:tcPr>
            <w:tcW w:w="3713" w:type="pct"/>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pacing w:line="360" w:lineRule="exact"/>
              <w:ind w:left="0"/>
              <w:jc w:val="left"/>
              <w:textAlignment w:val="auto"/>
              <w:rPr>
                <w:b/>
                <w:bCs/>
                <w:color w:val="auto"/>
                <w:sz w:val="21"/>
                <w:szCs w:val="21"/>
                <w:highlight w:val="none"/>
              </w:rPr>
            </w:pPr>
            <w:r>
              <w:rPr>
                <w:color w:val="auto"/>
                <w:kern w:val="0"/>
                <w:sz w:val="21"/>
                <w:szCs w:val="21"/>
                <w:highlight w:val="none"/>
              </w:rPr>
              <w:t>投标人具备有效的营业执照、资质证书、安全生产许可证和基本账户开户许可证</w:t>
            </w:r>
            <w:r>
              <w:rPr>
                <w:b/>
                <w:color w:val="auto"/>
                <w:sz w:val="21"/>
                <w:szCs w:val="21"/>
                <w:highlight w:val="none"/>
              </w:rPr>
              <w:t>（符合《关于试点取消企业银行账户开户许可证核发的通知》（银发〔2018〕125 号）文件规定的试点地区的投标人，无须附基本账户《开户许可证》，但应附载有投标人名称、基本账户开户银行和银行账号信息的相关证明材料）</w:t>
            </w:r>
            <w:r>
              <w:rPr>
                <w:b/>
                <w:bCs/>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rPr>
                <w:color w:val="auto"/>
                <w:kern w:val="0"/>
                <w:sz w:val="21"/>
                <w:szCs w:val="21"/>
                <w:highlight w:val="none"/>
              </w:rPr>
            </w:pPr>
            <w:r>
              <w:rPr>
                <w:color w:val="auto"/>
                <w:kern w:val="0"/>
                <w:sz w:val="21"/>
                <w:szCs w:val="21"/>
                <w:highlight w:val="none"/>
              </w:rPr>
              <w:t>（2）投标人的资质等级符合招标文件规定。</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（3）投标人的财务状况符合招标文件规定。</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（4）投标人的信誉符合招标文件规定。</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（5）投标人的</w:t>
            </w:r>
            <w:r>
              <w:rPr>
                <w:rFonts w:hint="eastAsia"/>
                <w:color w:val="auto"/>
                <w:kern w:val="0"/>
                <w:sz w:val="21"/>
                <w:szCs w:val="21"/>
                <w:highlight w:val="none"/>
              </w:rPr>
              <w:t>项目经理、项目总工和安全负责人</w:t>
            </w:r>
            <w:r>
              <w:rPr>
                <w:color w:val="auto"/>
                <w:kern w:val="0"/>
                <w:sz w:val="21"/>
                <w:szCs w:val="21"/>
                <w:highlight w:val="none"/>
              </w:rPr>
              <w:t>资格、在岗情况符合招标文件规定。</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（6）投标人不存在第二章“投标人须知”第1.4.3项或第1.4.4项规定的任何一种情形。</w:t>
            </w:r>
          </w:p>
          <w:p>
            <w:pPr>
              <w:keepNext w:val="0"/>
              <w:keepLines w:val="0"/>
              <w:pageBreakBefore w:val="0"/>
              <w:widowControl/>
              <w:kinsoku/>
              <w:wordWrap/>
              <w:overflowPunct/>
              <w:topLinePunct w:val="0"/>
              <w:autoSpaceDE/>
              <w:autoSpaceDN/>
              <w:bidi w:val="0"/>
              <w:adjustRightInd/>
              <w:spacing w:line="360" w:lineRule="exact"/>
              <w:ind w:left="0"/>
              <w:jc w:val="left"/>
              <w:textAlignment w:val="auto"/>
              <w:rPr>
                <w:color w:val="auto"/>
                <w:kern w:val="0"/>
                <w:sz w:val="21"/>
                <w:szCs w:val="21"/>
                <w:highlight w:val="none"/>
              </w:rPr>
            </w:pPr>
            <w:r>
              <w:rPr>
                <w:color w:val="auto"/>
                <w:kern w:val="0"/>
                <w:sz w:val="21"/>
                <w:szCs w:val="21"/>
                <w:highlight w:val="none"/>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rPr>
        <w:tc>
          <w:tcPr>
            <w:tcW w:w="563" w:type="pct"/>
            <w:gridSpan w:val="3"/>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2.2.1</w:t>
            </w:r>
          </w:p>
        </w:tc>
        <w:tc>
          <w:tcPr>
            <w:tcW w:w="723" w:type="pct"/>
            <w:gridSpan w:val="2"/>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第一个信封评分分值构成（总分100分）</w:t>
            </w:r>
          </w:p>
        </w:tc>
        <w:tc>
          <w:tcPr>
            <w:tcW w:w="3713" w:type="pct"/>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textAlignment w:val="auto"/>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施工组织设计：</w:t>
            </w:r>
            <w:r>
              <w:rPr>
                <w:rFonts w:hint="eastAsia"/>
                <w:color w:val="auto"/>
                <w:highlight w:val="none"/>
                <w:lang w:val="en-US" w:eastAsia="zh-CN"/>
              </w:rPr>
              <w:t>3</w:t>
            </w:r>
            <w:r>
              <w:rPr>
                <w:color w:val="auto"/>
                <w:highlight w:val="none"/>
              </w:rPr>
              <w:t>0分</w:t>
            </w:r>
          </w:p>
          <w:p>
            <w:pPr>
              <w:keepNext w:val="0"/>
              <w:keepLines w:val="0"/>
              <w:pageBreakBefore w:val="0"/>
              <w:widowControl/>
              <w:kinsoku/>
              <w:wordWrap/>
              <w:overflowPunct/>
              <w:topLinePunct w:val="0"/>
              <w:autoSpaceDE/>
              <w:autoSpaceDN/>
              <w:bidi w:val="0"/>
              <w:adjustRightInd/>
              <w:snapToGrid/>
              <w:spacing w:line="360" w:lineRule="exact"/>
              <w:ind w:left="0"/>
              <w:textAlignment w:val="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主要人员：</w:t>
            </w:r>
            <w:r>
              <w:rPr>
                <w:rFonts w:hint="eastAsia"/>
                <w:color w:val="auto"/>
                <w:highlight w:val="none"/>
                <w:lang w:val="en-US" w:eastAsia="zh-CN"/>
              </w:rPr>
              <w:t>2</w:t>
            </w:r>
            <w:r>
              <w:rPr>
                <w:color w:val="auto"/>
                <w:highlight w:val="none"/>
              </w:rPr>
              <w:t>5分</w:t>
            </w:r>
          </w:p>
          <w:p>
            <w:pPr>
              <w:keepNext w:val="0"/>
              <w:keepLines w:val="0"/>
              <w:pageBreakBefore w:val="0"/>
              <w:widowControl/>
              <w:kinsoku/>
              <w:wordWrap/>
              <w:overflowPunct/>
              <w:topLinePunct w:val="0"/>
              <w:autoSpaceDE/>
              <w:autoSpaceDN/>
              <w:bidi w:val="0"/>
              <w:adjustRightInd/>
              <w:snapToGrid/>
              <w:spacing w:line="360" w:lineRule="exact"/>
              <w:ind w:left="0"/>
              <w:textAlignment w:val="auto"/>
              <w:rPr>
                <w:rFonts w:hint="eastAsia"/>
                <w:color w:val="auto"/>
                <w:highlight w:val="none"/>
                <w:lang w:eastAsia="zh-CN"/>
              </w:rPr>
            </w:pPr>
            <w:r>
              <w:rPr>
                <w:rFonts w:hint="eastAsia"/>
                <w:color w:val="auto"/>
                <w:highlight w:val="none"/>
                <w:lang w:eastAsia="zh-CN"/>
              </w:rPr>
              <w:t>（3）其他因素：</w:t>
            </w:r>
          </w:p>
          <w:p>
            <w:pPr>
              <w:keepNext w:val="0"/>
              <w:keepLines w:val="0"/>
              <w:pageBreakBefore w:val="0"/>
              <w:widowControl/>
              <w:kinsoku/>
              <w:wordWrap/>
              <w:overflowPunct/>
              <w:topLinePunct w:val="0"/>
              <w:autoSpaceDE/>
              <w:autoSpaceDN/>
              <w:bidi w:val="0"/>
              <w:adjustRightInd/>
              <w:snapToGrid/>
              <w:spacing w:line="360" w:lineRule="exact"/>
              <w:ind w:left="0" w:firstLine="420" w:firstLineChars="200"/>
              <w:textAlignment w:val="auto"/>
              <w:rPr>
                <w:color w:val="auto"/>
                <w:highlight w:val="none"/>
              </w:rPr>
            </w:pPr>
            <w:r>
              <w:rPr>
                <w:rFonts w:hint="eastAsia"/>
                <w:color w:val="auto"/>
                <w:highlight w:val="none"/>
                <w:lang w:eastAsia="zh-CN"/>
              </w:rPr>
              <w:t>业绩：</w:t>
            </w:r>
            <w:r>
              <w:rPr>
                <w:color w:val="auto"/>
                <w:highlight w:val="none"/>
              </w:rPr>
              <w:t>2</w:t>
            </w:r>
            <w:r>
              <w:rPr>
                <w:rFonts w:hint="eastAsia"/>
                <w:color w:val="auto"/>
                <w:highlight w:val="none"/>
                <w:lang w:val="en-US" w:eastAsia="zh-CN"/>
              </w:rPr>
              <w:t>0</w:t>
            </w:r>
            <w:r>
              <w:rPr>
                <w:color w:val="auto"/>
                <w:highlight w:val="none"/>
              </w:rPr>
              <w:t>分</w:t>
            </w:r>
          </w:p>
          <w:p>
            <w:pPr>
              <w:keepNext w:val="0"/>
              <w:keepLines w:val="0"/>
              <w:pageBreakBefore w:val="0"/>
              <w:widowControl/>
              <w:kinsoku/>
              <w:wordWrap/>
              <w:overflowPunct/>
              <w:topLinePunct w:val="0"/>
              <w:autoSpaceDE/>
              <w:autoSpaceDN/>
              <w:bidi w:val="0"/>
              <w:adjustRightInd/>
              <w:snapToGrid/>
              <w:spacing w:line="360" w:lineRule="exact"/>
              <w:ind w:left="0" w:firstLine="420" w:firstLineChars="200"/>
              <w:textAlignment w:val="auto"/>
              <w:rPr>
                <w:color w:val="auto"/>
                <w:highlight w:val="none"/>
              </w:rPr>
            </w:pPr>
            <w:r>
              <w:rPr>
                <w:rFonts w:hint="eastAsia"/>
                <w:color w:val="auto"/>
                <w:highlight w:val="none"/>
                <w:lang w:eastAsia="zh-CN"/>
              </w:rPr>
              <w:t>信用评价</w:t>
            </w:r>
            <w:r>
              <w:rPr>
                <w:color w:val="auto"/>
                <w:highlight w:val="none"/>
              </w:rPr>
              <w:t>：3分</w:t>
            </w:r>
          </w:p>
          <w:p>
            <w:pPr>
              <w:keepNext w:val="0"/>
              <w:keepLines w:val="0"/>
              <w:pageBreakBefore w:val="0"/>
              <w:widowControl/>
              <w:kinsoku/>
              <w:wordWrap/>
              <w:overflowPunct/>
              <w:topLinePunct w:val="0"/>
              <w:autoSpaceDE/>
              <w:autoSpaceDN/>
              <w:bidi w:val="0"/>
              <w:adjustRightInd/>
              <w:snapToGrid/>
              <w:spacing w:line="360" w:lineRule="exact"/>
              <w:ind w:left="0" w:firstLine="420" w:firstLineChars="200"/>
              <w:textAlignment w:val="auto"/>
              <w:rPr>
                <w:rFonts w:hint="eastAsia"/>
                <w:color w:val="auto"/>
                <w:highlight w:val="none"/>
              </w:rPr>
            </w:pPr>
            <w:r>
              <w:rPr>
                <w:rFonts w:hint="eastAsia"/>
                <w:color w:val="auto"/>
                <w:highlight w:val="none"/>
                <w:lang w:eastAsia="zh-CN"/>
              </w:rPr>
              <w:t>技术</w:t>
            </w:r>
            <w:r>
              <w:rPr>
                <w:rFonts w:hint="eastAsia"/>
                <w:color w:val="auto"/>
                <w:highlight w:val="none"/>
              </w:rPr>
              <w:t>能力：10分</w:t>
            </w:r>
          </w:p>
          <w:p>
            <w:pPr>
              <w:pStyle w:val="2"/>
              <w:keepNext w:val="0"/>
              <w:keepLines w:val="0"/>
              <w:pageBreakBefore w:val="0"/>
              <w:kinsoku/>
              <w:wordWrap/>
              <w:overflowPunct/>
              <w:topLinePunct w:val="0"/>
              <w:autoSpaceDE/>
              <w:autoSpaceDN/>
              <w:bidi w:val="0"/>
              <w:snapToGrid/>
              <w:spacing w:line="360" w:lineRule="exact"/>
              <w:ind w:left="0" w:leftChars="0" w:firstLine="420" w:firstLineChars="200"/>
              <w:rPr>
                <w:rFonts w:hint="default" w:eastAsia="宋体"/>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项目经理现场阐述：12分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 w:hRule="atLeast"/>
        </w:trPr>
        <w:tc>
          <w:tcPr>
            <w:tcW w:w="563" w:type="pct"/>
            <w:gridSpan w:val="3"/>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2.2.3</w:t>
            </w:r>
          </w:p>
        </w:tc>
        <w:tc>
          <w:tcPr>
            <w:tcW w:w="723" w:type="pct"/>
            <w:gridSpan w:val="2"/>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第二个信封详细评审</w:t>
            </w:r>
          </w:p>
          <w:p>
            <w:pPr>
              <w:keepNext w:val="0"/>
              <w:keepLines w:val="0"/>
              <w:pageBreakBefore w:val="0"/>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标准</w:t>
            </w:r>
          </w:p>
        </w:tc>
        <w:tc>
          <w:tcPr>
            <w:tcW w:w="3713"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textAlignment w:val="auto"/>
              <w:rPr>
                <w:color w:val="auto"/>
                <w:kern w:val="0"/>
                <w:sz w:val="21"/>
                <w:szCs w:val="21"/>
                <w:highlight w:val="none"/>
              </w:rPr>
            </w:pPr>
            <w:r>
              <w:rPr>
                <w:color w:val="auto"/>
                <w:kern w:val="0"/>
                <w:sz w:val="21"/>
                <w:szCs w:val="21"/>
                <w:highlight w:val="none"/>
              </w:rPr>
              <w:t>评标价＝投标函文字报价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 w:hRule="atLeast"/>
        </w:trPr>
        <w:tc>
          <w:tcPr>
            <w:tcW w:w="563" w:type="pct"/>
            <w:gridSpan w:val="3"/>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3.2.4</w:t>
            </w:r>
          </w:p>
        </w:tc>
        <w:tc>
          <w:tcPr>
            <w:tcW w:w="723" w:type="pct"/>
            <w:gridSpan w:val="2"/>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jc w:val="center"/>
              <w:textAlignment w:val="auto"/>
              <w:rPr>
                <w:color w:val="auto"/>
                <w:kern w:val="0"/>
                <w:sz w:val="21"/>
                <w:szCs w:val="21"/>
                <w:highlight w:val="none"/>
              </w:rPr>
            </w:pPr>
            <w:r>
              <w:rPr>
                <w:color w:val="auto"/>
                <w:kern w:val="0"/>
                <w:sz w:val="21"/>
                <w:szCs w:val="21"/>
                <w:highlight w:val="none"/>
              </w:rPr>
              <w:t>通过第一个信封详细评审的投标人数量</w:t>
            </w:r>
          </w:p>
        </w:tc>
        <w:tc>
          <w:tcPr>
            <w:tcW w:w="3713" w:type="pct"/>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ind w:left="0"/>
              <w:textAlignment w:val="auto"/>
              <w:rPr>
                <w:color w:val="auto"/>
                <w:kern w:val="0"/>
                <w:sz w:val="21"/>
                <w:szCs w:val="21"/>
                <w:highlight w:val="none"/>
              </w:rPr>
            </w:pPr>
            <w:r>
              <w:rPr>
                <w:color w:val="auto"/>
                <w:kern w:val="0"/>
                <w:sz w:val="21"/>
                <w:szCs w:val="21"/>
                <w:highlight w:val="none"/>
              </w:rPr>
              <w:t>按照投标人的商务和技术得分由高到低排序，选择前3名通过详细评审；为保证招标工作的顺利开展，招标人在第二信封开标现场将不对投标人未通过第一信封详细评审的原因作任何的解释和说明，具体原因招标人将会按照《公路工程建设项目招标投标管理办法》第“第五十三条”的规定在相关网站上进行公示。</w:t>
            </w:r>
          </w:p>
          <w:p>
            <w:pPr>
              <w:keepNext w:val="0"/>
              <w:keepLines w:val="0"/>
              <w:pageBreakBefore w:val="0"/>
              <w:widowControl/>
              <w:kinsoku/>
              <w:wordWrap/>
              <w:overflowPunct/>
              <w:topLinePunct w:val="0"/>
              <w:autoSpaceDE/>
              <w:autoSpaceDN/>
              <w:bidi w:val="0"/>
              <w:adjustRightInd/>
              <w:spacing w:line="360" w:lineRule="exact"/>
              <w:ind w:left="0"/>
              <w:textAlignment w:val="auto"/>
              <w:rPr>
                <w:color w:val="auto"/>
                <w:kern w:val="0"/>
                <w:sz w:val="21"/>
                <w:szCs w:val="21"/>
                <w:highlight w:val="none"/>
              </w:rPr>
            </w:pPr>
            <w:r>
              <w:rPr>
                <w:color w:val="auto"/>
                <w:kern w:val="0"/>
                <w:sz w:val="21"/>
                <w:szCs w:val="21"/>
                <w:highlight w:val="none"/>
              </w:rPr>
              <w:t>注：若前3名范围内综合得分相同的投标人数量大于3时，以投标人信用评价等级高的优先；若信用评价等级也相同，以商务和技术得分较高的投标人优先；若商务和技术得分也相同，以施工组织设计方案评审分值高的优先；若施工组织设计方案评审分值也相同时，由评标委员会择优确定。</w:t>
            </w:r>
          </w:p>
        </w:tc>
      </w:tr>
    </w:tbl>
    <w:p>
      <w:pPr>
        <w:widowControl/>
        <w:spacing w:line="336" w:lineRule="auto"/>
        <w:jc w:val="right"/>
        <w:rPr>
          <w:b/>
          <w:bCs/>
          <w:color w:val="auto"/>
          <w:kern w:val="0"/>
          <w:sz w:val="22"/>
          <w:szCs w:val="21"/>
          <w:highlight w:val="none"/>
        </w:rPr>
      </w:pPr>
      <w:r>
        <w:rPr>
          <w:color w:val="auto"/>
          <w:kern w:val="0"/>
          <w:sz w:val="24"/>
          <w:szCs w:val="22"/>
          <w:highlight w:val="none"/>
        </w:rPr>
        <w:br w:type="page"/>
      </w:r>
      <w:r>
        <w:rPr>
          <w:b/>
          <w:bCs/>
          <w:color w:val="auto"/>
          <w:spacing w:val="4"/>
          <w:kern w:val="0"/>
          <w:sz w:val="22"/>
          <w:szCs w:val="20"/>
          <w:highlight w:val="none"/>
        </w:rPr>
        <w:t>续上表</w:t>
      </w:r>
    </w:p>
    <w:tbl>
      <w:tblPr>
        <w:tblStyle w:val="8"/>
        <w:tblW w:w="5000" w:type="pc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83"/>
        <w:gridCol w:w="721"/>
        <w:gridCol w:w="515"/>
        <w:gridCol w:w="798"/>
        <w:gridCol w:w="1304"/>
        <w:gridCol w:w="585"/>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2813" w:type="pct"/>
            <w:gridSpan w:val="6"/>
            <w:tcBorders>
              <w:top w:val="single" w:color="auto" w:sz="4" w:space="0"/>
            </w:tcBorders>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r>
              <w:rPr>
                <w:b/>
                <w:color w:val="auto"/>
                <w:kern w:val="0"/>
                <w:sz w:val="21"/>
                <w:szCs w:val="21"/>
                <w:highlight w:val="none"/>
              </w:rPr>
              <w:t>评分因素与权重分值</w:t>
            </w:r>
          </w:p>
        </w:tc>
        <w:tc>
          <w:tcPr>
            <w:tcW w:w="2186" w:type="pct"/>
            <w:vMerge w:val="restart"/>
            <w:tcBorders>
              <w:top w:val="single" w:color="auto" w:sz="4" w:space="0"/>
            </w:tcBorders>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r>
              <w:rPr>
                <w:b/>
                <w:color w:val="auto"/>
                <w:kern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468" w:type="pct"/>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r>
              <w:rPr>
                <w:b/>
                <w:color w:val="auto"/>
                <w:kern w:val="0"/>
                <w:sz w:val="21"/>
                <w:szCs w:val="21"/>
                <w:highlight w:val="none"/>
              </w:rPr>
              <w:t>条款号</w:t>
            </w:r>
          </w:p>
        </w:tc>
        <w:tc>
          <w:tcPr>
            <w:tcW w:w="739" w:type="pct"/>
            <w:gridSpan w:val="2"/>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r>
              <w:rPr>
                <w:b/>
                <w:color w:val="auto"/>
                <w:kern w:val="0"/>
                <w:sz w:val="21"/>
                <w:szCs w:val="21"/>
                <w:highlight w:val="none"/>
              </w:rPr>
              <w:t>评分因素</w:t>
            </w:r>
          </w:p>
        </w:tc>
        <w:tc>
          <w:tcPr>
            <w:tcW w:w="477" w:type="pct"/>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r>
              <w:rPr>
                <w:b/>
                <w:color w:val="auto"/>
                <w:kern w:val="0"/>
                <w:sz w:val="21"/>
                <w:szCs w:val="21"/>
                <w:highlight w:val="none"/>
              </w:rPr>
              <w:t>评分因素权重分值</w:t>
            </w:r>
          </w:p>
        </w:tc>
        <w:tc>
          <w:tcPr>
            <w:tcW w:w="780" w:type="pct"/>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r>
              <w:rPr>
                <w:b/>
                <w:color w:val="auto"/>
                <w:kern w:val="0"/>
                <w:sz w:val="21"/>
                <w:szCs w:val="21"/>
                <w:highlight w:val="none"/>
              </w:rPr>
              <w:t>各评分因素细分项</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r>
              <w:rPr>
                <w:b/>
                <w:color w:val="auto"/>
                <w:kern w:val="0"/>
                <w:sz w:val="21"/>
                <w:szCs w:val="21"/>
                <w:highlight w:val="none"/>
              </w:rPr>
              <w:t>分值</w:t>
            </w:r>
          </w:p>
        </w:tc>
        <w:tc>
          <w:tcPr>
            <w:tcW w:w="2186"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trPr>
        <w:tc>
          <w:tcPr>
            <w:tcW w:w="468" w:type="pct"/>
            <w:vMerge w:val="restar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2.2.2</w:t>
            </w:r>
          </w:p>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（1）</w:t>
            </w:r>
          </w:p>
        </w:tc>
        <w:tc>
          <w:tcPr>
            <w:tcW w:w="739" w:type="pct"/>
            <w:gridSpan w:val="2"/>
            <w:vMerge w:val="restar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施工组织设计</w:t>
            </w:r>
          </w:p>
        </w:tc>
        <w:tc>
          <w:tcPr>
            <w:tcW w:w="477" w:type="pct"/>
            <w:vMerge w:val="restar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u w:val="single"/>
              </w:rPr>
            </w:pPr>
            <w:r>
              <w:rPr>
                <w:rFonts w:hint="eastAsia"/>
                <w:color w:val="auto"/>
                <w:kern w:val="0"/>
                <w:sz w:val="21"/>
                <w:szCs w:val="21"/>
                <w:highlight w:val="none"/>
                <w:lang w:val="en-US" w:eastAsia="zh-CN"/>
              </w:rPr>
              <w:t>3</w:t>
            </w:r>
            <w:r>
              <w:rPr>
                <w:color w:val="auto"/>
                <w:kern w:val="0"/>
                <w:sz w:val="21"/>
                <w:szCs w:val="21"/>
                <w:highlight w:val="none"/>
              </w:rPr>
              <w:t>0分</w:t>
            </w:r>
          </w:p>
        </w:tc>
        <w:tc>
          <w:tcPr>
            <w:tcW w:w="780" w:type="pct"/>
            <w:noWrap w:val="0"/>
            <w:vAlign w:val="center"/>
          </w:tcPr>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rFonts w:hint="eastAsia"/>
                <w:color w:val="auto"/>
                <w:kern w:val="0"/>
                <w:sz w:val="21"/>
                <w:szCs w:val="21"/>
                <w:highlight w:val="none"/>
              </w:rPr>
              <w:t>总体施工组织布置及规划</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lang w:val="en-US" w:eastAsia="zh-CN"/>
              </w:rPr>
              <w:t>4</w:t>
            </w:r>
            <w:r>
              <w:rPr>
                <w:color w:val="auto"/>
                <w:kern w:val="0"/>
                <w:sz w:val="21"/>
                <w:szCs w:val="21"/>
                <w:highlight w:val="none"/>
              </w:rPr>
              <w:t>分</w:t>
            </w:r>
          </w:p>
        </w:tc>
        <w:tc>
          <w:tcPr>
            <w:tcW w:w="2186" w:type="pct"/>
            <w:vMerge w:val="restart"/>
            <w:noWrap w:val="0"/>
            <w:vAlign w:val="center"/>
          </w:tcPr>
          <w:p>
            <w:pPr>
              <w:keepNext w:val="0"/>
              <w:keepLines w:val="0"/>
              <w:pageBreakBefore w:val="0"/>
              <w:widowControl/>
              <w:kinsoku/>
              <w:wordWrap/>
              <w:overflowPunct/>
              <w:topLinePunct w:val="0"/>
              <w:bidi w:val="0"/>
              <w:spacing w:line="360" w:lineRule="exact"/>
              <w:textAlignment w:val="auto"/>
              <w:rPr>
                <w:color w:val="auto"/>
                <w:kern w:val="0"/>
                <w:sz w:val="21"/>
                <w:szCs w:val="21"/>
                <w:highlight w:val="none"/>
              </w:rPr>
            </w:pPr>
            <w:r>
              <w:rPr>
                <w:rFonts w:hint="eastAsia"/>
                <w:color w:val="auto"/>
                <w:kern w:val="0"/>
                <w:sz w:val="21"/>
                <w:szCs w:val="21"/>
                <w:highlight w:val="none"/>
              </w:rPr>
              <w:t>按4个等级评定：</w:t>
            </w:r>
          </w:p>
          <w:p>
            <w:pPr>
              <w:keepNext w:val="0"/>
              <w:keepLines w:val="0"/>
              <w:pageBreakBefore w:val="0"/>
              <w:widowControl/>
              <w:kinsoku/>
              <w:wordWrap/>
              <w:overflowPunct/>
              <w:topLinePunct w:val="0"/>
              <w:bidi w:val="0"/>
              <w:spacing w:line="360" w:lineRule="exact"/>
              <w:textAlignment w:val="auto"/>
              <w:rPr>
                <w:color w:val="auto"/>
                <w:kern w:val="0"/>
                <w:sz w:val="21"/>
                <w:szCs w:val="21"/>
                <w:highlight w:val="none"/>
              </w:rPr>
            </w:pPr>
            <w:r>
              <w:rPr>
                <w:rFonts w:hint="eastAsia"/>
                <w:color w:val="auto"/>
                <w:kern w:val="0"/>
                <w:sz w:val="21"/>
                <w:szCs w:val="21"/>
                <w:highlight w:val="none"/>
              </w:rPr>
              <w:t>“很好”计分值的90%~100%；</w:t>
            </w:r>
          </w:p>
          <w:p>
            <w:pPr>
              <w:keepNext w:val="0"/>
              <w:keepLines w:val="0"/>
              <w:pageBreakBefore w:val="0"/>
              <w:widowControl/>
              <w:kinsoku/>
              <w:wordWrap/>
              <w:overflowPunct/>
              <w:topLinePunct w:val="0"/>
              <w:bidi w:val="0"/>
              <w:spacing w:line="360" w:lineRule="exact"/>
              <w:textAlignment w:val="auto"/>
              <w:rPr>
                <w:color w:val="auto"/>
                <w:kern w:val="0"/>
                <w:sz w:val="21"/>
                <w:szCs w:val="21"/>
                <w:highlight w:val="none"/>
              </w:rPr>
            </w:pPr>
            <w:r>
              <w:rPr>
                <w:rFonts w:hint="eastAsia"/>
                <w:color w:val="auto"/>
                <w:kern w:val="0"/>
                <w:sz w:val="21"/>
                <w:szCs w:val="21"/>
                <w:highlight w:val="none"/>
              </w:rPr>
              <w:t>“较好”计80~90%；</w:t>
            </w:r>
          </w:p>
          <w:p>
            <w:pPr>
              <w:keepNext w:val="0"/>
              <w:keepLines w:val="0"/>
              <w:pageBreakBefore w:val="0"/>
              <w:widowControl/>
              <w:kinsoku/>
              <w:wordWrap/>
              <w:overflowPunct/>
              <w:topLinePunct w:val="0"/>
              <w:bidi w:val="0"/>
              <w:spacing w:line="360" w:lineRule="exact"/>
              <w:textAlignment w:val="auto"/>
              <w:rPr>
                <w:color w:val="auto"/>
                <w:kern w:val="0"/>
                <w:sz w:val="21"/>
                <w:szCs w:val="21"/>
                <w:highlight w:val="none"/>
              </w:rPr>
            </w:pPr>
            <w:r>
              <w:rPr>
                <w:rFonts w:hint="eastAsia"/>
                <w:color w:val="auto"/>
                <w:kern w:val="0"/>
                <w:sz w:val="21"/>
                <w:szCs w:val="21"/>
                <w:highlight w:val="none"/>
              </w:rPr>
              <w:t>“一般”计70%~80%；</w:t>
            </w:r>
          </w:p>
          <w:p>
            <w:pPr>
              <w:keepNext w:val="0"/>
              <w:keepLines w:val="0"/>
              <w:pageBreakBefore w:val="0"/>
              <w:widowControl/>
              <w:kinsoku/>
              <w:wordWrap/>
              <w:overflowPunct/>
              <w:topLinePunct w:val="0"/>
              <w:bidi w:val="0"/>
              <w:spacing w:line="360" w:lineRule="exact"/>
              <w:textAlignment w:val="auto"/>
              <w:rPr>
                <w:color w:val="auto"/>
                <w:kern w:val="0"/>
                <w:sz w:val="21"/>
                <w:szCs w:val="21"/>
                <w:highlight w:val="none"/>
              </w:rPr>
            </w:pPr>
            <w:r>
              <w:rPr>
                <w:rFonts w:hint="eastAsia"/>
                <w:color w:val="auto"/>
                <w:kern w:val="0"/>
                <w:sz w:val="21"/>
                <w:szCs w:val="21"/>
                <w:highlight w:val="none"/>
              </w:rPr>
              <w:t>“较差但可行”计60%~70%。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739" w:type="pct"/>
            <w:gridSpan w:val="2"/>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77"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u w:val="single"/>
              </w:rPr>
            </w:pPr>
          </w:p>
        </w:tc>
        <w:tc>
          <w:tcPr>
            <w:tcW w:w="780" w:type="pct"/>
            <w:noWrap w:val="0"/>
            <w:vAlign w:val="center"/>
          </w:tcPr>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rFonts w:hint="eastAsia"/>
                <w:color w:val="auto"/>
                <w:kern w:val="0"/>
                <w:sz w:val="21"/>
                <w:szCs w:val="21"/>
                <w:highlight w:val="none"/>
              </w:rPr>
              <w:t>主要工程项目的施工方案、方法与技术措施</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lang w:val="en-US" w:eastAsia="zh-CN"/>
              </w:rPr>
              <w:t>6</w:t>
            </w:r>
            <w:r>
              <w:rPr>
                <w:color w:val="auto"/>
                <w:kern w:val="0"/>
                <w:sz w:val="21"/>
                <w:szCs w:val="21"/>
                <w:highlight w:val="none"/>
              </w:rPr>
              <w:t>分</w:t>
            </w:r>
          </w:p>
        </w:tc>
        <w:tc>
          <w:tcPr>
            <w:tcW w:w="2186"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trPr>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739" w:type="pct"/>
            <w:gridSpan w:val="2"/>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77"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u w:val="single"/>
              </w:rPr>
            </w:pPr>
          </w:p>
        </w:tc>
        <w:tc>
          <w:tcPr>
            <w:tcW w:w="780" w:type="pct"/>
            <w:noWrap w:val="0"/>
            <w:vAlign w:val="center"/>
          </w:tcPr>
          <w:p>
            <w:pPr>
              <w:spacing w:line="360" w:lineRule="exact"/>
              <w:jc w:val="center"/>
              <w:rPr>
                <w:color w:val="auto"/>
                <w:kern w:val="0"/>
                <w:sz w:val="21"/>
                <w:szCs w:val="21"/>
                <w:highlight w:val="none"/>
              </w:rPr>
            </w:pPr>
            <w:r>
              <w:rPr>
                <w:rFonts w:ascii="Times New Roman" w:hAnsi="Times New Roman"/>
                <w:color w:val="auto"/>
                <w:sz w:val="21"/>
                <w:szCs w:val="21"/>
                <w:highlight w:val="none"/>
              </w:rPr>
              <w:t>工期保证体系及保证措施</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lang w:val="en-US" w:eastAsia="zh-CN"/>
              </w:rPr>
              <w:t>4</w:t>
            </w:r>
            <w:r>
              <w:rPr>
                <w:color w:val="auto"/>
                <w:kern w:val="0"/>
                <w:sz w:val="21"/>
                <w:szCs w:val="21"/>
                <w:highlight w:val="none"/>
              </w:rPr>
              <w:t>分</w:t>
            </w:r>
          </w:p>
        </w:tc>
        <w:tc>
          <w:tcPr>
            <w:tcW w:w="2186"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trPr>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739" w:type="pct"/>
            <w:gridSpan w:val="2"/>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77"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u w:val="single"/>
              </w:rPr>
            </w:pPr>
          </w:p>
        </w:tc>
        <w:tc>
          <w:tcPr>
            <w:tcW w:w="780" w:type="pct"/>
            <w:noWrap w:val="0"/>
            <w:vAlign w:val="center"/>
          </w:tcPr>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rFonts w:hint="eastAsia"/>
                <w:color w:val="auto"/>
                <w:kern w:val="0"/>
                <w:sz w:val="21"/>
                <w:szCs w:val="21"/>
                <w:highlight w:val="none"/>
              </w:rPr>
              <w:t>工程质量、安全、环保、水保管理体系及保证措施</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lang w:val="en-US" w:eastAsia="zh-CN"/>
              </w:rPr>
              <w:t>4</w:t>
            </w:r>
            <w:r>
              <w:rPr>
                <w:color w:val="auto"/>
                <w:kern w:val="0"/>
                <w:sz w:val="21"/>
                <w:szCs w:val="21"/>
                <w:highlight w:val="none"/>
              </w:rPr>
              <w:t>分</w:t>
            </w:r>
          </w:p>
        </w:tc>
        <w:tc>
          <w:tcPr>
            <w:tcW w:w="2186"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trPr>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739" w:type="pct"/>
            <w:gridSpan w:val="2"/>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77"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u w:val="single"/>
              </w:rPr>
            </w:pPr>
          </w:p>
        </w:tc>
        <w:tc>
          <w:tcPr>
            <w:tcW w:w="780" w:type="pct"/>
            <w:noWrap w:val="0"/>
            <w:vAlign w:val="center"/>
          </w:tcPr>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rFonts w:hint="eastAsia"/>
                <w:color w:val="auto"/>
                <w:kern w:val="0"/>
                <w:sz w:val="21"/>
                <w:szCs w:val="21"/>
                <w:highlight w:val="none"/>
              </w:rPr>
              <w:t>项目风险预测与防范，事故应急预案</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lang w:val="en-US" w:eastAsia="zh-CN"/>
              </w:rPr>
              <w:t>4</w:t>
            </w:r>
            <w:r>
              <w:rPr>
                <w:rFonts w:hint="eastAsia"/>
                <w:color w:val="auto"/>
                <w:kern w:val="0"/>
                <w:sz w:val="21"/>
                <w:szCs w:val="21"/>
                <w:highlight w:val="none"/>
              </w:rPr>
              <w:t>分</w:t>
            </w:r>
          </w:p>
        </w:tc>
        <w:tc>
          <w:tcPr>
            <w:tcW w:w="2186"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739" w:type="pct"/>
            <w:gridSpan w:val="2"/>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77"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780" w:type="pct"/>
            <w:noWrap w:val="0"/>
            <w:vAlign w:val="center"/>
          </w:tcPr>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rFonts w:hint="eastAsia"/>
                <w:color w:val="auto"/>
                <w:kern w:val="0"/>
                <w:sz w:val="21"/>
                <w:szCs w:val="21"/>
                <w:highlight w:val="none"/>
              </w:rPr>
              <w:t>支付保障措施（有关民工工资、劳务分包等的按期支付保证措施）</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u w:val="single"/>
                <w:lang w:val="en-US" w:eastAsia="zh-CN"/>
              </w:rPr>
              <w:t>4</w:t>
            </w:r>
            <w:r>
              <w:rPr>
                <w:color w:val="auto"/>
                <w:kern w:val="0"/>
                <w:sz w:val="21"/>
                <w:szCs w:val="21"/>
                <w:highlight w:val="none"/>
              </w:rPr>
              <w:t>分</w:t>
            </w:r>
          </w:p>
        </w:tc>
        <w:tc>
          <w:tcPr>
            <w:tcW w:w="2186"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739" w:type="pct"/>
            <w:gridSpan w:val="2"/>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77"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p>
        </w:tc>
        <w:tc>
          <w:tcPr>
            <w:tcW w:w="780" w:type="pct"/>
            <w:noWrap w:val="0"/>
            <w:vAlign w:val="center"/>
          </w:tcPr>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rFonts w:hint="eastAsia"/>
                <w:color w:val="auto"/>
                <w:kern w:val="0"/>
                <w:sz w:val="21"/>
                <w:szCs w:val="21"/>
                <w:highlight w:val="none"/>
              </w:rPr>
              <w:t>交通组织方案</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u w:val="single"/>
              </w:rPr>
            </w:pPr>
            <w:r>
              <w:rPr>
                <w:rFonts w:hint="eastAsia"/>
                <w:color w:val="auto"/>
                <w:kern w:val="0"/>
                <w:sz w:val="21"/>
                <w:szCs w:val="21"/>
                <w:highlight w:val="none"/>
                <w:u w:val="single"/>
                <w:lang w:val="en-US" w:eastAsia="zh-CN"/>
              </w:rPr>
              <w:t>2</w:t>
            </w:r>
            <w:r>
              <w:rPr>
                <w:color w:val="auto"/>
                <w:kern w:val="0"/>
                <w:sz w:val="21"/>
                <w:szCs w:val="21"/>
                <w:highlight w:val="none"/>
              </w:rPr>
              <w:t>分</w:t>
            </w:r>
          </w:p>
        </w:tc>
        <w:tc>
          <w:tcPr>
            <w:tcW w:w="2186"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739" w:type="pct"/>
            <w:gridSpan w:val="2"/>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77"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p>
        </w:tc>
        <w:tc>
          <w:tcPr>
            <w:tcW w:w="780" w:type="pct"/>
            <w:noWrap w:val="0"/>
            <w:vAlign w:val="center"/>
          </w:tcPr>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rFonts w:hint="eastAsia"/>
                <w:color w:val="auto"/>
                <w:kern w:val="0"/>
                <w:sz w:val="21"/>
                <w:szCs w:val="21"/>
                <w:highlight w:val="none"/>
              </w:rPr>
              <w:t>缺陷责任期配合措施</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u w:val="single"/>
              </w:rPr>
              <w:t>2</w:t>
            </w:r>
            <w:r>
              <w:rPr>
                <w:rFonts w:hint="eastAsia"/>
                <w:color w:val="auto"/>
                <w:kern w:val="0"/>
                <w:sz w:val="21"/>
                <w:szCs w:val="21"/>
                <w:highlight w:val="none"/>
              </w:rPr>
              <w:t>分</w:t>
            </w:r>
          </w:p>
        </w:tc>
        <w:tc>
          <w:tcPr>
            <w:tcW w:w="2186"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4" w:hRule="atLeast"/>
        </w:trPr>
        <w:tc>
          <w:tcPr>
            <w:tcW w:w="468" w:type="pct"/>
            <w:vMerge w:val="restar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2.2.2</w:t>
            </w:r>
          </w:p>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（2）</w:t>
            </w:r>
          </w:p>
        </w:tc>
        <w:tc>
          <w:tcPr>
            <w:tcW w:w="739" w:type="pct"/>
            <w:gridSpan w:val="2"/>
            <w:vMerge w:val="restar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主要人员</w:t>
            </w:r>
          </w:p>
        </w:tc>
        <w:tc>
          <w:tcPr>
            <w:tcW w:w="477" w:type="pct"/>
            <w:vMerge w:val="restar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lang w:val="en-US" w:eastAsia="zh-CN"/>
              </w:rPr>
              <w:t>2</w:t>
            </w:r>
            <w:r>
              <w:rPr>
                <w:color w:val="auto"/>
                <w:kern w:val="0"/>
                <w:sz w:val="21"/>
                <w:szCs w:val="21"/>
                <w:highlight w:val="none"/>
              </w:rPr>
              <w:t>5分</w:t>
            </w:r>
          </w:p>
        </w:tc>
        <w:tc>
          <w:tcPr>
            <w:tcW w:w="780" w:type="pct"/>
            <w:noWrap w:val="0"/>
            <w:vAlign w:val="center"/>
          </w:tcPr>
          <w:p>
            <w:pPr>
              <w:keepNext w:val="0"/>
              <w:keepLines w:val="0"/>
              <w:pageBreakBefore w:val="0"/>
              <w:widowControl/>
              <w:kinsoku/>
              <w:wordWrap/>
              <w:overflowPunct/>
              <w:topLinePunct w:val="0"/>
              <w:bidi w:val="0"/>
              <w:spacing w:line="360" w:lineRule="exact"/>
              <w:textAlignment w:val="auto"/>
              <w:rPr>
                <w:color w:val="auto"/>
                <w:kern w:val="0"/>
                <w:szCs w:val="21"/>
                <w:highlight w:val="none"/>
              </w:rPr>
            </w:pPr>
            <w:r>
              <w:rPr>
                <w:color w:val="auto"/>
                <w:kern w:val="0"/>
                <w:szCs w:val="21"/>
                <w:highlight w:val="none"/>
              </w:rPr>
              <w:t>项目经理任职资格与业绩</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Cs w:val="21"/>
                <w:highlight w:val="none"/>
              </w:rPr>
            </w:pPr>
            <w:r>
              <w:rPr>
                <w:rFonts w:hint="eastAsia"/>
                <w:color w:val="auto"/>
                <w:kern w:val="0"/>
                <w:szCs w:val="21"/>
                <w:highlight w:val="none"/>
                <w:lang w:val="en-US" w:eastAsia="zh-CN"/>
              </w:rPr>
              <w:t>15</w:t>
            </w:r>
            <w:r>
              <w:rPr>
                <w:color w:val="auto"/>
                <w:kern w:val="0"/>
                <w:szCs w:val="21"/>
                <w:highlight w:val="none"/>
              </w:rPr>
              <w:t>分</w:t>
            </w:r>
          </w:p>
        </w:tc>
        <w:tc>
          <w:tcPr>
            <w:tcW w:w="2186" w:type="pct"/>
            <w:noWrap w:val="0"/>
            <w:vAlign w:val="center"/>
          </w:tcPr>
          <w:p>
            <w:pPr>
              <w:keepNext w:val="0"/>
              <w:keepLines w:val="0"/>
              <w:pageBreakBefore w:val="0"/>
              <w:widowControl/>
              <w:kinsoku/>
              <w:wordWrap/>
              <w:overflowPunct/>
              <w:topLinePunct w:val="0"/>
              <w:bidi w:val="0"/>
              <w:spacing w:line="360" w:lineRule="exact"/>
              <w:textAlignment w:val="auto"/>
              <w:rPr>
                <w:color w:val="auto"/>
                <w:sz w:val="21"/>
                <w:szCs w:val="21"/>
                <w:highlight w:val="none"/>
              </w:rPr>
            </w:pPr>
            <w:r>
              <w:rPr>
                <w:rFonts w:hint="eastAsia"/>
                <w:color w:val="auto"/>
                <w:kern w:val="2"/>
                <w:szCs w:val="21"/>
                <w:highlight w:val="none"/>
                <w:lang w:eastAsia="zh-CN"/>
              </w:rPr>
              <w:t>近年</w:t>
            </w:r>
            <w:r>
              <w:rPr>
                <w:color w:val="auto"/>
                <w:kern w:val="2"/>
                <w:szCs w:val="21"/>
                <w:highlight w:val="none"/>
              </w:rPr>
              <w:t>每担任过1</w:t>
            </w:r>
            <w:r>
              <w:rPr>
                <w:rFonts w:hint="default"/>
                <w:color w:val="auto"/>
                <w:kern w:val="2"/>
                <w:szCs w:val="21"/>
                <w:highlight w:val="none"/>
              </w:rPr>
              <w:t>个</w:t>
            </w:r>
            <w:r>
              <w:rPr>
                <w:rFonts w:hint="eastAsia"/>
                <w:color w:val="auto"/>
                <w:kern w:val="2"/>
                <w:szCs w:val="21"/>
                <w:highlight w:val="none"/>
                <w:lang w:eastAsia="zh-CN"/>
              </w:rPr>
              <w:t>高速公路服务区、收费站新建或改造施工</w:t>
            </w:r>
            <w:r>
              <w:rPr>
                <w:rFonts w:hint="default"/>
                <w:color w:val="auto"/>
                <w:kern w:val="2"/>
                <w:szCs w:val="21"/>
                <w:highlight w:val="none"/>
              </w:rPr>
              <w:t>项目</w:t>
            </w:r>
            <w:r>
              <w:rPr>
                <w:color w:val="auto"/>
                <w:kern w:val="2"/>
                <w:szCs w:val="21"/>
                <w:highlight w:val="none"/>
              </w:rPr>
              <w:t>的项目经理得</w:t>
            </w:r>
            <w:r>
              <w:rPr>
                <w:rFonts w:hint="eastAsia"/>
                <w:color w:val="auto"/>
                <w:kern w:val="2"/>
                <w:szCs w:val="21"/>
                <w:highlight w:val="none"/>
                <w:lang w:val="en-US" w:eastAsia="zh-CN"/>
              </w:rPr>
              <w:t>9</w:t>
            </w:r>
            <w:r>
              <w:rPr>
                <w:color w:val="auto"/>
                <w:kern w:val="2"/>
                <w:szCs w:val="21"/>
                <w:highlight w:val="none"/>
              </w:rPr>
              <w:t>分，</w:t>
            </w:r>
            <w:r>
              <w:rPr>
                <w:rFonts w:hint="eastAsia"/>
                <w:color w:val="auto"/>
                <w:kern w:val="2"/>
                <w:szCs w:val="21"/>
                <w:highlight w:val="none"/>
                <w:lang w:eastAsia="zh-CN"/>
              </w:rPr>
              <w:t>在此基础上，每增加</w:t>
            </w:r>
            <w:r>
              <w:rPr>
                <w:rFonts w:hint="eastAsia"/>
                <w:color w:val="auto"/>
                <w:kern w:val="2"/>
                <w:szCs w:val="21"/>
                <w:highlight w:val="none"/>
                <w:lang w:val="en-US" w:eastAsia="zh-CN"/>
              </w:rPr>
              <w:t>1个类似业绩加3分，</w:t>
            </w:r>
            <w:r>
              <w:rPr>
                <w:color w:val="auto"/>
                <w:kern w:val="2"/>
                <w:szCs w:val="21"/>
                <w:highlight w:val="none"/>
              </w:rPr>
              <w:t>最多</w:t>
            </w:r>
            <w:r>
              <w:rPr>
                <w:rFonts w:hint="eastAsia"/>
                <w:color w:val="auto"/>
                <w:kern w:val="2"/>
                <w:szCs w:val="21"/>
                <w:highlight w:val="none"/>
                <w:lang w:eastAsia="zh-CN"/>
              </w:rPr>
              <w:t>得</w:t>
            </w:r>
            <w:r>
              <w:rPr>
                <w:rFonts w:hint="eastAsia"/>
                <w:color w:val="auto"/>
                <w:sz w:val="21"/>
                <w:szCs w:val="21"/>
                <w:highlight w:val="none"/>
                <w:lang w:val="en-US" w:eastAsia="zh-CN"/>
              </w:rPr>
              <w:t>15</w:t>
            </w:r>
            <w:r>
              <w:rPr>
                <w:color w:val="auto"/>
                <w:kern w:val="2"/>
                <w:szCs w:val="21"/>
                <w:highlight w:val="none"/>
              </w:rPr>
              <w:t>分。</w:t>
            </w:r>
          </w:p>
          <w:p>
            <w:pPr>
              <w:pStyle w:val="6"/>
              <w:keepNext w:val="0"/>
              <w:keepLines w:val="0"/>
              <w:pageBreakBefore w:val="0"/>
              <w:kinsoku/>
              <w:wordWrap/>
              <w:overflowPunct/>
              <w:topLinePunct w:val="0"/>
              <w:bidi w:val="0"/>
              <w:spacing w:line="360" w:lineRule="exact"/>
              <w:textAlignment w:val="auto"/>
              <w:rPr>
                <w:color w:val="auto"/>
                <w:kern w:val="2"/>
                <w:szCs w:val="21"/>
                <w:highlight w:val="none"/>
              </w:rPr>
            </w:pPr>
            <w:r>
              <w:rPr>
                <w:rFonts w:hint="eastAsia"/>
                <w:color w:val="auto"/>
                <w:kern w:val="2"/>
                <w:sz w:val="21"/>
                <w:szCs w:val="21"/>
                <w:highlight w:val="none"/>
                <w:lang w:val="en-US" w:eastAsia="zh-CN"/>
              </w:rPr>
              <w:t>注：须提供</w:t>
            </w:r>
            <w:r>
              <w:rPr>
                <w:rFonts w:hint="eastAsia"/>
                <w:color w:val="auto"/>
                <w:kern w:val="2"/>
                <w:sz w:val="21"/>
                <w:szCs w:val="21"/>
                <w:highlight w:val="none"/>
              </w:rPr>
              <w:t>项目经理参与该项目的</w:t>
            </w:r>
            <w:r>
              <w:rPr>
                <w:rFonts w:hint="eastAsia"/>
                <w:color w:val="auto"/>
                <w:kern w:val="2"/>
                <w:sz w:val="21"/>
                <w:szCs w:val="21"/>
                <w:highlight w:val="none"/>
                <w:lang w:val="en-US" w:eastAsia="zh-CN"/>
              </w:rPr>
              <w:t>网页查询截图</w:t>
            </w:r>
            <w:r>
              <w:rPr>
                <w:rFonts w:hint="eastAsia"/>
                <w:color w:val="auto"/>
                <w:kern w:val="2"/>
                <w:sz w:val="21"/>
                <w:szCs w:val="21"/>
                <w:highlight w:val="none"/>
              </w:rPr>
              <w:t>或</w:t>
            </w:r>
            <w:r>
              <w:rPr>
                <w:rFonts w:hint="eastAsia"/>
                <w:color w:val="auto"/>
                <w:kern w:val="2"/>
                <w:sz w:val="21"/>
                <w:szCs w:val="21"/>
                <w:highlight w:val="none"/>
                <w:lang w:val="en-US" w:eastAsia="zh-CN"/>
              </w:rPr>
              <w:t>其他</w:t>
            </w:r>
            <w:r>
              <w:rPr>
                <w:rFonts w:hint="eastAsia"/>
                <w:color w:val="auto"/>
                <w:kern w:val="2"/>
                <w:sz w:val="21"/>
                <w:szCs w:val="21"/>
                <w:highlight w:val="none"/>
              </w:rPr>
              <w:t>证明</w:t>
            </w:r>
            <w:r>
              <w:rPr>
                <w:rFonts w:hint="eastAsia"/>
                <w:color w:val="auto"/>
                <w:kern w:val="2"/>
                <w:sz w:val="21"/>
                <w:szCs w:val="21"/>
                <w:highlight w:val="none"/>
                <w:lang w:val="en-US" w:eastAsia="zh-CN"/>
              </w:rPr>
              <w:t>材料</w:t>
            </w:r>
            <w:r>
              <w:rPr>
                <w:rFonts w:hint="eastAsia"/>
                <w:color w:val="auto"/>
                <w:kern w:val="2"/>
                <w:sz w:val="21"/>
                <w:szCs w:val="21"/>
                <w:highlight w:val="none"/>
              </w:rPr>
              <w:t>。</w:t>
            </w:r>
            <w:r>
              <w:rPr>
                <w:rFonts w:hint="eastAsia"/>
                <w:color w:val="auto"/>
                <w:kern w:val="2"/>
                <w:sz w:val="21"/>
                <w:szCs w:val="21"/>
                <w:highlight w:val="none"/>
                <w:lang w:val="en-US" w:eastAsia="zh-CN" w:bidi="ar"/>
              </w:rPr>
              <w:t>具体要求见投标人须知前附表3.5.5。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739" w:type="pct"/>
            <w:gridSpan w:val="2"/>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77"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b/>
                <w:color w:val="auto"/>
                <w:kern w:val="0"/>
                <w:sz w:val="21"/>
                <w:szCs w:val="21"/>
                <w:highlight w:val="none"/>
              </w:rPr>
            </w:pPr>
          </w:p>
        </w:tc>
        <w:tc>
          <w:tcPr>
            <w:tcW w:w="780" w:type="pct"/>
            <w:noWrap w:val="0"/>
            <w:vAlign w:val="center"/>
          </w:tcPr>
          <w:p>
            <w:pPr>
              <w:keepNext w:val="0"/>
              <w:keepLines w:val="0"/>
              <w:pageBreakBefore w:val="0"/>
              <w:widowControl/>
              <w:kinsoku/>
              <w:wordWrap/>
              <w:overflowPunct/>
              <w:topLinePunct w:val="0"/>
              <w:bidi w:val="0"/>
              <w:spacing w:line="360" w:lineRule="exact"/>
              <w:textAlignment w:val="auto"/>
              <w:rPr>
                <w:color w:val="auto"/>
                <w:kern w:val="0"/>
                <w:szCs w:val="21"/>
                <w:highlight w:val="none"/>
              </w:rPr>
            </w:pPr>
            <w:r>
              <w:rPr>
                <w:color w:val="auto"/>
                <w:kern w:val="0"/>
                <w:szCs w:val="21"/>
                <w:highlight w:val="none"/>
              </w:rPr>
              <w:t>项目总工任职资格与业绩</w:t>
            </w:r>
          </w:p>
        </w:tc>
        <w:tc>
          <w:tcPr>
            <w:tcW w:w="349"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Cs w:val="21"/>
                <w:highlight w:val="none"/>
              </w:rPr>
            </w:pPr>
            <w:r>
              <w:rPr>
                <w:rFonts w:hint="eastAsia"/>
                <w:color w:val="auto"/>
                <w:kern w:val="0"/>
                <w:szCs w:val="21"/>
                <w:highlight w:val="none"/>
                <w:lang w:val="en-US" w:eastAsia="zh-CN"/>
              </w:rPr>
              <w:t>10</w:t>
            </w:r>
            <w:r>
              <w:rPr>
                <w:color w:val="auto"/>
                <w:kern w:val="0"/>
                <w:szCs w:val="21"/>
                <w:highlight w:val="none"/>
              </w:rPr>
              <w:t>分</w:t>
            </w:r>
          </w:p>
        </w:tc>
        <w:tc>
          <w:tcPr>
            <w:tcW w:w="2186" w:type="pct"/>
            <w:noWrap w:val="0"/>
            <w:vAlign w:val="center"/>
          </w:tcPr>
          <w:p>
            <w:pPr>
              <w:keepNext w:val="0"/>
              <w:keepLines w:val="0"/>
              <w:pageBreakBefore w:val="0"/>
              <w:widowControl/>
              <w:kinsoku/>
              <w:wordWrap/>
              <w:overflowPunct/>
              <w:topLinePunct w:val="0"/>
              <w:bidi w:val="0"/>
              <w:spacing w:line="360" w:lineRule="exact"/>
              <w:textAlignment w:val="auto"/>
              <w:rPr>
                <w:color w:val="auto"/>
                <w:sz w:val="21"/>
                <w:szCs w:val="21"/>
                <w:highlight w:val="none"/>
              </w:rPr>
            </w:pPr>
            <w:r>
              <w:rPr>
                <w:rFonts w:hint="eastAsia"/>
                <w:color w:val="auto"/>
                <w:kern w:val="2"/>
                <w:szCs w:val="21"/>
                <w:highlight w:val="none"/>
                <w:lang w:eastAsia="zh-CN"/>
              </w:rPr>
              <w:t>近年</w:t>
            </w:r>
            <w:r>
              <w:rPr>
                <w:color w:val="auto"/>
                <w:kern w:val="2"/>
                <w:szCs w:val="21"/>
                <w:highlight w:val="none"/>
              </w:rPr>
              <w:t>每担任过1</w:t>
            </w:r>
            <w:r>
              <w:rPr>
                <w:rFonts w:hint="default"/>
                <w:color w:val="auto"/>
                <w:kern w:val="2"/>
                <w:szCs w:val="21"/>
                <w:highlight w:val="none"/>
              </w:rPr>
              <w:t>个</w:t>
            </w:r>
            <w:r>
              <w:rPr>
                <w:rFonts w:hint="eastAsia"/>
                <w:color w:val="auto"/>
                <w:kern w:val="2"/>
                <w:szCs w:val="21"/>
                <w:highlight w:val="none"/>
                <w:lang w:eastAsia="zh-CN"/>
              </w:rPr>
              <w:t>高速公路服务区、收费站新建或改造施工</w:t>
            </w:r>
            <w:r>
              <w:rPr>
                <w:rFonts w:hint="default"/>
                <w:color w:val="auto"/>
                <w:kern w:val="2"/>
                <w:szCs w:val="21"/>
                <w:highlight w:val="none"/>
              </w:rPr>
              <w:t>项目</w:t>
            </w:r>
            <w:r>
              <w:rPr>
                <w:color w:val="auto"/>
                <w:kern w:val="2"/>
                <w:szCs w:val="21"/>
                <w:highlight w:val="none"/>
              </w:rPr>
              <w:t>的项目总工得</w:t>
            </w:r>
            <w:r>
              <w:rPr>
                <w:rFonts w:hint="eastAsia"/>
                <w:color w:val="auto"/>
                <w:sz w:val="21"/>
                <w:szCs w:val="21"/>
                <w:highlight w:val="none"/>
                <w:lang w:val="en-US" w:eastAsia="zh-CN"/>
              </w:rPr>
              <w:t>6</w:t>
            </w:r>
            <w:r>
              <w:rPr>
                <w:color w:val="auto"/>
                <w:kern w:val="2"/>
                <w:szCs w:val="21"/>
                <w:highlight w:val="none"/>
              </w:rPr>
              <w:t>分，</w:t>
            </w:r>
            <w:r>
              <w:rPr>
                <w:rFonts w:hint="eastAsia"/>
                <w:color w:val="auto"/>
                <w:kern w:val="2"/>
                <w:szCs w:val="21"/>
                <w:highlight w:val="none"/>
                <w:lang w:eastAsia="zh-CN"/>
              </w:rPr>
              <w:t>在此基础上，每增加</w:t>
            </w:r>
            <w:r>
              <w:rPr>
                <w:rFonts w:hint="eastAsia"/>
                <w:color w:val="auto"/>
                <w:kern w:val="2"/>
                <w:szCs w:val="21"/>
                <w:highlight w:val="none"/>
                <w:lang w:val="en-US" w:eastAsia="zh-CN"/>
              </w:rPr>
              <w:t>1个类似业绩加2分，</w:t>
            </w:r>
            <w:r>
              <w:rPr>
                <w:color w:val="auto"/>
                <w:kern w:val="2"/>
                <w:szCs w:val="21"/>
                <w:highlight w:val="none"/>
              </w:rPr>
              <w:t>最多</w:t>
            </w:r>
            <w:r>
              <w:rPr>
                <w:rFonts w:hint="eastAsia"/>
                <w:color w:val="auto"/>
                <w:kern w:val="2"/>
                <w:szCs w:val="21"/>
                <w:highlight w:val="none"/>
                <w:lang w:eastAsia="zh-CN"/>
              </w:rPr>
              <w:t>得</w:t>
            </w:r>
            <w:r>
              <w:rPr>
                <w:rFonts w:hint="eastAsia"/>
                <w:color w:val="auto"/>
                <w:kern w:val="2"/>
                <w:szCs w:val="21"/>
                <w:highlight w:val="none"/>
                <w:lang w:val="en-US" w:eastAsia="zh-CN"/>
              </w:rPr>
              <w:t>10</w:t>
            </w:r>
            <w:r>
              <w:rPr>
                <w:color w:val="auto"/>
                <w:kern w:val="2"/>
                <w:szCs w:val="21"/>
                <w:highlight w:val="none"/>
              </w:rPr>
              <w:t>分。</w:t>
            </w:r>
          </w:p>
          <w:p>
            <w:pPr>
              <w:pStyle w:val="6"/>
              <w:keepNext w:val="0"/>
              <w:keepLines w:val="0"/>
              <w:pageBreakBefore w:val="0"/>
              <w:kinsoku/>
              <w:wordWrap/>
              <w:overflowPunct/>
              <w:topLinePunct w:val="0"/>
              <w:bidi w:val="0"/>
              <w:spacing w:line="360" w:lineRule="exact"/>
              <w:textAlignment w:val="auto"/>
              <w:rPr>
                <w:color w:val="auto"/>
                <w:kern w:val="2"/>
                <w:szCs w:val="21"/>
                <w:highlight w:val="none"/>
              </w:rPr>
            </w:pPr>
            <w:r>
              <w:rPr>
                <w:rFonts w:hint="eastAsia"/>
                <w:color w:val="auto"/>
                <w:kern w:val="2"/>
                <w:sz w:val="21"/>
                <w:szCs w:val="21"/>
                <w:highlight w:val="none"/>
                <w:lang w:val="en-US" w:eastAsia="zh-CN"/>
              </w:rPr>
              <w:t>注：须提供</w:t>
            </w:r>
            <w:r>
              <w:rPr>
                <w:rFonts w:hint="eastAsia"/>
                <w:color w:val="auto"/>
                <w:kern w:val="2"/>
                <w:sz w:val="21"/>
                <w:szCs w:val="21"/>
                <w:highlight w:val="none"/>
              </w:rPr>
              <w:t>项目</w:t>
            </w:r>
            <w:r>
              <w:rPr>
                <w:rFonts w:hint="eastAsia"/>
                <w:color w:val="auto"/>
                <w:kern w:val="2"/>
                <w:sz w:val="21"/>
                <w:szCs w:val="21"/>
                <w:highlight w:val="none"/>
                <w:lang w:val="en-US" w:eastAsia="zh-CN"/>
              </w:rPr>
              <w:t>总工</w:t>
            </w:r>
            <w:r>
              <w:rPr>
                <w:rFonts w:hint="eastAsia"/>
                <w:color w:val="auto"/>
                <w:kern w:val="2"/>
                <w:sz w:val="21"/>
                <w:szCs w:val="21"/>
                <w:highlight w:val="none"/>
              </w:rPr>
              <w:t>参与该项目的</w:t>
            </w:r>
            <w:r>
              <w:rPr>
                <w:rFonts w:hint="eastAsia"/>
                <w:color w:val="auto"/>
                <w:kern w:val="2"/>
                <w:sz w:val="21"/>
                <w:szCs w:val="21"/>
                <w:highlight w:val="none"/>
                <w:lang w:val="en-US" w:eastAsia="zh-CN"/>
              </w:rPr>
              <w:t>网页查询截图</w:t>
            </w:r>
            <w:r>
              <w:rPr>
                <w:rFonts w:hint="eastAsia"/>
                <w:color w:val="auto"/>
                <w:kern w:val="2"/>
                <w:sz w:val="21"/>
                <w:szCs w:val="21"/>
                <w:highlight w:val="none"/>
              </w:rPr>
              <w:t>或</w:t>
            </w:r>
            <w:r>
              <w:rPr>
                <w:rFonts w:hint="eastAsia"/>
                <w:color w:val="auto"/>
                <w:kern w:val="2"/>
                <w:sz w:val="21"/>
                <w:szCs w:val="21"/>
                <w:highlight w:val="none"/>
                <w:lang w:val="en-US" w:eastAsia="zh-CN"/>
              </w:rPr>
              <w:t>其他</w:t>
            </w:r>
            <w:r>
              <w:rPr>
                <w:rFonts w:hint="eastAsia"/>
                <w:color w:val="auto"/>
                <w:kern w:val="2"/>
                <w:sz w:val="21"/>
                <w:szCs w:val="21"/>
                <w:highlight w:val="none"/>
              </w:rPr>
              <w:t>证明</w:t>
            </w:r>
            <w:r>
              <w:rPr>
                <w:rFonts w:hint="eastAsia"/>
                <w:color w:val="auto"/>
                <w:kern w:val="2"/>
                <w:sz w:val="21"/>
                <w:szCs w:val="21"/>
                <w:highlight w:val="none"/>
                <w:lang w:val="en-US" w:eastAsia="zh-CN"/>
              </w:rPr>
              <w:t>材料</w:t>
            </w:r>
            <w:r>
              <w:rPr>
                <w:rFonts w:hint="eastAsia"/>
                <w:color w:val="auto"/>
                <w:kern w:val="2"/>
                <w:sz w:val="21"/>
                <w:szCs w:val="21"/>
                <w:highlight w:val="none"/>
              </w:rPr>
              <w:t>。</w:t>
            </w:r>
            <w:r>
              <w:rPr>
                <w:rFonts w:hint="eastAsia"/>
                <w:color w:val="auto"/>
                <w:kern w:val="2"/>
                <w:sz w:val="21"/>
                <w:szCs w:val="21"/>
                <w:highlight w:val="none"/>
                <w:lang w:val="en-US" w:eastAsia="zh-CN" w:bidi="ar"/>
              </w:rPr>
              <w:t>具体要求见投标人须知前附表3.5.5。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68" w:type="pct"/>
            <w:vMerge w:val="restart"/>
            <w:noWrap w:val="0"/>
            <w:vAlign w:val="center"/>
          </w:tcPr>
          <w:p>
            <w:pPr>
              <w:keepNext w:val="0"/>
              <w:keepLines w:val="0"/>
              <w:pageBreakBefore w:val="0"/>
              <w:widowControl/>
              <w:kinsoku/>
              <w:wordWrap/>
              <w:overflowPunct/>
              <w:topLinePunct w:val="0"/>
              <w:bidi w:val="0"/>
              <w:spacing w:line="360" w:lineRule="exact"/>
              <w:jc w:val="center"/>
              <w:textAlignment w:val="auto"/>
              <w:rPr>
                <w:rFonts w:hint="eastAsia" w:eastAsia="宋体"/>
                <w:color w:val="auto"/>
                <w:kern w:val="0"/>
                <w:sz w:val="21"/>
                <w:szCs w:val="21"/>
                <w:highlight w:val="none"/>
                <w:lang w:eastAsia="zh-CN"/>
              </w:rPr>
            </w:pPr>
            <w:r>
              <w:rPr>
                <w:color w:val="auto"/>
                <w:kern w:val="0"/>
                <w:sz w:val="21"/>
                <w:szCs w:val="21"/>
                <w:highlight w:val="none"/>
              </w:rPr>
              <w:t>2.2.4</w:t>
            </w:r>
          </w:p>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w:t>
            </w:r>
            <w:r>
              <w:rPr>
                <w:rFonts w:hint="eastAsia"/>
                <w:color w:val="auto"/>
                <w:kern w:val="0"/>
                <w:sz w:val="21"/>
                <w:szCs w:val="21"/>
                <w:highlight w:val="none"/>
                <w:lang w:val="en-US" w:eastAsia="zh-CN"/>
              </w:rPr>
              <w:t>3</w:t>
            </w:r>
            <w:r>
              <w:rPr>
                <w:color w:val="auto"/>
                <w:kern w:val="0"/>
                <w:sz w:val="21"/>
                <w:szCs w:val="21"/>
                <w:highlight w:val="none"/>
              </w:rPr>
              <w:t>）</w:t>
            </w:r>
          </w:p>
        </w:tc>
        <w:tc>
          <w:tcPr>
            <w:tcW w:w="431" w:type="pct"/>
            <w:vMerge w:val="restar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其他因素</w:t>
            </w:r>
          </w:p>
        </w:tc>
        <w:tc>
          <w:tcPr>
            <w:tcW w:w="307" w:type="pct"/>
            <w:vMerge w:val="restar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履约</w:t>
            </w:r>
          </w:p>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color w:val="auto"/>
                <w:kern w:val="0"/>
                <w:sz w:val="21"/>
                <w:szCs w:val="21"/>
                <w:highlight w:val="none"/>
              </w:rPr>
              <w:t>信誉</w:t>
            </w:r>
          </w:p>
        </w:tc>
        <w:tc>
          <w:tcPr>
            <w:tcW w:w="477"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u w:val="none"/>
                <w:lang w:eastAsia="zh-CN"/>
              </w:rPr>
              <w:t>业绩（</w:t>
            </w:r>
            <w:r>
              <w:rPr>
                <w:rFonts w:hint="eastAsia"/>
                <w:color w:val="auto"/>
                <w:kern w:val="0"/>
                <w:sz w:val="21"/>
                <w:szCs w:val="21"/>
                <w:highlight w:val="none"/>
                <w:u w:val="none"/>
              </w:rPr>
              <w:t>2</w:t>
            </w:r>
            <w:r>
              <w:rPr>
                <w:rFonts w:hint="eastAsia"/>
                <w:color w:val="auto"/>
                <w:kern w:val="0"/>
                <w:sz w:val="21"/>
                <w:szCs w:val="21"/>
                <w:highlight w:val="none"/>
                <w:u w:val="none"/>
                <w:lang w:val="en-US" w:eastAsia="zh-CN"/>
              </w:rPr>
              <w:t>0</w:t>
            </w:r>
            <w:r>
              <w:rPr>
                <w:color w:val="auto"/>
                <w:kern w:val="0"/>
                <w:sz w:val="21"/>
                <w:szCs w:val="21"/>
                <w:highlight w:val="none"/>
                <w:u w:val="none"/>
              </w:rPr>
              <w:t>分</w:t>
            </w:r>
            <w:r>
              <w:rPr>
                <w:rFonts w:hint="eastAsia"/>
                <w:color w:val="auto"/>
                <w:kern w:val="0"/>
                <w:sz w:val="21"/>
                <w:szCs w:val="21"/>
                <w:highlight w:val="none"/>
                <w:u w:val="none"/>
                <w:lang w:eastAsia="zh-CN"/>
              </w:rPr>
              <w:t>）</w:t>
            </w:r>
          </w:p>
        </w:tc>
        <w:tc>
          <w:tcPr>
            <w:tcW w:w="3315" w:type="pct"/>
            <w:gridSpan w:val="3"/>
            <w:noWrap w:val="0"/>
            <w:vAlign w:val="center"/>
          </w:tcPr>
          <w:p>
            <w:pPr>
              <w:keepNext w:val="0"/>
              <w:keepLines w:val="0"/>
              <w:pageBreakBefore w:val="0"/>
              <w:widowControl/>
              <w:kinsoku/>
              <w:wordWrap/>
              <w:overflowPunct/>
              <w:topLinePunct w:val="0"/>
              <w:bidi w:val="0"/>
              <w:spacing w:line="360" w:lineRule="exact"/>
              <w:textAlignment w:val="auto"/>
              <w:rPr>
                <w:color w:val="auto"/>
                <w:kern w:val="0"/>
                <w:sz w:val="21"/>
                <w:szCs w:val="21"/>
                <w:highlight w:val="none"/>
              </w:rPr>
            </w:pPr>
            <w:r>
              <w:rPr>
                <w:color w:val="auto"/>
                <w:kern w:val="0"/>
                <w:sz w:val="21"/>
                <w:szCs w:val="21"/>
                <w:highlight w:val="none"/>
              </w:rPr>
              <w:t>近年每独立完成1个</w:t>
            </w:r>
            <w:r>
              <w:rPr>
                <w:rFonts w:hint="eastAsia"/>
                <w:color w:val="auto"/>
                <w:kern w:val="2"/>
                <w:szCs w:val="21"/>
                <w:highlight w:val="none"/>
                <w:lang w:eastAsia="zh-CN"/>
              </w:rPr>
              <w:t>高速公路服务区、收费站新建或改造施工</w:t>
            </w:r>
            <w:r>
              <w:rPr>
                <w:rFonts w:hint="eastAsia"/>
                <w:color w:val="auto"/>
                <w:kern w:val="0"/>
                <w:sz w:val="21"/>
                <w:szCs w:val="21"/>
                <w:highlight w:val="none"/>
              </w:rPr>
              <w:t>项目</w:t>
            </w:r>
            <w:r>
              <w:rPr>
                <w:rFonts w:hint="eastAsia"/>
                <w:color w:val="auto"/>
                <w:kern w:val="0"/>
                <w:sz w:val="21"/>
                <w:szCs w:val="21"/>
                <w:highlight w:val="none"/>
                <w:lang w:eastAsia="zh-CN"/>
              </w:rPr>
              <w:t>的得</w:t>
            </w:r>
            <w:r>
              <w:rPr>
                <w:rFonts w:hint="eastAsia"/>
                <w:color w:val="auto"/>
                <w:kern w:val="0"/>
                <w:sz w:val="21"/>
                <w:szCs w:val="21"/>
                <w:highlight w:val="none"/>
                <w:lang w:val="en-US" w:eastAsia="zh-CN"/>
              </w:rPr>
              <w:t>12</w:t>
            </w:r>
            <w:r>
              <w:rPr>
                <w:color w:val="auto"/>
                <w:kern w:val="0"/>
                <w:sz w:val="21"/>
                <w:szCs w:val="21"/>
                <w:highlight w:val="none"/>
              </w:rPr>
              <w:t>分，</w:t>
            </w:r>
            <w:r>
              <w:rPr>
                <w:rFonts w:hint="eastAsia"/>
                <w:color w:val="auto"/>
                <w:kern w:val="2"/>
                <w:szCs w:val="21"/>
                <w:highlight w:val="none"/>
                <w:lang w:eastAsia="zh-CN"/>
              </w:rPr>
              <w:t>在此基础上，每增加</w:t>
            </w:r>
            <w:r>
              <w:rPr>
                <w:rFonts w:hint="eastAsia"/>
                <w:color w:val="auto"/>
                <w:kern w:val="2"/>
                <w:szCs w:val="21"/>
                <w:highlight w:val="none"/>
                <w:lang w:val="en-US" w:eastAsia="zh-CN"/>
              </w:rPr>
              <w:t>1个类似业绩加4分，</w:t>
            </w:r>
            <w:r>
              <w:rPr>
                <w:color w:val="auto"/>
                <w:kern w:val="0"/>
                <w:sz w:val="21"/>
                <w:szCs w:val="21"/>
                <w:highlight w:val="none"/>
              </w:rPr>
              <w:t>最多</w:t>
            </w:r>
            <w:r>
              <w:rPr>
                <w:rFonts w:hint="eastAsia"/>
                <w:color w:val="auto"/>
                <w:kern w:val="0"/>
                <w:sz w:val="21"/>
                <w:szCs w:val="21"/>
                <w:highlight w:val="none"/>
                <w:lang w:eastAsia="zh-CN"/>
              </w:rPr>
              <w:t>得</w:t>
            </w:r>
            <w:r>
              <w:rPr>
                <w:rFonts w:hint="eastAsia"/>
                <w:color w:val="auto"/>
                <w:kern w:val="0"/>
                <w:sz w:val="21"/>
                <w:szCs w:val="21"/>
                <w:highlight w:val="none"/>
              </w:rPr>
              <w:t>2</w:t>
            </w:r>
            <w:r>
              <w:rPr>
                <w:rFonts w:hint="eastAsia"/>
                <w:color w:val="auto"/>
                <w:kern w:val="0"/>
                <w:sz w:val="21"/>
                <w:szCs w:val="21"/>
                <w:highlight w:val="none"/>
                <w:lang w:val="en-US" w:eastAsia="zh-CN"/>
              </w:rPr>
              <w:t>0</w:t>
            </w:r>
            <w:r>
              <w:rPr>
                <w:color w:val="auto"/>
                <w:kern w:val="0"/>
                <w:sz w:val="21"/>
                <w:szCs w:val="21"/>
                <w:highlight w:val="none"/>
              </w:rPr>
              <w:t>分。</w:t>
            </w:r>
          </w:p>
          <w:p>
            <w:pPr>
              <w:pStyle w:val="6"/>
              <w:keepNext w:val="0"/>
              <w:keepLines w:val="0"/>
              <w:pageBreakBefore w:val="0"/>
              <w:kinsoku/>
              <w:wordWrap/>
              <w:overflowPunct/>
              <w:topLinePunct w:val="0"/>
              <w:bidi w:val="0"/>
              <w:spacing w:line="360" w:lineRule="exact"/>
              <w:textAlignment w:val="auto"/>
              <w:rPr>
                <w:color w:val="auto"/>
                <w:sz w:val="21"/>
                <w:szCs w:val="21"/>
                <w:highlight w:val="none"/>
              </w:rPr>
            </w:pPr>
            <w:r>
              <w:rPr>
                <w:rFonts w:hint="eastAsia"/>
                <w:color w:val="auto"/>
                <w:sz w:val="21"/>
                <w:szCs w:val="21"/>
                <w:highlight w:val="none"/>
                <w:lang w:val="en-US" w:eastAsia="zh-CN"/>
              </w:rPr>
              <w:t>须</w:t>
            </w:r>
            <w:r>
              <w:rPr>
                <w:rFonts w:hint="eastAsia"/>
                <w:color w:val="auto"/>
                <w:sz w:val="21"/>
                <w:szCs w:val="21"/>
                <w:highlight w:val="none"/>
              </w:rPr>
              <w:t>提供</w:t>
            </w:r>
            <w:r>
              <w:rPr>
                <w:rFonts w:hint="eastAsia"/>
                <w:color w:val="auto"/>
                <w:kern w:val="2"/>
                <w:sz w:val="21"/>
                <w:szCs w:val="21"/>
                <w:highlight w:val="none"/>
                <w:lang w:val="en-US" w:eastAsia="zh-CN"/>
              </w:rPr>
              <w:t>网页查询截图</w:t>
            </w:r>
            <w:r>
              <w:rPr>
                <w:rFonts w:hint="eastAsia"/>
                <w:color w:val="auto"/>
                <w:kern w:val="2"/>
                <w:sz w:val="21"/>
                <w:szCs w:val="21"/>
                <w:highlight w:val="none"/>
              </w:rPr>
              <w:t>或</w:t>
            </w:r>
            <w:r>
              <w:rPr>
                <w:rFonts w:hint="eastAsia"/>
                <w:color w:val="auto"/>
                <w:kern w:val="2"/>
                <w:sz w:val="21"/>
                <w:szCs w:val="21"/>
                <w:highlight w:val="none"/>
                <w:lang w:val="en-US" w:eastAsia="zh-CN"/>
              </w:rPr>
              <w:t>其他</w:t>
            </w:r>
            <w:r>
              <w:rPr>
                <w:rFonts w:hint="eastAsia"/>
                <w:color w:val="auto"/>
                <w:kern w:val="2"/>
                <w:sz w:val="21"/>
                <w:szCs w:val="21"/>
                <w:highlight w:val="none"/>
              </w:rPr>
              <w:t>证明</w:t>
            </w:r>
            <w:r>
              <w:rPr>
                <w:rFonts w:hint="eastAsia"/>
                <w:color w:val="auto"/>
                <w:kern w:val="2"/>
                <w:sz w:val="21"/>
                <w:szCs w:val="21"/>
                <w:highlight w:val="none"/>
                <w:lang w:val="en-US" w:eastAsia="zh-CN"/>
              </w:rPr>
              <w:t>材料</w:t>
            </w:r>
            <w:r>
              <w:rPr>
                <w:rFonts w:hint="eastAsia"/>
                <w:color w:val="auto"/>
                <w:sz w:val="21"/>
                <w:szCs w:val="21"/>
                <w:highlight w:val="none"/>
              </w:rPr>
              <w:t>。</w:t>
            </w:r>
            <w:r>
              <w:rPr>
                <w:rFonts w:hint="eastAsia"/>
                <w:color w:val="auto"/>
                <w:sz w:val="21"/>
                <w:szCs w:val="21"/>
                <w:highlight w:val="none"/>
                <w:lang w:val="en-US" w:eastAsia="zh-CN"/>
              </w:rPr>
              <w:t>具体要求见投标人须知前附表3.5.3。</w:t>
            </w:r>
          </w:p>
          <w:p>
            <w:pPr>
              <w:keepNext w:val="0"/>
              <w:keepLines w:val="0"/>
              <w:pageBreakBefore w:val="0"/>
              <w:widowControl/>
              <w:kinsoku/>
              <w:wordWrap/>
              <w:overflowPunct/>
              <w:topLinePunct w:val="0"/>
              <w:bidi w:val="0"/>
              <w:spacing w:line="360" w:lineRule="exact"/>
              <w:textAlignment w:val="auto"/>
              <w:rPr>
                <w:rFonts w:hint="eastAsia" w:eastAsia="宋体"/>
                <w:color w:val="auto"/>
                <w:kern w:val="0"/>
                <w:sz w:val="21"/>
                <w:szCs w:val="21"/>
                <w:highlight w:val="none"/>
                <w:lang w:eastAsia="zh-CN"/>
              </w:rPr>
            </w:pPr>
            <w:r>
              <w:rPr>
                <w:color w:val="auto"/>
                <w:kern w:val="0"/>
                <w:sz w:val="21"/>
                <w:szCs w:val="21"/>
                <w:highlight w:val="none"/>
              </w:rPr>
              <w:t>注</w:t>
            </w:r>
            <w:r>
              <w:rPr>
                <w:rFonts w:hint="eastAsia"/>
                <w:color w:val="auto"/>
                <w:kern w:val="0"/>
                <w:sz w:val="21"/>
                <w:szCs w:val="21"/>
                <w:highlight w:val="none"/>
              </w:rPr>
              <w:t>：</w:t>
            </w:r>
            <w:r>
              <w:rPr>
                <w:color w:val="auto"/>
                <w:kern w:val="0"/>
                <w:sz w:val="21"/>
                <w:szCs w:val="21"/>
                <w:highlight w:val="none"/>
              </w:rPr>
              <w:t>中标后将由招标人对中标单位的业绩合同原件进行核验，如查证投标人提供虚假证明的，招标人有权取消其中标资格，并上报行政主管部门纳入信用管理系统</w:t>
            </w:r>
            <w:r>
              <w:rPr>
                <w:rFonts w:hint="eastAsia"/>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rPr>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31"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307"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477"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lang w:eastAsia="zh-CN"/>
              </w:rPr>
              <w:t>信用评价（</w:t>
            </w:r>
            <w:r>
              <w:rPr>
                <w:color w:val="auto"/>
                <w:kern w:val="0"/>
                <w:sz w:val="21"/>
                <w:szCs w:val="21"/>
                <w:highlight w:val="none"/>
              </w:rPr>
              <w:t>3分</w:t>
            </w:r>
            <w:r>
              <w:rPr>
                <w:rFonts w:hint="eastAsia"/>
                <w:color w:val="auto"/>
                <w:kern w:val="0"/>
                <w:sz w:val="21"/>
                <w:szCs w:val="21"/>
                <w:highlight w:val="none"/>
                <w:lang w:eastAsia="zh-CN"/>
              </w:rPr>
              <w:t>）</w:t>
            </w:r>
          </w:p>
        </w:tc>
        <w:tc>
          <w:tcPr>
            <w:tcW w:w="3315" w:type="pct"/>
            <w:gridSpan w:val="3"/>
            <w:noWrap w:val="0"/>
            <w:vAlign w:val="center"/>
          </w:tcPr>
          <w:p>
            <w:pPr>
              <w:keepNext w:val="0"/>
              <w:keepLines w:val="0"/>
              <w:pageBreakBefore w:val="0"/>
              <w:widowControl/>
              <w:tabs>
                <w:tab w:val="left" w:pos="406"/>
              </w:tabs>
              <w:kinsoku/>
              <w:wordWrap/>
              <w:overflowPunct/>
              <w:topLinePunct w:val="0"/>
              <w:bidi w:val="0"/>
              <w:spacing w:line="360" w:lineRule="exact"/>
              <w:jc w:val="left"/>
              <w:textAlignment w:val="auto"/>
              <w:rPr>
                <w:color w:val="auto"/>
                <w:kern w:val="0"/>
                <w:sz w:val="21"/>
                <w:szCs w:val="21"/>
                <w:highlight w:val="none"/>
              </w:rPr>
            </w:pPr>
            <w:r>
              <w:rPr>
                <w:color w:val="auto"/>
                <w:kern w:val="0"/>
                <w:sz w:val="21"/>
                <w:szCs w:val="21"/>
                <w:highlight w:val="none"/>
              </w:rPr>
              <w:t>投标人的最新信用评价结果得分如下表：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4"/>
              <w:gridCol w:w="814"/>
              <w:gridCol w:w="813"/>
              <w:gridCol w:w="944"/>
              <w:gridCol w:w="663"/>
              <w:gridCol w:w="691"/>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AA</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A</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B</w:t>
                  </w:r>
                </w:p>
              </w:tc>
              <w:tc>
                <w:tcPr>
                  <w:tcW w:w="143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专业</w:t>
                  </w:r>
                </w:p>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评价</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综合</w:t>
                  </w:r>
                </w:p>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评价</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专业</w:t>
                  </w:r>
                </w:p>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评价</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综合</w:t>
                  </w:r>
                </w:p>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评价</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w:t>
                  </w:r>
                </w:p>
              </w:tc>
              <w:tc>
                <w:tcPr>
                  <w:tcW w:w="7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专业</w:t>
                  </w:r>
                </w:p>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评价</w:t>
                  </w:r>
                </w:p>
              </w:tc>
              <w:tc>
                <w:tcPr>
                  <w:tcW w:w="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综合</w:t>
                  </w:r>
                </w:p>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+3.0</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+1.5</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+1.5</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+0.8</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0</w:t>
                  </w:r>
                </w:p>
              </w:tc>
              <w:tc>
                <w:tcPr>
                  <w:tcW w:w="7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-3</w:t>
                  </w:r>
                </w:p>
              </w:tc>
              <w:tc>
                <w:tcPr>
                  <w:tcW w:w="70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bCs/>
                      <w:color w:val="auto"/>
                      <w:kern w:val="0"/>
                      <w:sz w:val="21"/>
                      <w:szCs w:val="21"/>
                      <w:highlight w:val="none"/>
                    </w:rPr>
                  </w:pPr>
                  <w:r>
                    <w:rPr>
                      <w:bCs/>
                      <w:color w:val="auto"/>
                      <w:kern w:val="0"/>
                      <w:sz w:val="21"/>
                      <w:szCs w:val="21"/>
                      <w:highlight w:val="none"/>
                    </w:rPr>
                    <w:t>-1.5</w:t>
                  </w:r>
                </w:p>
              </w:tc>
            </w:tr>
          </w:tbl>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color w:val="auto"/>
                <w:kern w:val="0"/>
                <w:sz w:val="21"/>
                <w:szCs w:val="21"/>
                <w:highlight w:val="none"/>
              </w:rPr>
              <w:t>注：投标人最新信用的引用按照招标文件</w:t>
            </w:r>
            <w:r>
              <w:rPr>
                <w:rFonts w:hint="eastAsia"/>
                <w:color w:val="auto"/>
                <w:kern w:val="0"/>
                <w:sz w:val="21"/>
                <w:szCs w:val="21"/>
                <w:highlight w:val="none"/>
                <w:lang w:eastAsia="zh-CN"/>
              </w:rPr>
              <w:t>第一</w:t>
            </w:r>
            <w:r>
              <w:rPr>
                <w:color w:val="auto"/>
                <w:kern w:val="0"/>
                <w:sz w:val="21"/>
                <w:szCs w:val="21"/>
                <w:highlight w:val="none"/>
              </w:rPr>
              <w:t>章投标人须知</w:t>
            </w:r>
            <w:r>
              <w:rPr>
                <w:rFonts w:hint="eastAsia"/>
                <w:color w:val="auto"/>
                <w:kern w:val="0"/>
                <w:sz w:val="21"/>
                <w:szCs w:val="21"/>
                <w:highlight w:val="none"/>
                <w:lang w:eastAsia="zh-CN"/>
              </w:rPr>
              <w:t>招标公告</w:t>
            </w:r>
            <w:r>
              <w:rPr>
                <w:color w:val="auto"/>
                <w:kern w:val="0"/>
                <w:sz w:val="21"/>
                <w:szCs w:val="21"/>
                <w:highlight w:val="none"/>
              </w:rPr>
              <w:t>第</w:t>
            </w:r>
            <w:r>
              <w:rPr>
                <w:rFonts w:hint="eastAsia"/>
                <w:color w:val="auto"/>
                <w:kern w:val="0"/>
                <w:sz w:val="21"/>
                <w:szCs w:val="21"/>
                <w:highlight w:val="none"/>
                <w:lang w:val="en-US" w:eastAsia="zh-CN"/>
              </w:rPr>
              <w:t>3.3</w:t>
            </w:r>
            <w:r>
              <w:rPr>
                <w:color w:val="auto"/>
                <w:kern w:val="0"/>
                <w:sz w:val="21"/>
                <w:szCs w:val="21"/>
                <w:highlight w:val="none"/>
              </w:rPr>
              <w:t>款规定引用，</w:t>
            </w:r>
            <w:r>
              <w:rPr>
                <w:b/>
                <w:bCs/>
                <w:color w:val="auto"/>
                <w:kern w:val="0"/>
                <w:sz w:val="21"/>
                <w:szCs w:val="21"/>
                <w:highlight w:val="none"/>
              </w:rPr>
              <w:t>本次招标对应的投标专业信用评价为“</w:t>
            </w:r>
            <w:r>
              <w:rPr>
                <w:rFonts w:hint="eastAsia"/>
                <w:b/>
                <w:bCs/>
                <w:color w:val="auto"/>
                <w:kern w:val="0"/>
                <w:sz w:val="21"/>
                <w:szCs w:val="21"/>
                <w:highlight w:val="none"/>
                <w:lang w:eastAsia="zh-CN"/>
              </w:rPr>
              <w:t>养护</w:t>
            </w:r>
            <w:r>
              <w:rPr>
                <w:rFonts w:hint="eastAsia"/>
                <w:b/>
                <w:bCs/>
                <w:color w:val="auto"/>
                <w:kern w:val="0"/>
                <w:sz w:val="21"/>
                <w:szCs w:val="21"/>
                <w:highlight w:val="none"/>
              </w:rPr>
              <w:t>专业</w:t>
            </w:r>
            <w:r>
              <w:rPr>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5" w:hRule="atLeast"/>
        </w:trPr>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rFonts w:eastAsia="隶书"/>
                <w:color w:val="auto"/>
                <w:kern w:val="0"/>
                <w:sz w:val="21"/>
                <w:szCs w:val="21"/>
                <w:highlight w:val="none"/>
              </w:rPr>
            </w:pPr>
          </w:p>
        </w:tc>
        <w:tc>
          <w:tcPr>
            <w:tcW w:w="431"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307"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lang w:eastAsia="zh-CN"/>
              </w:rPr>
              <w:t>技术</w:t>
            </w:r>
            <w:r>
              <w:rPr>
                <w:rFonts w:hint="eastAsia"/>
                <w:color w:val="auto"/>
                <w:kern w:val="0"/>
                <w:sz w:val="21"/>
                <w:szCs w:val="21"/>
                <w:highlight w:val="none"/>
              </w:rPr>
              <w:t>能力</w:t>
            </w:r>
          </w:p>
        </w:tc>
        <w:tc>
          <w:tcPr>
            <w:tcW w:w="477" w:type="pct"/>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r>
              <w:rPr>
                <w:rFonts w:hint="eastAsia"/>
                <w:color w:val="auto"/>
                <w:kern w:val="0"/>
                <w:sz w:val="21"/>
                <w:szCs w:val="21"/>
                <w:highlight w:val="none"/>
              </w:rPr>
              <w:t>10分</w:t>
            </w:r>
          </w:p>
        </w:tc>
        <w:tc>
          <w:tcPr>
            <w:tcW w:w="3315" w:type="pct"/>
            <w:gridSpan w:val="3"/>
            <w:noWrap w:val="0"/>
            <w:vAlign w:val="center"/>
          </w:tcPr>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color w:val="auto"/>
                <w:kern w:val="0"/>
                <w:sz w:val="21"/>
                <w:szCs w:val="21"/>
                <w:highlight w:val="none"/>
              </w:rPr>
              <w:t>投标人每获得1个与公路工程建设项目施工有关的国家级工法、专利（发明专利或实用新型专利）、省级科学技术进步奖</w:t>
            </w:r>
            <w:r>
              <w:rPr>
                <w:rFonts w:hint="eastAsia"/>
                <w:color w:val="auto"/>
                <w:kern w:val="0"/>
                <w:sz w:val="21"/>
                <w:szCs w:val="21"/>
                <w:highlight w:val="none"/>
                <w:lang w:val="en-US" w:eastAsia="zh-CN"/>
              </w:rPr>
              <w:t>或国家级奖项得6</w:t>
            </w:r>
            <w:r>
              <w:rPr>
                <w:color w:val="auto"/>
                <w:kern w:val="0"/>
                <w:sz w:val="21"/>
                <w:szCs w:val="21"/>
                <w:highlight w:val="none"/>
              </w:rPr>
              <w:t>分，</w:t>
            </w:r>
            <w:r>
              <w:rPr>
                <w:rFonts w:hint="eastAsia"/>
                <w:color w:val="auto"/>
                <w:kern w:val="2"/>
                <w:szCs w:val="21"/>
                <w:highlight w:val="none"/>
                <w:lang w:eastAsia="zh-CN"/>
              </w:rPr>
              <w:t>在此基础上，每增加</w:t>
            </w:r>
            <w:r>
              <w:rPr>
                <w:color w:val="auto"/>
                <w:kern w:val="0"/>
                <w:sz w:val="21"/>
                <w:szCs w:val="21"/>
                <w:highlight w:val="none"/>
              </w:rPr>
              <w:t>1个与公路工程建设项目施工有关的国家级工法、专利（发明专利或实用新型专利）、省级科学技术进步奖</w:t>
            </w:r>
            <w:r>
              <w:rPr>
                <w:rFonts w:hint="eastAsia"/>
                <w:color w:val="auto"/>
                <w:kern w:val="0"/>
                <w:sz w:val="21"/>
                <w:szCs w:val="21"/>
                <w:highlight w:val="none"/>
                <w:lang w:val="en-US" w:eastAsia="zh-CN"/>
              </w:rPr>
              <w:t>或国家级奖项的加</w:t>
            </w:r>
            <w:r>
              <w:rPr>
                <w:rFonts w:hint="eastAsia"/>
                <w:color w:val="auto"/>
                <w:kern w:val="2"/>
                <w:szCs w:val="21"/>
                <w:highlight w:val="none"/>
                <w:lang w:val="en-US" w:eastAsia="zh-CN"/>
              </w:rPr>
              <w:t>2分，</w:t>
            </w:r>
            <w:r>
              <w:rPr>
                <w:color w:val="auto"/>
                <w:kern w:val="0"/>
                <w:sz w:val="21"/>
                <w:szCs w:val="21"/>
                <w:highlight w:val="none"/>
              </w:rPr>
              <w:t>最多</w:t>
            </w:r>
            <w:r>
              <w:rPr>
                <w:rFonts w:hint="eastAsia"/>
                <w:color w:val="auto"/>
                <w:kern w:val="0"/>
                <w:sz w:val="21"/>
                <w:szCs w:val="21"/>
                <w:highlight w:val="none"/>
                <w:lang w:eastAsia="zh-CN"/>
              </w:rPr>
              <w:t>得</w:t>
            </w:r>
            <w:r>
              <w:rPr>
                <w:color w:val="auto"/>
                <w:kern w:val="0"/>
                <w:sz w:val="21"/>
                <w:szCs w:val="21"/>
                <w:highlight w:val="none"/>
              </w:rPr>
              <w:t>1</w:t>
            </w:r>
            <w:r>
              <w:rPr>
                <w:rFonts w:hint="eastAsia"/>
                <w:color w:val="auto"/>
                <w:kern w:val="0"/>
                <w:sz w:val="21"/>
                <w:szCs w:val="21"/>
                <w:highlight w:val="none"/>
                <w:lang w:val="en-US" w:eastAsia="zh-CN"/>
              </w:rPr>
              <w:t>0</w:t>
            </w:r>
            <w:r>
              <w:rPr>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36" w:hRule="atLeast"/>
        </w:trPr>
        <w:tc>
          <w:tcPr>
            <w:tcW w:w="468"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rFonts w:eastAsia="隶书"/>
                <w:color w:val="auto"/>
                <w:kern w:val="0"/>
                <w:sz w:val="21"/>
                <w:szCs w:val="21"/>
                <w:highlight w:val="none"/>
              </w:rPr>
            </w:pPr>
          </w:p>
        </w:tc>
        <w:tc>
          <w:tcPr>
            <w:tcW w:w="431" w:type="pct"/>
            <w:vMerge w:val="continue"/>
            <w:noWrap w:val="0"/>
            <w:vAlign w:val="center"/>
          </w:tcPr>
          <w:p>
            <w:pPr>
              <w:keepNext w:val="0"/>
              <w:keepLines w:val="0"/>
              <w:pageBreakBefore w:val="0"/>
              <w:widowControl/>
              <w:kinsoku/>
              <w:wordWrap/>
              <w:overflowPunct/>
              <w:topLinePunct w:val="0"/>
              <w:bidi w:val="0"/>
              <w:spacing w:line="360" w:lineRule="exact"/>
              <w:jc w:val="center"/>
              <w:textAlignment w:val="auto"/>
              <w:rPr>
                <w:color w:val="auto"/>
                <w:kern w:val="0"/>
                <w:sz w:val="21"/>
                <w:szCs w:val="21"/>
                <w:highlight w:val="none"/>
              </w:rPr>
            </w:pPr>
          </w:p>
        </w:tc>
        <w:tc>
          <w:tcPr>
            <w:tcW w:w="307" w:type="pct"/>
            <w:noWrap w:val="0"/>
            <w:vAlign w:val="center"/>
          </w:tcPr>
          <w:p>
            <w:pPr>
              <w:keepNext w:val="0"/>
              <w:keepLines w:val="0"/>
              <w:pageBreakBefore w:val="0"/>
              <w:widowControl/>
              <w:kinsoku/>
              <w:wordWrap/>
              <w:overflowPunct/>
              <w:topLinePunct w:val="0"/>
              <w:bidi w:val="0"/>
              <w:spacing w:line="360" w:lineRule="exact"/>
              <w:jc w:val="center"/>
              <w:textAlignment w:val="auto"/>
              <w:rPr>
                <w:rFonts w:hint="eastAsia"/>
                <w:color w:val="auto"/>
                <w:kern w:val="0"/>
                <w:sz w:val="21"/>
                <w:szCs w:val="21"/>
                <w:highlight w:val="none"/>
                <w:lang w:eastAsia="zh-CN"/>
              </w:rPr>
            </w:pPr>
            <w:r>
              <w:rPr>
                <w:rFonts w:hint="eastAsia"/>
                <w:color w:val="auto"/>
                <w:kern w:val="0"/>
                <w:sz w:val="21"/>
                <w:szCs w:val="21"/>
                <w:highlight w:val="none"/>
                <w:lang w:eastAsia="zh-CN"/>
              </w:rPr>
              <w:t>项目经理现场阐述</w:t>
            </w:r>
          </w:p>
        </w:tc>
        <w:tc>
          <w:tcPr>
            <w:tcW w:w="477" w:type="pct"/>
            <w:noWrap w:val="0"/>
            <w:vAlign w:val="center"/>
          </w:tcPr>
          <w:p>
            <w:pPr>
              <w:keepNext w:val="0"/>
              <w:keepLines w:val="0"/>
              <w:pageBreakBefore w:val="0"/>
              <w:widowControl/>
              <w:kinsoku/>
              <w:wordWrap/>
              <w:overflowPunct/>
              <w:topLinePunct w:val="0"/>
              <w:bidi w:val="0"/>
              <w:spacing w:line="360" w:lineRule="exact"/>
              <w:jc w:val="center"/>
              <w:textAlignment w:val="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12分</w:t>
            </w:r>
          </w:p>
        </w:tc>
        <w:tc>
          <w:tcPr>
            <w:tcW w:w="3315" w:type="pct"/>
            <w:gridSpan w:val="3"/>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color w:val="auto"/>
                <w:highlight w:val="none"/>
                <w:lang w:eastAsia="zh-CN"/>
              </w:rPr>
            </w:pPr>
            <w:r>
              <w:rPr>
                <w:rFonts w:hint="eastAsia"/>
                <w:color w:val="auto"/>
                <w:highlight w:val="none"/>
                <w:lang w:eastAsia="zh-CN"/>
              </w:rPr>
              <w:t>项目经理现场陈述（根据本项目的特点，进行现场简要陈述投标人拟采用的总体实施方案、实施要点、管理要点等。时间为15分钟）</w:t>
            </w:r>
          </w:p>
          <w:p>
            <w:pPr>
              <w:pStyle w:val="6"/>
              <w:keepNext w:val="0"/>
              <w:keepLines w:val="0"/>
              <w:pageBreakBefore w:val="0"/>
              <w:kinsoku/>
              <w:wordWrap/>
              <w:overflowPunct/>
              <w:topLinePunct w:val="0"/>
              <w:autoSpaceDE/>
              <w:autoSpaceDN/>
              <w:bidi w:val="0"/>
              <w:adjustRightIn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按4个等级评定：</w:t>
            </w:r>
          </w:p>
          <w:p>
            <w:pPr>
              <w:pStyle w:val="6"/>
              <w:keepNext w:val="0"/>
              <w:keepLines w:val="0"/>
              <w:pageBreakBefore w:val="0"/>
              <w:kinsoku/>
              <w:wordWrap/>
              <w:overflowPunct/>
              <w:topLinePunct w:val="0"/>
              <w:autoSpaceDE/>
              <w:autoSpaceDN/>
              <w:bidi w:val="0"/>
              <w:adjustRightIn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“很好”计分值的90%～100%；</w:t>
            </w:r>
          </w:p>
          <w:p>
            <w:pPr>
              <w:pStyle w:val="6"/>
              <w:keepNext w:val="0"/>
              <w:keepLines w:val="0"/>
              <w:pageBreakBefore w:val="0"/>
              <w:kinsoku/>
              <w:wordWrap/>
              <w:overflowPunct/>
              <w:topLinePunct w:val="0"/>
              <w:autoSpaceDE/>
              <w:autoSpaceDN/>
              <w:bidi w:val="0"/>
              <w:adjustRightIn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“较好”计80～90%；</w:t>
            </w:r>
          </w:p>
          <w:p>
            <w:pPr>
              <w:pStyle w:val="6"/>
              <w:keepNext w:val="0"/>
              <w:keepLines w:val="0"/>
              <w:pageBreakBefore w:val="0"/>
              <w:kinsoku/>
              <w:wordWrap/>
              <w:overflowPunct/>
              <w:topLinePunct w:val="0"/>
              <w:autoSpaceDE/>
              <w:autoSpaceDN/>
              <w:bidi w:val="0"/>
              <w:adjustRightIn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“一般”计70%～80%；</w:t>
            </w:r>
          </w:p>
          <w:p>
            <w:pPr>
              <w:pStyle w:val="6"/>
              <w:keepNext w:val="0"/>
              <w:keepLines w:val="0"/>
              <w:pageBreakBefore w:val="0"/>
              <w:kinsoku/>
              <w:wordWrap/>
              <w:overflowPunct/>
              <w:topLinePunct w:val="0"/>
              <w:autoSpaceDE/>
              <w:autoSpaceDN/>
              <w:bidi w:val="0"/>
              <w:adjustRightIn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“较差但可行”计60%～70%；</w:t>
            </w:r>
          </w:p>
          <w:p>
            <w:pPr>
              <w:pStyle w:val="6"/>
              <w:keepNext w:val="0"/>
              <w:keepLines w:val="0"/>
              <w:pageBreakBefore w:val="0"/>
              <w:kinsoku/>
              <w:wordWrap/>
              <w:overflowPunct/>
              <w:topLinePunct w:val="0"/>
              <w:autoSpaceDE/>
              <w:autoSpaceDN/>
              <w:bidi w:val="0"/>
              <w:adjustRightInd/>
              <w:spacing w:line="360" w:lineRule="exact"/>
              <w:textAlignment w:val="auto"/>
              <w:rPr>
                <w:rFonts w:hint="eastAsia"/>
                <w:color w:val="auto"/>
                <w:highlight w:val="none"/>
                <w:lang w:eastAsia="zh-CN"/>
              </w:rPr>
            </w:pPr>
            <w:r>
              <w:rPr>
                <w:rFonts w:hint="eastAsia" w:ascii="Times New Roman" w:hAnsi="Times New Roman" w:eastAsia="宋体" w:cs="Times New Roman"/>
                <w:color w:val="auto"/>
                <w:kern w:val="2"/>
                <w:sz w:val="21"/>
                <w:szCs w:val="24"/>
                <w:highlight w:val="none"/>
                <w:lang w:val="en-US" w:eastAsia="zh-CN" w:bidi="ar-SA"/>
              </w:rPr>
              <w:t>评标委员会成员对各项因素的评分一般不得低于招标文件规定该因素满分值的60%，低于满分值60%的，评标委员会成员应当在评标报告中作出说明。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00" w:type="pct"/>
            <w:gridSpan w:val="7"/>
            <w:noWrap w:val="0"/>
            <w:vAlign w:val="center"/>
          </w:tcPr>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color w:val="auto"/>
                <w:kern w:val="0"/>
                <w:sz w:val="21"/>
                <w:szCs w:val="21"/>
                <w:highlight w:val="none"/>
              </w:rPr>
              <w:t>需要补充的其他内容：</w:t>
            </w:r>
          </w:p>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color w:val="auto"/>
                <w:kern w:val="0"/>
                <w:sz w:val="21"/>
                <w:szCs w:val="21"/>
                <w:highlight w:val="none"/>
              </w:rPr>
              <w:t>补充3.2.6项：</w:t>
            </w:r>
          </w:p>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color w:val="auto"/>
                <w:kern w:val="0"/>
                <w:sz w:val="21"/>
                <w:szCs w:val="21"/>
                <w:highlight w:val="none"/>
              </w:rPr>
              <w:t>3.2.6主观因素（施工组织设计部分）评分不应低于其权重分的60%，评分低于权重分值60%的，评标委员会成员应当在评标报告中作出说明。当评标委员会成员大于等于7人时，主观因素（施工组织设计部分）得分为去掉一个最高分、去掉一个最低分的算术平均值。</w:t>
            </w:r>
          </w:p>
          <w:p>
            <w:pPr>
              <w:keepNext w:val="0"/>
              <w:keepLines w:val="0"/>
              <w:pageBreakBefore w:val="0"/>
              <w:kinsoku/>
              <w:wordWrap/>
              <w:overflowPunct/>
              <w:topLinePunct w:val="0"/>
              <w:bidi w:val="0"/>
              <w:spacing w:line="360" w:lineRule="exact"/>
              <w:jc w:val="left"/>
              <w:textAlignment w:val="auto"/>
              <w:rPr>
                <w:color w:val="auto"/>
                <w:kern w:val="0"/>
                <w:sz w:val="21"/>
                <w:szCs w:val="21"/>
                <w:highlight w:val="none"/>
              </w:rPr>
            </w:pPr>
            <w:r>
              <w:rPr>
                <w:color w:val="auto"/>
                <w:kern w:val="0"/>
                <w:sz w:val="21"/>
                <w:szCs w:val="21"/>
                <w:highlight w:val="none"/>
              </w:rPr>
              <w:t>3.3 第二个信封开标补充以下内容</w:t>
            </w:r>
          </w:p>
          <w:p>
            <w:pPr>
              <w:keepNext w:val="0"/>
              <w:keepLines w:val="0"/>
              <w:pageBreakBefore w:val="0"/>
              <w:kinsoku/>
              <w:wordWrap/>
              <w:overflowPunct/>
              <w:topLinePunct w:val="0"/>
              <w:bidi w:val="0"/>
              <w:spacing w:line="360" w:lineRule="exact"/>
              <w:jc w:val="left"/>
              <w:textAlignment w:val="auto"/>
              <w:rPr>
                <w:color w:val="auto"/>
                <w:kern w:val="0"/>
                <w:sz w:val="21"/>
                <w:szCs w:val="21"/>
                <w:highlight w:val="none"/>
              </w:rPr>
            </w:pPr>
            <w:r>
              <w:rPr>
                <w:color w:val="auto"/>
                <w:kern w:val="0"/>
                <w:sz w:val="21"/>
                <w:szCs w:val="21"/>
                <w:highlight w:val="none"/>
              </w:rPr>
              <w:t>第二个信封开标结束后，如评标委员会经复核确认第一个信封（商务及技术文件）评审结果有误，评标委员会有权根据招标文件评标办法规定的评审标准对第一信封评审结果进行修正。</w:t>
            </w:r>
          </w:p>
          <w:p>
            <w:pPr>
              <w:keepNext w:val="0"/>
              <w:keepLines w:val="0"/>
              <w:pageBreakBefore w:val="0"/>
              <w:widowControl/>
              <w:kinsoku/>
              <w:wordWrap/>
              <w:overflowPunct/>
              <w:topLinePunct w:val="0"/>
              <w:bidi w:val="0"/>
              <w:spacing w:line="360" w:lineRule="exact"/>
              <w:jc w:val="left"/>
              <w:textAlignment w:val="auto"/>
              <w:rPr>
                <w:color w:val="auto"/>
                <w:kern w:val="0"/>
                <w:sz w:val="21"/>
                <w:szCs w:val="21"/>
                <w:highlight w:val="none"/>
              </w:rPr>
            </w:pPr>
            <w:r>
              <w:rPr>
                <w:color w:val="auto"/>
                <w:kern w:val="0"/>
                <w:sz w:val="21"/>
                <w:szCs w:val="21"/>
                <w:highlight w:val="none"/>
              </w:rPr>
              <w:t>3.5.1项细化为：</w:t>
            </w:r>
          </w:p>
          <w:p>
            <w:pPr>
              <w:keepNext w:val="0"/>
              <w:keepLines w:val="0"/>
              <w:pageBreakBefore w:val="0"/>
              <w:widowControl/>
              <w:kinsoku/>
              <w:wordWrap/>
              <w:overflowPunct/>
              <w:topLinePunct w:val="0"/>
              <w:bidi w:val="0"/>
              <w:spacing w:line="360" w:lineRule="exact"/>
              <w:jc w:val="left"/>
              <w:textAlignment w:val="auto"/>
              <w:rPr>
                <w:rFonts w:ascii="Calibri" w:hAnsi="Calibri"/>
                <w:color w:val="auto"/>
                <w:kern w:val="0"/>
                <w:sz w:val="21"/>
                <w:szCs w:val="21"/>
                <w:highlight w:val="none"/>
              </w:rPr>
            </w:pPr>
            <w:r>
              <w:rPr>
                <w:color w:val="auto"/>
                <w:kern w:val="0"/>
                <w:sz w:val="21"/>
                <w:szCs w:val="21"/>
                <w:highlight w:val="none"/>
              </w:rPr>
              <w:t>3.5.1在评标过程中，评标委员会应查询交通运输主管部门“公路建设市场信用信息管理系统”或审查投标文件中提供的证明文件，对投标人的资质、业绩、主要人员资历和目前在岗情况、信用等级等信息进行核实。若投标文件载明的信息与交通运输主管部门“公路建设市场信用信息管理系统”发布的信息或与招标文件规定不符，使得投标人的资格条件不符合招标文件规定的，评标委员会应否决其投标。</w:t>
            </w:r>
          </w:p>
        </w:tc>
      </w:tr>
    </w:tbl>
    <w:p>
      <w:pPr>
        <w:rPr>
          <w:rFonts w:hint="eastAsia" w:eastAsiaTheme="minorEastAsia"/>
          <w:lang w:val="en-US"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84479"/>
    <w:multiLevelType w:val="singleLevel"/>
    <w:tmpl w:val="5E484479"/>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zAxYTM1ZTg3MmUyZWU3MjVjMjAzODlhZTY5MzcifQ=="/>
  </w:docVars>
  <w:rsids>
    <w:rsidRoot w:val="29A4022A"/>
    <w:rsid w:val="29A4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4"/>
    <w:qFormat/>
    <w:uiPriority w:val="0"/>
    <w:pPr>
      <w:keepNext/>
      <w:keepLines/>
      <w:widowControl/>
      <w:spacing w:before="120" w:after="120" w:line="360" w:lineRule="auto"/>
      <w:jc w:val="left"/>
      <w:outlineLvl w:val="2"/>
    </w:pPr>
    <w:rPr>
      <w:b/>
      <w:kern w:val="0"/>
      <w:sz w:val="32"/>
      <w:szCs w:val="20"/>
    </w:rPr>
  </w:style>
  <w:style w:type="paragraph" w:styleId="5">
    <w:name w:val="heading 4"/>
    <w:basedOn w:val="1"/>
    <w:next w:val="4"/>
    <w:qFormat/>
    <w:uiPriority w:val="0"/>
    <w:pPr>
      <w:keepNext/>
      <w:adjustRightInd w:val="0"/>
      <w:spacing w:line="420" w:lineRule="atLeast"/>
      <w:jc w:val="left"/>
      <w:textAlignment w:val="baseline"/>
      <w:outlineLvl w:val="3"/>
    </w:pPr>
    <w:rPr>
      <w:kern w:val="0"/>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adjustRightInd w:val="0"/>
      <w:spacing w:line="400" w:lineRule="atLeast"/>
      <w:ind w:left="420" w:leftChars="200" w:firstLine="200" w:firstLineChars="200"/>
      <w:jc w:val="left"/>
      <w:textAlignment w:val="baseline"/>
    </w:pPr>
    <w:rPr>
      <w:kern w:val="0"/>
      <w:sz w:val="24"/>
    </w:rPr>
  </w:style>
  <w:style w:type="paragraph" w:styleId="4">
    <w:name w:val="Normal Indent"/>
    <w:basedOn w:val="1"/>
    <w:qFormat/>
    <w:uiPriority w:val="0"/>
    <w:pPr>
      <w:ind w:firstLine="420" w:firstLineChars="200"/>
    </w:pPr>
  </w:style>
  <w:style w:type="paragraph" w:styleId="6">
    <w:name w:val="footer"/>
    <w:basedOn w:val="1"/>
    <w:next w:val="7"/>
    <w:qFormat/>
    <w:uiPriority w:val="99"/>
    <w:pPr>
      <w:tabs>
        <w:tab w:val="center" w:pos="4153"/>
        <w:tab w:val="right" w:pos="8306"/>
      </w:tabs>
      <w:snapToGrid w:val="0"/>
      <w:jc w:val="left"/>
    </w:pPr>
    <w:rPr>
      <w:kern w:val="0"/>
      <w:sz w:val="18"/>
      <w:szCs w:val="18"/>
    </w:rPr>
  </w:style>
  <w:style w:type="paragraph" w:customStyle="1" w:styleId="7">
    <w:name w:val="彩色列表 - 强调文字颜色 11"/>
    <w:basedOn w:val="1"/>
    <w:next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2023-03-20T02:53:00Z</dcterms:created>
  <dc:creator>嘻嘻嘻</dc:creator>
  <cp:lastModifiedBy>嘻嘻嘻</cp:lastModifiedBy>
  <dcterms:modified xsi:type="dcterms:W3CDTF">2023-03-20T02:55:12Z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834E9BFCFE344C95B7926D9C7D0901D0</vt:lpwstr>
  </property>
</Properties>
</file>