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after="60" w:line="360" w:lineRule="auto"/>
        <w:jc w:val="center"/>
        <w:rPr>
          <w:rFonts w:hint="eastAsia" w:asciiTheme="minorEastAsia" w:hAnsiTheme="minorEastAsia" w:eastAsiaTheme="minorEastAsia" w:cstheme="minorEastAsia"/>
          <w:b w:val="0"/>
          <w:color w:val="000000" w:themeColor="text1"/>
          <w:sz w:val="28"/>
          <w:szCs w:val="28"/>
          <w:highlight w:val="none"/>
          <w14:textFill>
            <w14:solidFill>
              <w14:schemeClr w14:val="tx1"/>
            </w14:solidFill>
          </w14:textFill>
        </w:rPr>
      </w:pPr>
      <w:bookmarkStart w:id="0" w:name="_Toc353742522"/>
      <w:bookmarkStart w:id="1" w:name="_Toc524597613"/>
      <w:bookmarkStart w:id="2" w:name="_Toc456819417"/>
      <w:bookmarkStart w:id="3" w:name="_Toc456819221"/>
      <w:bookmarkStart w:id="4" w:name="_Toc452799479"/>
      <w:bookmarkStart w:id="5" w:name="_Toc483267981"/>
      <w:bookmarkStart w:id="22" w:name="_GoBack"/>
      <w:bookmarkEnd w:id="22"/>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附录1 资格审查条件（资质最低要求）</w:t>
      </w:r>
      <w:bookmarkEnd w:id="0"/>
      <w:bookmarkEnd w:id="1"/>
      <w:bookmarkEnd w:id="2"/>
      <w:bookmarkEnd w:id="3"/>
      <w:bookmarkEnd w:id="4"/>
      <w:bookmarkEnd w:id="5"/>
    </w:p>
    <w:p>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bl>
      <w:tblPr>
        <w:tblStyle w:val="1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9213" w:type="dxa"/>
            <w:vAlign w:val="center"/>
          </w:tcPr>
          <w:p>
            <w:pPr>
              <w:numPr>
                <w:ilvl w:val="0"/>
                <w:numId w:val="1"/>
              </w:numPr>
              <w:spacing w:line="360" w:lineRule="auto"/>
              <w:ind w:firstLine="480" w:firstLineChars="200"/>
              <w:jc w:val="both"/>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持有工商行政管理部门核发的有效企业营业执照或者合法有效的事业单位法人证书；</w:t>
            </w:r>
          </w:p>
          <w:p>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具有交通运输主管部门颁发的公路工程交通工程专项试验检测资质和省级及以上质量技术监督部门颁发的计量认证（CMA）合格证书，证书均应合法有效。并在人员、设备、资金等方面具备相应的试验检测能力。</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ind w:firstLine="480" w:firstLineChars="200"/>
              <w:jc w:val="both"/>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tc>
      </w:tr>
    </w:tbl>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3"/>
        <w:spacing w:before="60" w:after="60" w:line="360" w:lineRule="auto"/>
        <w:jc w:val="cente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bookmarkStart w:id="6" w:name="_Toc353742524"/>
      <w:bookmarkStart w:id="7" w:name="_Toc456819222"/>
      <w:bookmarkStart w:id="8" w:name="_Toc524597615"/>
      <w:bookmarkStart w:id="9" w:name="_Toc456819418"/>
      <w:bookmarkStart w:id="10" w:name="_Toc452799481"/>
      <w:bookmarkStart w:id="11" w:name="_Toc483267982"/>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附录</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 xml:space="preserve"> 资格审查条件（</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业绩</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最低要求）</w:t>
      </w:r>
      <w:bookmarkEnd w:id="6"/>
      <w:bookmarkEnd w:id="7"/>
      <w:bookmarkEnd w:id="8"/>
      <w:bookmarkEnd w:id="9"/>
      <w:bookmarkEnd w:id="10"/>
      <w:bookmarkEnd w:id="11"/>
    </w:p>
    <w:p>
      <w:pPr>
        <w:kinsoku w:val="0"/>
        <w:overflowPunct w:val="0"/>
        <w:snapToGrid w:val="0"/>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p>
    <w:tbl>
      <w:tblPr>
        <w:tblStyle w:val="1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213" w:type="dxa"/>
            <w:vAlign w:val="center"/>
          </w:tcPr>
          <w:p>
            <w:pPr>
              <w:jc w:val="center"/>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9213" w:type="dxa"/>
            <w:vAlign w:val="center"/>
          </w:tcPr>
          <w:p>
            <w:pPr>
              <w:spacing w:line="240" w:lineRule="auto"/>
              <w:ind w:firstLine="0" w:firstLineChars="0"/>
              <w:jc w:val="center"/>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无</w:t>
            </w:r>
          </w:p>
        </w:tc>
      </w:tr>
    </w:tbl>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2" w:name="_Toc483267983"/>
      <w:bookmarkStart w:id="13" w:name="_Toc456819422"/>
      <w:bookmarkStart w:id="14" w:name="_Toc456819226"/>
      <w:bookmarkStart w:id="15" w:name="_Toc524597616"/>
    </w:p>
    <w:p>
      <w:pPr>
        <w:autoSpaceDE/>
        <w:autoSpaceDN/>
        <w:adjustRightInd/>
        <w:snapToGrid w:val="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3"/>
        <w:spacing w:before="60" w:after="60" w:line="360" w:lineRule="auto"/>
        <w:jc w:val="cente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附录</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 xml:space="preserve"> </w:t>
      </w:r>
      <w:bookmarkEnd w:id="12"/>
      <w:bookmarkEnd w:id="13"/>
      <w:bookmarkEnd w:id="14"/>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信誉最低要求</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8"/>
          <w:szCs w:val="28"/>
          <w:highlight w:val="none"/>
          <w:lang w:val="en-US" w:eastAsia="zh-CN"/>
          <w14:textFill>
            <w14:solidFill>
              <w14:schemeClr w14:val="tx1"/>
            </w14:solidFill>
          </w14:textFill>
        </w:rPr>
        <w:t>参考</w:t>
      </w:r>
      <w:r>
        <w:rPr>
          <w:rFonts w:hint="eastAsia" w:asciiTheme="minorEastAsia" w:hAnsiTheme="minorEastAsia" w:eastAsiaTheme="minorEastAsia" w:cstheme="minorEastAsia"/>
          <w:snapToGrid w:val="0"/>
          <w:color w:val="000000" w:themeColor="text1"/>
          <w:kern w:val="0"/>
          <w:sz w:val="28"/>
          <w:szCs w:val="28"/>
          <w:highlight w:val="none"/>
          <w14:textFill>
            <w14:solidFill>
              <w14:schemeClr w14:val="tx1"/>
            </w14:solidFill>
          </w14:textFill>
        </w:rPr>
        <w:t>）</w:t>
      </w:r>
      <w:bookmarkEnd w:id="15"/>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bl>
      <w:tblPr>
        <w:tblStyle w:val="1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2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both"/>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投标人在“公路水运工程试验检测管理信息系统”中最新的从业单位信用评价未被评价为D级；</w:t>
            </w:r>
          </w:p>
        </w:tc>
      </w:tr>
    </w:tbl>
    <w:p>
      <w:pP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p>
      <w:pPr>
        <w:widowControl/>
        <w:autoSpaceDE/>
        <w:autoSpaceDN/>
        <w:adjustRightInd/>
        <w:textAlignment w:val="auto"/>
        <w:rPr>
          <w:rFonts w:hint="eastAsia" w:asciiTheme="minorEastAsia" w:hAnsiTheme="minorEastAsia" w:eastAsiaTheme="minorEastAsia" w:cstheme="minorEastAsia"/>
          <w:bCs/>
          <w:color w:val="000000" w:themeColor="text1"/>
          <w:kern w:val="2"/>
          <w:sz w:val="24"/>
          <w:szCs w:val="24"/>
          <w:highlight w:val="none"/>
          <w14:textFill>
            <w14:solidFill>
              <w14:schemeClr w14:val="tx1"/>
            </w14:solidFill>
          </w14:textFill>
        </w:rPr>
      </w:pPr>
    </w:p>
    <w:p>
      <w:pPr>
        <w:pStyle w:val="3"/>
        <w:spacing w:line="360" w:lineRule="auto"/>
        <w:jc w:val="center"/>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pPr>
      <w:r>
        <w:rPr>
          <w:rFonts w:hint="eastAsia" w:eastAsia="宋体" w:cs="Times New Roman"/>
          <w:bCs w:val="0"/>
          <w:color w:val="000000" w:themeColor="text1"/>
          <w:kern w:val="0"/>
          <w:sz w:val="18"/>
          <w:szCs w:val="20"/>
          <w:highlight w:val="none"/>
          <w14:textFill>
            <w14:solidFill>
              <w14:schemeClr w14:val="tx1"/>
            </w14:solidFill>
          </w14:textFill>
        </w:rPr>
        <w:br w:type="page"/>
      </w:r>
      <w:r>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t>附录</w:t>
      </w:r>
      <w:r>
        <w:rPr>
          <w:rFonts w:hint="eastAsia" w:asciiTheme="minorEastAsia" w:hAnsiTheme="minorEastAsia" w:eastAsiaTheme="minorEastAsia" w:cstheme="minorEastAsia"/>
          <w:bCs w:val="0"/>
          <w:color w:val="000000" w:themeColor="text1"/>
          <w:kern w:val="10"/>
          <w:sz w:val="30"/>
          <w:szCs w:val="30"/>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t>资格审查条件（主要人员最低要求）</w:t>
      </w:r>
    </w:p>
    <w:p>
      <w:pPr>
        <w:kinsoku w:val="0"/>
        <w:overflowPunct w:val="0"/>
        <w:snapToGrid w:val="0"/>
        <w:rPr>
          <w:rFonts w:hint="eastAsia" w:hAnsi="宋体"/>
          <w:b/>
          <w:bCs/>
          <w:snapToGrid w:val="0"/>
          <w:color w:val="000000" w:themeColor="text1"/>
          <w:szCs w:val="21"/>
          <w:highlight w:val="none"/>
          <w14:textFill>
            <w14:solidFill>
              <w14:schemeClr w14:val="tx1"/>
            </w14:solidFill>
          </w14:textFill>
        </w:rPr>
      </w:pPr>
    </w:p>
    <w:tbl>
      <w:tblPr>
        <w:tblStyle w:val="13"/>
        <w:tblW w:w="90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7"/>
        <w:gridCol w:w="987"/>
        <w:gridCol w:w="3213"/>
        <w:gridCol w:w="3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1777" w:type="dxa"/>
            <w:tcBorders>
              <w:left w:val="single" w:color="000000" w:sz="2" w:space="0"/>
            </w:tcBorders>
          </w:tcPr>
          <w:p>
            <w:pPr>
              <w:pStyle w:val="16"/>
              <w:spacing w:before="177"/>
              <w:ind w:left="576" w:right="567"/>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人员</w:t>
            </w:r>
          </w:p>
        </w:tc>
        <w:tc>
          <w:tcPr>
            <w:tcW w:w="987" w:type="dxa"/>
          </w:tcPr>
          <w:p>
            <w:pPr>
              <w:pStyle w:val="16"/>
              <w:spacing w:before="177"/>
              <w:ind w:left="311" w:right="30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数量</w:t>
            </w:r>
          </w:p>
        </w:tc>
        <w:tc>
          <w:tcPr>
            <w:tcW w:w="3213" w:type="dxa"/>
            <w:tcBorders>
              <w:right w:val="single" w:color="000000" w:sz="4" w:space="0"/>
            </w:tcBorders>
          </w:tcPr>
          <w:p>
            <w:pPr>
              <w:pStyle w:val="16"/>
              <w:spacing w:before="177"/>
              <w:ind w:right="1611"/>
              <w:jc w:val="both"/>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资格要求</w:t>
            </w:r>
          </w:p>
        </w:tc>
        <w:tc>
          <w:tcPr>
            <w:tcW w:w="3049" w:type="dxa"/>
            <w:tcBorders>
              <w:left w:val="single" w:color="000000" w:sz="4" w:space="0"/>
              <w:right w:val="single" w:color="000000" w:sz="2" w:space="0"/>
            </w:tcBorders>
          </w:tcPr>
          <w:p>
            <w:pPr>
              <w:pStyle w:val="16"/>
              <w:spacing w:before="177"/>
              <w:ind w:left="46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其他</w:t>
            </w:r>
            <w:r>
              <w:rPr>
                <w:rFonts w:hint="eastAsia" w:hAnsi="宋体"/>
                <w:color w:val="000000" w:themeColor="text1"/>
                <w:sz w:val="24"/>
                <w:szCs w:val="24"/>
                <w:highlight w:val="none"/>
                <w14:textFill>
                  <w14:solidFill>
                    <w14:schemeClr w14:val="tx1"/>
                  </w14:solidFill>
                </w14:textFill>
              </w:rP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jc w:val="center"/>
        </w:trPr>
        <w:tc>
          <w:tcPr>
            <w:tcW w:w="1777" w:type="dxa"/>
            <w:tcBorders>
              <w:left w:val="single" w:color="000000" w:sz="2" w:space="0"/>
            </w:tcBorders>
            <w:vAlign w:val="center"/>
          </w:tcPr>
          <w:p>
            <w:pPr>
              <w:adjustRightInd/>
              <w:snapToGrid w:val="0"/>
              <w:ind w:left="0" w:leftChars="0" w:firstLine="0" w:firstLineChars="0"/>
              <w:jc w:val="center"/>
              <w:textAlignment w:val="auto"/>
              <w:rPr>
                <w:rFonts w:hAnsi="宋体"/>
                <w:color w:val="000000" w:themeColor="text1"/>
                <w:sz w:val="24"/>
                <w:szCs w:val="24"/>
                <w:highlight w:val="none"/>
                <w14:textFill>
                  <w14:solidFill>
                    <w14:schemeClr w14:val="tx1"/>
                  </w14:solidFill>
                </w14:textFill>
              </w:rPr>
            </w:pPr>
            <w:r>
              <w:rPr>
                <w:rFonts w:hint="eastAsia" w:cs="Arial"/>
                <w:color w:val="000000" w:themeColor="text1"/>
                <w:sz w:val="24"/>
                <w:szCs w:val="24"/>
                <w:highlight w:val="none"/>
                <w14:textFill>
                  <w14:solidFill>
                    <w14:schemeClr w14:val="tx1"/>
                  </w14:solidFill>
                </w14:textFill>
              </w:rPr>
              <w:t>项目负责人</w:t>
            </w:r>
          </w:p>
        </w:tc>
        <w:tc>
          <w:tcPr>
            <w:tcW w:w="987" w:type="dxa"/>
            <w:vAlign w:val="center"/>
          </w:tcPr>
          <w:p>
            <w:pPr>
              <w:pStyle w:val="16"/>
              <w:spacing w:before="124"/>
              <w:ind w:left="2"/>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w w:val="99"/>
                <w:sz w:val="24"/>
                <w:szCs w:val="24"/>
                <w:highlight w:val="none"/>
                <w14:textFill>
                  <w14:solidFill>
                    <w14:schemeClr w14:val="tx1"/>
                  </w14:solidFill>
                </w14:textFill>
              </w:rPr>
              <w:t>1</w:t>
            </w:r>
          </w:p>
        </w:tc>
        <w:tc>
          <w:tcPr>
            <w:tcW w:w="3213" w:type="dxa"/>
            <w:tcBorders>
              <w:right w:val="single" w:color="000000" w:sz="4" w:space="0"/>
            </w:tcBorders>
            <w:vAlign w:val="center"/>
          </w:tcPr>
          <w:p>
            <w:pPr>
              <w:rPr>
                <w:rFonts w:ascii="宋体" w:hAnsi="宋体" w:cs="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高级工程师或以上</w:t>
            </w:r>
            <w:r>
              <w:rPr>
                <w:rFonts w:hint="eastAsia"/>
                <w:color w:val="000000" w:themeColor="text1"/>
                <w:sz w:val="24"/>
                <w:szCs w:val="24"/>
                <w:highlight w:val="none"/>
                <w14:textFill>
                  <w14:solidFill>
                    <w14:schemeClr w14:val="tx1"/>
                  </w14:solidFill>
                </w14:textFill>
              </w:rPr>
              <w:t>职称</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持交通运输部工程质量监督机构颁发的试验检测师证书（检测专业：</w:t>
            </w:r>
            <w:r>
              <w:rPr>
                <w:rFonts w:hint="eastAsia" w:ascii="宋体" w:hAnsi="宋体"/>
                <w:color w:val="000000" w:themeColor="text1"/>
                <w:sz w:val="24"/>
                <w:szCs w:val="24"/>
                <w:highlight w:val="none"/>
                <w:lang w:val="en-US" w:eastAsia="zh-CN"/>
                <w14:textFill>
                  <w14:solidFill>
                    <w14:schemeClr w14:val="tx1"/>
                  </w14:solidFill>
                </w14:textFill>
              </w:rPr>
              <w:t>交通</w:t>
            </w:r>
            <w:r>
              <w:rPr>
                <w:rFonts w:hint="eastAsia" w:ascii="宋体" w:hAnsi="宋体"/>
                <w:color w:val="000000" w:themeColor="text1"/>
                <w:sz w:val="24"/>
                <w:szCs w:val="24"/>
                <w:highlight w:val="none"/>
                <w14:textFill>
                  <w14:solidFill>
                    <w14:schemeClr w14:val="tx1"/>
                  </w14:solidFill>
                </w14:textFill>
              </w:rPr>
              <w:t>工程）。</w:t>
            </w:r>
          </w:p>
        </w:tc>
        <w:tc>
          <w:tcPr>
            <w:tcW w:w="3049" w:type="dxa"/>
            <w:vMerge w:val="restart"/>
            <w:tcBorders>
              <w:left w:val="single" w:color="000000" w:sz="4" w:space="0"/>
              <w:right w:val="single" w:color="000000" w:sz="2" w:space="0"/>
            </w:tcBorders>
          </w:tcPr>
          <w:p>
            <w:pPr>
              <w:pStyle w:val="16"/>
              <w:spacing w:before="22"/>
              <w:ind w:left="25"/>
              <w:rPr>
                <w:rFonts w:hint="default" w:hAnsi="宋体" w:eastAsia="宋体"/>
                <w:color w:val="000000" w:themeColor="text1"/>
                <w:sz w:val="24"/>
                <w:szCs w:val="24"/>
                <w:highlight w:val="none"/>
                <w:lang w:val="en-US" w:eastAsia="zh-CN"/>
                <w14:textFill>
                  <w14:solidFill>
                    <w14:schemeClr w14:val="tx1"/>
                  </w14:solidFill>
                </w14:textFill>
              </w:rPr>
            </w:pPr>
            <w:r>
              <w:rPr>
                <w:rFonts w:hint="eastAsia" w:hAnsi="宋体" w:cs="Times New Roman"/>
                <w:color w:val="000000" w:themeColor="text1"/>
                <w:w w:val="100"/>
                <w:kern w:val="2"/>
                <w:sz w:val="22"/>
                <w:szCs w:val="24"/>
                <w:highlight w:val="none"/>
                <w14:textFill>
                  <w14:solidFill>
                    <w14:schemeClr w14:val="tx1"/>
                  </w14:solidFill>
                </w14:textFill>
              </w:rPr>
              <w:t>无在岗项目（指目前未在其他项目上</w:t>
            </w:r>
            <w:r>
              <w:rPr>
                <w:rFonts w:hint="eastAsia" w:hAnsi="宋体" w:cs="Times New Roman"/>
                <w:color w:val="000000" w:themeColor="text1"/>
                <w:kern w:val="2"/>
                <w:sz w:val="22"/>
                <w:szCs w:val="24"/>
                <w:highlight w:val="none"/>
                <w14:textFill>
                  <w14:solidFill>
                    <w14:schemeClr w14:val="tx1"/>
                  </w14:solidFill>
                </w14:textFill>
              </w:rPr>
              <w:t>任职，或虽在其他项目上任职但本项目中标后能够从该项目撤离，或处于其他招标项目中标公示期或中标公示期已满但尚未签署合同但本项目中标后能够从该项目撤离）</w:t>
            </w:r>
            <w:r>
              <w:rPr>
                <w:rFonts w:hint="eastAsia" w:hAnsi="宋体" w:cs="Times New Roman"/>
                <w:color w:val="000000" w:themeColor="text1"/>
                <w:kern w:val="2"/>
                <w:sz w:val="22"/>
                <w:szCs w:val="24"/>
                <w:highlight w:val="none"/>
                <w:lang w:val="en-US" w:eastAsia="zh-CN"/>
                <w14:textFill>
                  <w14:solidFill>
                    <w14:schemeClr w14:val="tx1"/>
                  </w14:solidFill>
                </w14:textFill>
              </w:rPr>
              <w:t>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6" w:hRule="atLeast"/>
          <w:jc w:val="center"/>
        </w:trPr>
        <w:tc>
          <w:tcPr>
            <w:tcW w:w="1777" w:type="dxa"/>
            <w:tcBorders>
              <w:left w:val="single" w:color="000000" w:sz="2" w:space="0"/>
              <w:bottom w:val="single" w:color="auto" w:sz="4" w:space="0"/>
            </w:tcBorders>
            <w:vAlign w:val="center"/>
          </w:tcPr>
          <w:p>
            <w:pPr>
              <w:adjustRightInd/>
              <w:snapToGrid w:val="0"/>
              <w:ind w:left="0" w:leftChars="0" w:firstLine="0" w:firstLineChars="0"/>
              <w:jc w:val="center"/>
              <w:textAlignment w:val="auto"/>
              <w:rPr>
                <w:rFonts w:hAnsi="宋体"/>
                <w:color w:val="000000" w:themeColor="text1"/>
                <w:highlight w:val="none"/>
                <w14:textFill>
                  <w14:solidFill>
                    <w14:schemeClr w14:val="tx1"/>
                  </w14:solidFill>
                </w14:textFill>
              </w:rPr>
            </w:pPr>
            <w:r>
              <w:rPr>
                <w:rFonts w:hint="eastAsia" w:cs="Arial"/>
                <w:color w:val="000000" w:themeColor="text1"/>
                <w:sz w:val="22"/>
                <w:highlight w:val="none"/>
                <w14:textFill>
                  <w14:solidFill>
                    <w14:schemeClr w14:val="tx1"/>
                  </w14:solidFill>
                </w14:textFill>
              </w:rPr>
              <w:t>技术负责人</w:t>
            </w:r>
          </w:p>
        </w:tc>
        <w:tc>
          <w:tcPr>
            <w:tcW w:w="987" w:type="dxa"/>
            <w:tcBorders>
              <w:bottom w:val="single" w:color="auto" w:sz="4" w:space="0"/>
            </w:tcBorders>
            <w:vAlign w:val="center"/>
          </w:tcPr>
          <w:p>
            <w:pPr>
              <w:pStyle w:val="16"/>
              <w:spacing w:before="50" w:line="242" w:lineRule="exact"/>
              <w:ind w:left="2"/>
              <w:jc w:val="center"/>
              <w:rPr>
                <w:rFonts w:hAnsi="宋体"/>
                <w:color w:val="000000" w:themeColor="text1"/>
                <w:highlight w:val="none"/>
                <w14:textFill>
                  <w14:solidFill>
                    <w14:schemeClr w14:val="tx1"/>
                  </w14:solidFill>
                </w14:textFill>
              </w:rPr>
            </w:pPr>
            <w:r>
              <w:rPr>
                <w:rFonts w:hint="eastAsia" w:hAnsi="宋体"/>
                <w:color w:val="000000" w:themeColor="text1"/>
                <w:w w:val="99"/>
                <w:highlight w:val="none"/>
                <w14:textFill>
                  <w14:solidFill>
                    <w14:schemeClr w14:val="tx1"/>
                  </w14:solidFill>
                </w14:textFill>
              </w:rPr>
              <w:t>1</w:t>
            </w:r>
          </w:p>
        </w:tc>
        <w:tc>
          <w:tcPr>
            <w:tcW w:w="3213" w:type="dxa"/>
            <w:tcBorders>
              <w:bottom w:val="single" w:color="auto" w:sz="4" w:space="0"/>
              <w:right w:val="single" w:color="000000" w:sz="4" w:space="0"/>
            </w:tcBorders>
            <w:vAlign w:val="center"/>
          </w:tcPr>
          <w:p>
            <w:pPr>
              <w:widowControl/>
              <w:rPr>
                <w:rFonts w:ascii="宋体" w:hAnsi="宋体" w:cs="宋体"/>
                <w:b/>
                <w:color w:val="000000" w:themeColor="text1"/>
                <w:sz w:val="22"/>
                <w:szCs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高级工程师或以上职称，持交通运输部工程质量监督机构颁发的试验检测师证书（检测专业：</w:t>
            </w:r>
            <w:r>
              <w:rPr>
                <w:rFonts w:hint="eastAsia" w:ascii="宋体" w:hAnsi="宋体"/>
                <w:color w:val="000000" w:themeColor="text1"/>
                <w:sz w:val="22"/>
                <w:highlight w:val="none"/>
                <w:lang w:val="en-US" w:eastAsia="zh-CN"/>
                <w14:textFill>
                  <w14:solidFill>
                    <w14:schemeClr w14:val="tx1"/>
                  </w14:solidFill>
                </w14:textFill>
              </w:rPr>
              <w:t>交通</w:t>
            </w:r>
            <w:r>
              <w:rPr>
                <w:rFonts w:hint="eastAsia" w:ascii="宋体" w:hAnsi="宋体"/>
                <w:color w:val="000000" w:themeColor="text1"/>
                <w:sz w:val="22"/>
                <w:highlight w:val="none"/>
                <w14:textFill>
                  <w14:solidFill>
                    <w14:schemeClr w14:val="tx1"/>
                  </w14:solidFill>
                </w14:textFill>
              </w:rPr>
              <w:t>工程）。</w:t>
            </w:r>
          </w:p>
        </w:tc>
        <w:tc>
          <w:tcPr>
            <w:tcW w:w="3049" w:type="dxa"/>
            <w:vMerge w:val="continue"/>
            <w:tcBorders>
              <w:left w:val="single" w:color="000000" w:sz="4" w:space="0"/>
              <w:right w:val="single" w:color="000000" w:sz="2" w:space="0"/>
            </w:tcBorders>
          </w:tcPr>
          <w:p>
            <w:pPr>
              <w:rPr>
                <w:rFonts w:ascii="宋体" w:hAnsi="宋体" w:cs="宋体"/>
                <w:color w:val="000000" w:themeColor="text1"/>
                <w:szCs w:val="21"/>
                <w:highlight w:val="none"/>
                <w14:textFill>
                  <w14:solidFill>
                    <w14:schemeClr w14:val="tx1"/>
                  </w14:solidFill>
                </w14:textFill>
              </w:rPr>
            </w:pPr>
          </w:p>
        </w:tc>
      </w:tr>
    </w:tbl>
    <w:p>
      <w:pPr>
        <w:spacing w:line="300" w:lineRule="auto"/>
        <w:ind w:firstLine="180" w:firstLineChars="100"/>
        <w:rPr>
          <w:rFonts w:hint="eastAsia" w:ascii="宋体" w:hAnsi="宋体" w:eastAsia="宋体" w:cs="宋体"/>
          <w:color w:val="000000" w:themeColor="text1"/>
          <w:sz w:val="18"/>
          <w:szCs w:val="18"/>
          <w:highlight w:val="none"/>
          <w14:textFill>
            <w14:solidFill>
              <w14:schemeClr w14:val="tx1"/>
            </w14:solidFill>
          </w14:textFill>
        </w:rPr>
      </w:pPr>
    </w:p>
    <w:p>
      <w:pPr>
        <w:kinsoku w:val="0"/>
        <w:overflowPunct w:val="0"/>
        <w:snapToGrid w:val="0"/>
        <w:rPr>
          <w:rFonts w:hint="eastAsia" w:hAnsi="宋体"/>
          <w:b/>
          <w:bCs/>
          <w:snapToGrid w:val="0"/>
          <w:color w:val="000000" w:themeColor="text1"/>
          <w:szCs w:val="21"/>
          <w:highlight w:val="none"/>
          <w14:textFill>
            <w14:solidFill>
              <w14:schemeClr w14:val="tx1"/>
            </w14:solidFill>
          </w14:textFill>
        </w:rPr>
      </w:pPr>
    </w:p>
    <w:p>
      <w:pPr>
        <w:kinsoku w:val="0"/>
        <w:overflowPunct w:val="0"/>
        <w:snapToGrid w:val="0"/>
        <w:rPr>
          <w:rFonts w:hAnsi="宋体"/>
          <w:b/>
          <w:bCs/>
          <w:color w:val="000000" w:themeColor="text1"/>
          <w:szCs w:val="21"/>
          <w:highlight w:val="none"/>
          <w14:textFill>
            <w14:solidFill>
              <w14:schemeClr w14:val="tx1"/>
            </w14:solidFill>
          </w14:textFill>
        </w:rPr>
      </w:pPr>
      <w:r>
        <w:rPr>
          <w:rFonts w:hint="eastAsia" w:hAnsi="宋体"/>
          <w:b/>
          <w:bCs/>
          <w:snapToGrid w:val="0"/>
          <w:color w:val="000000" w:themeColor="text1"/>
          <w:szCs w:val="21"/>
          <w:highlight w:val="none"/>
          <w14:textFill>
            <w14:solidFill>
              <w14:schemeClr w14:val="tx1"/>
            </w14:solidFill>
          </w14:textFill>
        </w:rPr>
        <w:t>注：</w:t>
      </w:r>
      <w:r>
        <w:rPr>
          <w:rFonts w:hAnsi="宋体"/>
          <w:b/>
          <w:bCs/>
          <w:snapToGrid w:val="0"/>
          <w:color w:val="000000" w:themeColor="text1"/>
          <w:szCs w:val="21"/>
          <w:highlight w:val="none"/>
          <w14:textFill>
            <w14:solidFill>
              <w14:schemeClr w14:val="tx1"/>
            </w14:solidFill>
          </w14:textFill>
        </w:rPr>
        <w:t>1.</w:t>
      </w:r>
      <w:r>
        <w:rPr>
          <w:rFonts w:hint="eastAsia" w:hAnsi="宋体"/>
          <w:b/>
          <w:bCs/>
          <w:snapToGrid w:val="0"/>
          <w:color w:val="000000" w:themeColor="text1"/>
          <w:szCs w:val="21"/>
          <w:highlight w:val="none"/>
          <w14:textFill>
            <w14:solidFill>
              <w14:schemeClr w14:val="tx1"/>
            </w14:solidFill>
          </w14:textFill>
        </w:rPr>
        <w:t>本次招标仅审查项目负责人、技术负责人，不审查其他主要人员。</w:t>
      </w:r>
    </w:p>
    <w:p>
      <w:pPr>
        <w:numPr>
          <w:ilvl w:val="0"/>
          <w:numId w:val="2"/>
        </w:numPr>
        <w:spacing w:before="156" w:beforeLines="50" w:line="300" w:lineRule="auto"/>
        <w:rPr>
          <w:rFonts w:cs="Arial" w:asciiTheme="minorEastAsia" w:hAnsiTheme="minorEastAsia"/>
          <w:b/>
          <w:bCs/>
          <w:color w:val="000000" w:themeColor="text1"/>
          <w:szCs w:val="21"/>
          <w:highlight w:val="none"/>
          <w14:textFill>
            <w14:solidFill>
              <w14:schemeClr w14:val="tx1"/>
            </w14:solidFill>
          </w14:textFill>
        </w:rPr>
      </w:pPr>
      <w:r>
        <w:rPr>
          <w:rFonts w:hint="eastAsia" w:cs="Arial" w:asciiTheme="minorEastAsia" w:hAnsiTheme="minorEastAsia"/>
          <w:b/>
          <w:bCs/>
          <w:color w:val="000000" w:themeColor="text1"/>
          <w:szCs w:val="21"/>
          <w:highlight w:val="none"/>
          <w14:textFill>
            <w14:solidFill>
              <w14:schemeClr w14:val="tx1"/>
            </w14:solidFill>
          </w14:textFill>
        </w:rPr>
        <w:t>资格审查投标人如不满足上述强制性资格条件除其他技术人员中的任何一条，将被认为资格审查不合格；本次招标阶段其他技术人员不需要提供资料。</w:t>
      </w:r>
    </w:p>
    <w:p>
      <w:pPr>
        <w:spacing w:before="156" w:beforeLines="50" w:line="300" w:lineRule="auto"/>
        <w:rPr>
          <w:rFonts w:cs="Arial" w:asciiTheme="minorEastAsia" w:hAnsiTheme="minorEastAsia"/>
          <w:b/>
          <w:bCs/>
          <w:color w:val="000000" w:themeColor="text1"/>
          <w:szCs w:val="21"/>
          <w:highlight w:val="none"/>
          <w14:textFill>
            <w14:solidFill>
              <w14:schemeClr w14:val="tx1"/>
            </w14:solidFill>
          </w14:textFill>
        </w:rPr>
      </w:pPr>
      <w:r>
        <w:rPr>
          <w:rFonts w:cs="Arial" w:asciiTheme="minorEastAsia" w:hAnsiTheme="minorEastAsia"/>
          <w:b/>
          <w:bCs/>
          <w:color w:val="000000" w:themeColor="text1"/>
          <w:szCs w:val="21"/>
          <w:highlight w:val="none"/>
          <w14:textFill>
            <w14:solidFill>
              <w14:schemeClr w14:val="tx1"/>
            </w14:solidFill>
          </w14:textFill>
        </w:rPr>
        <w:t>3.项目负责人、技术负责人在整个招标及施工期内</w:t>
      </w:r>
      <w:r>
        <w:rPr>
          <w:rFonts w:hint="eastAsia" w:cs="Arial" w:asciiTheme="minorEastAsia" w:hAnsiTheme="minorEastAsia"/>
          <w:b/>
          <w:bCs/>
          <w:color w:val="000000" w:themeColor="text1"/>
          <w:szCs w:val="21"/>
          <w:highlight w:val="none"/>
          <w14:textFill>
            <w14:solidFill>
              <w14:schemeClr w14:val="tx1"/>
            </w14:solidFill>
          </w14:textFill>
        </w:rPr>
        <w:t>原则上</w:t>
      </w:r>
      <w:r>
        <w:rPr>
          <w:rFonts w:cs="Arial" w:asciiTheme="minorEastAsia" w:hAnsiTheme="minorEastAsia"/>
          <w:b/>
          <w:bCs/>
          <w:color w:val="000000" w:themeColor="text1"/>
          <w:szCs w:val="21"/>
          <w:highlight w:val="none"/>
          <w14:textFill>
            <w14:solidFill>
              <w14:schemeClr w14:val="tx1"/>
            </w14:solidFill>
          </w14:textFill>
        </w:rPr>
        <w:t>不允许更换，否则，招标人有权取消其中标资格，已签订合同的</w:t>
      </w:r>
      <w:r>
        <w:rPr>
          <w:rFonts w:hint="eastAsia" w:cs="Arial" w:asciiTheme="minorEastAsia" w:hAnsiTheme="minorEastAsia"/>
          <w:b/>
          <w:bCs/>
          <w:color w:val="000000" w:themeColor="text1"/>
          <w:szCs w:val="21"/>
          <w:highlight w:val="none"/>
          <w14:textFill>
            <w14:solidFill>
              <w14:schemeClr w14:val="tx1"/>
            </w14:solidFill>
          </w14:textFill>
        </w:rPr>
        <w:t>，</w:t>
      </w:r>
      <w:r>
        <w:rPr>
          <w:rFonts w:cs="Arial" w:asciiTheme="minorEastAsia" w:hAnsiTheme="minorEastAsia"/>
          <w:b/>
          <w:bCs/>
          <w:color w:val="000000" w:themeColor="text1"/>
          <w:szCs w:val="21"/>
          <w:highlight w:val="none"/>
          <w14:textFill>
            <w14:solidFill>
              <w14:schemeClr w14:val="tx1"/>
            </w14:solidFill>
          </w14:textFill>
        </w:rPr>
        <w:t>业主有权终止合同。</w:t>
      </w:r>
    </w:p>
    <w:p>
      <w:pPr>
        <w:widowControl/>
        <w:autoSpaceDE/>
        <w:autoSpaceDN/>
        <w:adjustRightInd/>
        <w:spacing w:beforeLines="50" w:after="120" w:line="360" w:lineRule="auto"/>
        <w:ind w:firstLine="0"/>
        <w:jc w:val="both"/>
        <w:textAlignment w:val="auto"/>
        <w:rPr>
          <w:rFonts w:hint="eastAsia" w:cs="Arial" w:asciiTheme="minorEastAsia" w:hAnsiTheme="minorEastAsia"/>
          <w:b/>
          <w:bCs/>
          <w:color w:val="000000" w:themeColor="text1"/>
          <w:szCs w:val="21"/>
          <w:highlight w:val="none"/>
          <w14:textFill>
            <w14:solidFill>
              <w14:schemeClr w14:val="tx1"/>
            </w14:solidFill>
          </w14:textFill>
        </w:rPr>
      </w:pPr>
      <w:r>
        <w:rPr>
          <w:rFonts w:hint="eastAsia" w:cs="Arial" w:asciiTheme="minorEastAsia" w:hAnsiTheme="minorEastAsia"/>
          <w:b/>
          <w:bCs/>
          <w:color w:val="000000" w:themeColor="text1"/>
          <w:szCs w:val="21"/>
          <w:highlight w:val="none"/>
          <w:lang w:val="en-US" w:eastAsia="zh-CN"/>
          <w14:textFill>
            <w14:solidFill>
              <w14:schemeClr w14:val="tx1"/>
            </w14:solidFill>
          </w14:textFill>
        </w:rPr>
        <w:t>4</w:t>
      </w:r>
      <w:r>
        <w:rPr>
          <w:rFonts w:hint="eastAsia" w:cs="Arial" w:asciiTheme="minorEastAsia" w:hAnsiTheme="minorEastAsia"/>
          <w:b/>
          <w:bCs/>
          <w:color w:val="000000" w:themeColor="text1"/>
          <w:szCs w:val="21"/>
          <w:highlight w:val="none"/>
          <w14:textFill>
            <w14:solidFill>
              <w14:schemeClr w14:val="tx1"/>
            </w14:solidFill>
          </w14:textFill>
        </w:rPr>
        <w:t>.如项目负责人、技术负责人目前仍在其他项目上任职，或目前虽未在其他项目上任职，但处于其他招标项目中标公示期或中标公示期已满但尚未签署合同的，则投标人应提供上述人员能够从该项目撤离的书面承诺。</w:t>
      </w:r>
    </w:p>
    <w:p>
      <w:pPr>
        <w:spacing w:line="300" w:lineRule="auto"/>
        <w:ind w:firstLine="0" w:firstLineChars="0"/>
        <w:rPr>
          <w:rFonts w:ascii="宋体" w:hAnsi="宋体" w:cs="Arial"/>
          <w:b/>
          <w:bCs/>
          <w:color w:val="000000" w:themeColor="text1"/>
          <w:sz w:val="18"/>
          <w:szCs w:val="18"/>
          <w:highlight w:val="none"/>
          <w14:textFill>
            <w14:solidFill>
              <w14:schemeClr w14:val="tx1"/>
            </w14:solidFill>
          </w14:textFill>
        </w:rPr>
      </w:pPr>
      <w:r>
        <w:rPr>
          <w:rFonts w:hint="eastAsia" w:ascii="宋体" w:hAnsi="宋体" w:cs="Arial"/>
          <w:b/>
          <w:bCs/>
          <w:color w:val="000000" w:themeColor="text1"/>
          <w:sz w:val="18"/>
          <w:szCs w:val="18"/>
          <w:highlight w:val="none"/>
          <w:lang w:val="en-US" w:eastAsia="zh-CN"/>
          <w14:textFill>
            <w14:solidFill>
              <w14:schemeClr w14:val="tx1"/>
            </w14:solidFill>
          </w14:textFill>
        </w:rPr>
        <w:t>5.</w:t>
      </w:r>
      <w:r>
        <w:rPr>
          <w:rFonts w:hint="eastAsia" w:ascii="宋体" w:hAnsi="宋体" w:cs="Arial"/>
          <w:b/>
          <w:bCs/>
          <w:color w:val="000000" w:themeColor="text1"/>
          <w:sz w:val="18"/>
          <w:szCs w:val="18"/>
          <w:highlight w:val="none"/>
          <w14:textFill>
            <w14:solidFill>
              <w14:schemeClr w14:val="tx1"/>
            </w14:solidFill>
          </w14:textFill>
        </w:rPr>
        <w:t>人员职称证书颁发单位应为各级人力资源和社会保障部门或在人力资源和社会保障部门进行过核准备案的单位，中央单位颁发的高级职称应是人力资源和社会保障部发布的中央单位高级职称评审委员会备案目录内的单位、专业、级别。非人力资源和社会保障部门颁布的职称证书投标人应提供颁发机构或获得的职称人员在人力资源和社会保障部门的备案证明文件，否则评标委员会将不予认可。</w:t>
      </w:r>
    </w:p>
    <w:p>
      <w:pPr>
        <w:pStyle w:val="2"/>
        <w:rPr>
          <w:rFonts w:hint="eastAsia"/>
          <w:color w:val="000000" w:themeColor="text1"/>
          <w:highlight w:val="none"/>
          <w14:textFill>
            <w14:solidFill>
              <w14:schemeClr w14:val="tx1"/>
            </w14:solidFill>
          </w14:textFill>
        </w:rPr>
      </w:pPr>
    </w:p>
    <w:p>
      <w:pPr>
        <w:widowControl/>
        <w:autoSpaceDE/>
        <w:autoSpaceDN/>
        <w:adjustRightInd/>
        <w:spacing w:line="360" w:lineRule="auto"/>
        <w:jc w:val="both"/>
        <w:textAlignment w:val="auto"/>
        <w:rPr>
          <w:rFonts w:hint="eastAsia" w:ascii="宋体" w:hAnsi="宋体" w:cs="Arial"/>
          <w:b/>
          <w:bCs/>
          <w:color w:val="000000" w:themeColor="text1"/>
          <w:sz w:val="21"/>
          <w:szCs w:val="21"/>
          <w:highlight w:val="none"/>
          <w14:textFill>
            <w14:solidFill>
              <w14:schemeClr w14:val="tx1"/>
            </w14:solidFill>
          </w14:textFill>
        </w:rPr>
      </w:pPr>
    </w:p>
    <w:p>
      <w:pPr>
        <w:spacing w:beforeLines="50" w:afterLines="50" w:line="360" w:lineRule="auto"/>
        <w:ind w:firstLine="0" w:firstLineChars="0"/>
        <w:jc w:val="center"/>
        <w:outlineLvl w:val="9"/>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pPr>
    </w:p>
    <w:p>
      <w:pPr>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br w:type="page"/>
      </w:r>
    </w:p>
    <w:p>
      <w:pPr>
        <w:pStyle w:val="3"/>
        <w:spacing w:before="0" w:after="0" w:line="360" w:lineRule="auto"/>
        <w:jc w:val="center"/>
        <w:rPr>
          <w:rFonts w:hint="eastAsia" w:asciiTheme="minorEastAsia" w:hAnsiTheme="minorEastAsia" w:eastAsiaTheme="minorEastAsia" w:cstheme="minorEastAsia"/>
          <w:bCs w:val="0"/>
          <w:snapToGrid/>
          <w:color w:val="000000" w:themeColor="text1"/>
          <w:kern w:val="10"/>
          <w:sz w:val="30"/>
          <w:szCs w:val="30"/>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kern w:val="10"/>
          <w:sz w:val="30"/>
          <w:szCs w:val="30"/>
          <w:highlight w:val="none"/>
          <w14:textFill>
            <w14:solidFill>
              <w14:schemeClr w14:val="tx1"/>
            </w14:solidFill>
          </w14:textFill>
        </w:rPr>
        <w:t>附录</w:t>
      </w:r>
      <w:r>
        <w:rPr>
          <w:rFonts w:hint="eastAsia" w:asciiTheme="minorEastAsia" w:hAnsiTheme="minorEastAsia" w:eastAsiaTheme="minorEastAsia" w:cstheme="minorEastAsia"/>
          <w:bCs w:val="0"/>
          <w:color w:val="000000" w:themeColor="text1"/>
          <w:kern w:val="10"/>
          <w:sz w:val="30"/>
          <w:szCs w:val="30"/>
          <w:highlight w:val="none"/>
          <w:lang w:val="en-US" w:eastAsia="zh-CN"/>
          <w14:textFill>
            <w14:solidFill>
              <w14:schemeClr w14:val="tx1"/>
            </w14:solidFill>
          </w14:textFill>
        </w:rPr>
        <w:t>5</w:t>
      </w:r>
      <w:r>
        <w:rPr>
          <w:rFonts w:hint="eastAsia" w:asciiTheme="minorEastAsia" w:hAnsiTheme="minorEastAsia" w:eastAsiaTheme="minorEastAsia" w:cstheme="minorEastAsia"/>
          <w:bCs w:val="0"/>
          <w:snapToGrid/>
          <w:color w:val="000000" w:themeColor="text1"/>
          <w:kern w:val="10"/>
          <w:sz w:val="30"/>
          <w:szCs w:val="30"/>
          <w:highlight w:val="none"/>
          <w14:textFill>
            <w14:solidFill>
              <w14:schemeClr w14:val="tx1"/>
            </w14:solidFill>
          </w14:textFill>
        </w:rPr>
        <w:t xml:space="preserve"> 资格审查条件（交通工具及试验检测设备最低要求）</w:t>
      </w:r>
    </w:p>
    <w:p>
      <w:pPr>
        <w:spacing w:beforeLines="50" w:line="300" w:lineRule="auto"/>
        <w:rPr>
          <w:rFonts w:cs="Arial" w:asciiTheme="minorEastAsia" w:hAnsiTheme="minorEastAsia" w:eastAsiaTheme="minorEastAsia"/>
          <w:color w:val="000000" w:themeColor="text1"/>
          <w:sz w:val="18"/>
          <w:szCs w:val="18"/>
          <w:highlight w:val="none"/>
          <w14:textFill>
            <w14:solidFill>
              <w14:schemeClr w14:val="tx1"/>
            </w14:solidFill>
          </w14:textFill>
        </w:rPr>
      </w:pPr>
    </w:p>
    <w:tbl>
      <w:tblPr>
        <w:tblStyle w:val="13"/>
        <w:tblW w:w="90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9"/>
        <w:gridCol w:w="3132"/>
        <w:gridCol w:w="1706"/>
        <w:gridCol w:w="2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2" w:hRule="atLeast"/>
          <w:tblHeader/>
          <w:jc w:val="center"/>
        </w:trPr>
        <w:tc>
          <w:tcPr>
            <w:tcW w:w="1539"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序号</w:t>
            </w:r>
          </w:p>
        </w:tc>
        <w:tc>
          <w:tcPr>
            <w:tcW w:w="3132"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设备名称</w:t>
            </w:r>
          </w:p>
        </w:tc>
        <w:tc>
          <w:tcPr>
            <w:tcW w:w="1706"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单  位</w:t>
            </w:r>
          </w:p>
        </w:tc>
        <w:tc>
          <w:tcPr>
            <w:tcW w:w="2624"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标段最低数量要求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39"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3132"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无最低要求</w:t>
            </w:r>
          </w:p>
        </w:tc>
        <w:tc>
          <w:tcPr>
            <w:tcW w:w="1706"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2624"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39"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3132"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1706"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2624"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39"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3132"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1706"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c>
          <w:tcPr>
            <w:tcW w:w="2624" w:type="dxa"/>
            <w:vAlign w:val="center"/>
          </w:tcPr>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tc>
      </w:tr>
    </w:tbl>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注：1.投标人应在合同谈判阶段按本表的最低要求为本标段配备主要机械设备和试验检测设备，在经采购人审批后作为投入本标段的主要设备且不允许更换。如投标人拟提供的设备数量和规格指标等不满足本表要求，采购人将取消其中标资格。</w:t>
      </w:r>
    </w:p>
    <w:p>
      <w:pPr>
        <w:adjustRightInd/>
        <w:snapToGrid w:val="0"/>
        <w:ind w:left="0" w:leftChars="0" w:firstLine="480" w:firstLineChars="200"/>
        <w:jc w:val="left"/>
        <w:textAlignment w:val="auto"/>
        <w:rPr>
          <w:rFonts w:hint="eastAsia" w:ascii="Times New Roman" w:hAnsi="Times New Roman" w:cs="Arial"/>
          <w:color w:val="000000" w:themeColor="text1"/>
          <w:sz w:val="24"/>
          <w:szCs w:val="24"/>
          <w:highlight w:val="none"/>
          <w14:textFill>
            <w14:solidFill>
              <w14:schemeClr w14:val="tx1"/>
            </w14:solidFill>
          </w14:textFill>
        </w:rPr>
      </w:pPr>
      <w:r>
        <w:rPr>
          <w:rFonts w:hint="eastAsia" w:ascii="Times New Roman" w:hAnsi="Times New Roman" w:cs="Arial"/>
          <w:color w:val="000000" w:themeColor="text1"/>
          <w:sz w:val="24"/>
          <w:szCs w:val="24"/>
          <w:highlight w:val="none"/>
          <w14:textFill>
            <w14:solidFill>
              <w14:schemeClr w14:val="tx1"/>
            </w14:solidFill>
          </w14:textFill>
        </w:rPr>
        <w:t>2.此表为最低要求，虽满足招标文件的要求，但仍不能满足项目需要时，投标人必须按照采购人要求无条件增加设备，确保施工顺利完成。</w:t>
      </w:r>
    </w:p>
    <w:p>
      <w:pPr>
        <w:adjustRightInd/>
        <w:snapToGrid w:val="0"/>
        <w:ind w:left="0" w:leftChars="0" w:firstLine="0" w:firstLineChars="0"/>
        <w:jc w:val="center"/>
        <w:textAlignment w:val="auto"/>
        <w:rPr>
          <w:rFonts w:hint="eastAsia" w:ascii="Times New Roman" w:hAnsi="Times New Roman" w:cs="Arial"/>
          <w:color w:val="000000" w:themeColor="text1"/>
          <w:sz w:val="24"/>
          <w:szCs w:val="24"/>
          <w:highlight w:val="none"/>
          <w14:textFill>
            <w14:solidFill>
              <w14:schemeClr w14:val="tx1"/>
            </w14:solidFill>
          </w14:textFill>
        </w:rPr>
      </w:pPr>
    </w:p>
    <w:p>
      <w:pPr>
        <w:pStyle w:val="4"/>
        <w:spacing w:before="0" w:after="0" w:line="420" w:lineRule="atLeast"/>
        <w:outlineLvl w:val="9"/>
        <w:rPr>
          <w:rFonts w:eastAsia="黑体" w:cs="Arial"/>
          <w:b w:val="0"/>
          <w:color w:val="000000" w:themeColor="text1"/>
          <w:sz w:val="24"/>
          <w:szCs w:val="24"/>
          <w:highlight w:val="none"/>
          <w14:textFill>
            <w14:solidFill>
              <w14:schemeClr w14:val="tx1"/>
            </w14:solidFill>
          </w14:textFill>
        </w:rPr>
        <w:sectPr>
          <w:footerReference r:id="rId4" w:type="first"/>
          <w:footerReference r:id="rId3" w:type="default"/>
          <w:pgSz w:w="11906" w:h="16838"/>
          <w:pgMar w:top="1418" w:right="1287" w:bottom="1440" w:left="1622" w:header="567" w:footer="992" w:gutter="0"/>
          <w:pgNumType w:fmt="decimal"/>
          <w:cols w:space="720" w:num="1"/>
          <w:titlePg/>
          <w:docGrid w:linePitch="312" w:charSpace="0"/>
        </w:sectPr>
      </w:pPr>
    </w:p>
    <w:p>
      <w:pPr>
        <w:spacing w:afterLines="50"/>
        <w:jc w:val="center"/>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第三章</w:t>
      </w:r>
      <w:r>
        <w:rPr>
          <w:rFonts w:hint="eastAsia" w:asciiTheme="minorEastAsia" w:hAnsiTheme="minorEastAsia" w:eastAsiaTheme="minorEastAsia" w:cstheme="minorEastAsia"/>
          <w:b/>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评标办法（综合评估法）</w:t>
      </w:r>
    </w:p>
    <w:p>
      <w:pPr>
        <w:spacing w:afterLines="50"/>
        <w:jc w:val="center"/>
        <w:outlineLvl w:val="1"/>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pPr>
      <w:bookmarkStart w:id="16" w:name="_Toc452799510"/>
      <w:bookmarkStart w:id="17" w:name="_Toc353742556"/>
      <w:bookmarkStart w:id="18" w:name="_Toc483268005"/>
      <w:bookmarkStart w:id="19" w:name="_Toc456819254"/>
      <w:bookmarkStart w:id="20" w:name="_Toc456819450"/>
      <w:bookmarkStart w:id="21" w:name="_Toc524597629"/>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评标办法前附表</w:t>
      </w:r>
      <w:bookmarkEnd w:id="16"/>
      <w:bookmarkEnd w:id="17"/>
      <w:bookmarkEnd w:id="18"/>
      <w:bookmarkEnd w:id="19"/>
      <w:bookmarkEnd w:id="20"/>
      <w:bookmarkEnd w:id="21"/>
    </w:p>
    <w:tbl>
      <w:tblPr>
        <w:tblStyle w:val="13"/>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60"/>
        <w:gridCol w:w="820"/>
        <w:gridCol w:w="820"/>
        <w:gridCol w:w="2111"/>
        <w:gridCol w:w="79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318" w:type="dxa"/>
            <w:gridSpan w:val="2"/>
            <w:vAlign w:val="center"/>
          </w:tcPr>
          <w:p>
            <w:pPr>
              <w:snapToGrid w:val="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条款号/名称</w:t>
            </w:r>
          </w:p>
        </w:tc>
        <w:tc>
          <w:tcPr>
            <w:tcW w:w="6895" w:type="dxa"/>
            <w:gridSpan w:val="5"/>
            <w:vAlign w:val="center"/>
          </w:tcPr>
          <w:p>
            <w:pPr>
              <w:snapToGrid w:val="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58" w:type="dxa"/>
            <w:vAlign w:val="center"/>
          </w:tcPr>
          <w:p>
            <w:pPr>
              <w:snapToGrid w:val="0"/>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360" w:type="dxa"/>
            <w:vAlign w:val="center"/>
          </w:tcPr>
          <w:p>
            <w:pPr>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评标办法</w:t>
            </w:r>
          </w:p>
        </w:tc>
        <w:tc>
          <w:tcPr>
            <w:tcW w:w="6895" w:type="dxa"/>
            <w:gridSpan w:val="5"/>
            <w:vAlign w:val="center"/>
          </w:tcPr>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综合评分相等时，评标委员会依次按照以下优先顺序推荐中标候选人或确定中标人：</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（1）评标价低的投标人优先；</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（2）以评标时采用的信用等级较高的的投标人优先；</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（3）商务和技术得分较高的投标人优先；</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文件下载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时间较早的优先。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2.1.1</w:t>
            </w: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2.1.3</w:t>
            </w:r>
          </w:p>
        </w:tc>
        <w:tc>
          <w:tcPr>
            <w:tcW w:w="1360"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形式评审与响应性评审标准</w:t>
            </w:r>
          </w:p>
        </w:tc>
        <w:tc>
          <w:tcPr>
            <w:tcW w:w="6895" w:type="dxa"/>
            <w:gridSpan w:val="5"/>
            <w:vAlign w:val="center"/>
          </w:tcPr>
          <w:p>
            <w:pPr>
              <w:snapToGrid w:val="0"/>
              <w:spacing w:line="288" w:lineRule="auto"/>
              <w:jc w:val="both"/>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b w:val="0"/>
                <w:color w:val="000000" w:themeColor="text1"/>
                <w:sz w:val="21"/>
                <w:szCs w:val="21"/>
                <w:highlight w:val="none"/>
                <w14:textFill>
                  <w14:solidFill>
                    <w14:schemeClr w14:val="tx1"/>
                  </w14:solidFill>
                </w14:textFill>
              </w:rPr>
              <w:t>第一个信封（商务及技术文件）评审标准：</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（1）投标文件按照招标文件规定的格式、内容填写，字迹清晰可辩：</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a.投标函按招标文件规定填报了项目名称、标段号、补遗书编号（如有）、服务期限、质量要求及安全目标；</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b.投标文件组成齐全完整，内容均按规定填写。</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bCs w:val="0"/>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投标文件上法定代表人签字</w:t>
            </w:r>
            <w:r>
              <w:rPr>
                <w:rFonts w:hint="eastAsia" w:asciiTheme="minorEastAsia" w:hAnsiTheme="minorEastAsia" w:eastAsiaTheme="minorEastAsia" w:cstheme="minorEastAsia"/>
                <w:b w:val="0"/>
                <w:bCs w:val="0"/>
                <w:color w:val="000000" w:themeColor="text1"/>
                <w:spacing w:val="0"/>
                <w:sz w:val="21"/>
                <w:szCs w:val="21"/>
                <w:highlight w:val="none"/>
                <w14:textFill>
                  <w14:solidFill>
                    <w14:schemeClr w14:val="tx1"/>
                  </w14:solidFill>
                </w14:textFill>
              </w:rPr>
              <w:t>或其委托代理人的签字</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投标人的单位章齐全，符合招标文件规定；</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（3）投标人按照招标文件的规定提供了投标保证金：</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a.投标保证金金额符合招标文件规定的金额，且投标保证金有效期不少于投标有效期；</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b.若投标保证金采用现金或支票形式提交，投标人应在递交投标文件截止时间之前，将投标保证金由投标人的基本账户转入招标人指定账户；</w:t>
            </w:r>
          </w:p>
          <w:p>
            <w:pPr>
              <w:snapToGrid w:val="0"/>
              <w:spacing w:line="288" w:lineRule="auto"/>
              <w:ind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若投标保证金采用电子保函（含银行保函等）形式提交，电子保函开具的方式、保函有效期、提供的证明文件等均满足招标文件要求。</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（4）投标人法定代表人授权委托代理人签署投标文件的，须提交授权委托书，且授权人和被授权人均在授权委托书上签名，未使用印章、签名章或其他电子制版签名代替。</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（5）提供了法定代表人身份证明，</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且法定代表人身份证明上</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签</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字</w:t>
            </w:r>
            <w:r>
              <w:rPr>
                <w:rFonts w:hint="default"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盖章的地方符合招标文件投标人须知3.7.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的规定</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w:t>
            </w:r>
          </w:p>
          <w:p>
            <w:pPr>
              <w:tabs>
                <w:tab w:val="left" w:pos="3060"/>
              </w:tabs>
              <w:snapToGrid w:val="0"/>
              <w:spacing w:line="288" w:lineRule="auto"/>
              <w:ind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投标人以联合体形式投标时，联合体满足招标文件的要求：</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a.未进行资格预审的，投标人按照招标文件提供的格式签订了联合体协议书，明确各方承担连带责任，并明确了联合体牵头人；</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b.已进行资格预审的，投标人提供了资格预审申请文件中所附的联合体协议书复印件，且通过资格预审后的联合体无成员增减或更换的情况。</w:t>
            </w:r>
          </w:p>
          <w:p>
            <w:pPr>
              <w:tabs>
                <w:tab w:val="left" w:pos="3060"/>
              </w:tabs>
              <w:snapToGrid w:val="0"/>
              <w:spacing w:line="288" w:lineRule="auto"/>
              <w:ind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）投标人如有分包计划，符合招标文件第二章“投标人须知” 第1.11款规定，且按招标文件第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章“投标文件格式”的要求填写了“拟分包项目情况表”。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不适用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）同一投标人未提交两个以上不同的投标文件，但招标文件要求提交备选投标的除外。</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）投标文件中未出现有关投标报价的内容。</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）投标文件载明的招标项目完成期限未超过招标文件规定的时限。</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）投标文件对招标文件的实质性要求和条件作出响应。</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）权利义务符合招标文件规定：</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a.投标人应接受招标文件规定的风险划分原则，未提出新的风险划分办法；</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b.投标人未增加发包人的责任范围，或减少投标人义务；</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c.投标人未提出不同的工程验收、计量、支付办法；</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d.投标人对合同纠纷、事故处理办法未提出异议；</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e.投标人在投标活动中无欺诈行为；</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f.投标人未对合同条款有重要保留。</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）投标文件正、副本份数符合招标文件第二章“投标人须知”第3.7.4项规定。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不适用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snapToGrid w:val="0"/>
              <w:spacing w:line="288" w:lineRule="auto"/>
              <w:ind w:firstLine="210" w:firstLineChars="100"/>
              <w:jc w:val="both"/>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）投标人在开标记录表中确认的来自投标人自行填写进“电子交易平台”中开标信息板块中的内容（含：投标保证金递交情况、工程质量、安全目标、工期、主要人员等）与投标文件中的相应内容一致。</w:t>
            </w:r>
          </w:p>
          <w:p>
            <w:pPr>
              <w:tabs>
                <w:tab w:val="left" w:pos="3060"/>
              </w:tabs>
              <w:snapToGrid w:val="0"/>
              <w:spacing w:line="288" w:lineRule="auto"/>
              <w:ind w:firstLine="210" w:firstLineChars="1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snapToGrid w:val="0"/>
              <w:spacing w:line="288" w:lineRule="auto"/>
              <w:jc w:val="both"/>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b w:val="0"/>
                <w:color w:val="000000" w:themeColor="text1"/>
                <w:sz w:val="21"/>
                <w:szCs w:val="21"/>
                <w:highlight w:val="none"/>
                <w14:textFill>
                  <w14:solidFill>
                    <w14:schemeClr w14:val="tx1"/>
                  </w14:solidFill>
                </w14:textFill>
              </w:rPr>
              <w:t>第二个信封（报价文件）评审标准：</w:t>
            </w:r>
          </w:p>
          <w:p>
            <w:pPr>
              <w:snapToGrid w:val="0"/>
              <w:spacing w:line="288" w:lineRule="auto"/>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（1）投标文件按照招标文件规定的格式、内容填写，字迹清晰可辨，内容齐全完整：</w:t>
            </w:r>
          </w:p>
          <w:p>
            <w:pPr>
              <w:snapToGrid w:val="0"/>
              <w:spacing w:line="288" w:lineRule="auto"/>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a．投标函按照招标文件规定填报了项目名称、标段号、补遗书编号（如有）、投标价（包括大写金额和小写金额）；</w:t>
            </w:r>
          </w:p>
          <w:p>
            <w:pPr>
              <w:snapToGrid w:val="0"/>
              <w:spacing w:line="288" w:lineRule="auto"/>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b．已标价报价清单说明文字与招标文件规定一致，未进行实质性修改和删减；</w:t>
            </w:r>
          </w:p>
          <w:p>
            <w:pPr>
              <w:snapToGrid w:val="0"/>
              <w:spacing w:line="288" w:lineRule="auto"/>
              <w:jc w:val="both"/>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c．投标文件组成齐全完整，内容均按规定填写。</w:t>
            </w:r>
          </w:p>
          <w:p>
            <w:pPr>
              <w:pStyle w:val="15"/>
              <w:jc w:val="both"/>
              <w:rPr>
                <w:rFonts w:hAnsi="Times New Roman"/>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14:textFill>
                  <w14:solidFill>
                    <w14:schemeClr w14:val="tx1"/>
                  </w14:solidFill>
                </w14:textFill>
              </w:rPr>
              <w:t>）投标文件上法定代表人或其委托代理人的签字、投标人的单位章盖章齐全，符合招标文件规定。</w:t>
            </w:r>
            <w:r>
              <w:rPr>
                <w:b/>
                <w:color w:val="000000" w:themeColor="text1"/>
                <w:highlight w:val="none"/>
                <w14:textFill>
                  <w14:solidFill>
                    <w14:schemeClr w14:val="tx1"/>
                  </w14:solidFill>
                </w14:textFill>
              </w:rPr>
              <w:t>费用报价表</w:t>
            </w:r>
            <w:r>
              <w:rPr>
                <w:rFonts w:hint="eastAsia"/>
                <w:b/>
                <w:color w:val="000000" w:themeColor="text1"/>
                <w:highlight w:val="none"/>
                <w14:textFill>
                  <w14:solidFill>
                    <w14:schemeClr w14:val="tx1"/>
                  </w14:solidFill>
                </w14:textFill>
              </w:rPr>
              <w:t>由投标人法定代表人或其授权委托人逐页签字并加盖投标人公章。</w:t>
            </w:r>
            <w:r>
              <w:rPr>
                <w:rFonts w:hint="eastAsia" w:hAnsi="宋体"/>
                <w:b/>
                <w:color w:val="000000" w:themeColor="text1"/>
                <w:szCs w:val="21"/>
                <w:highlight w:val="none"/>
                <w14:textFill>
                  <w14:solidFill>
                    <w14:schemeClr w14:val="tx1"/>
                  </w14:solidFill>
                </w14:textFill>
              </w:rPr>
              <w:t>若由授权代理人签署，报价函签署的日期应在授权委托书委托期限以内。</w:t>
            </w:r>
          </w:p>
          <w:p>
            <w:pPr>
              <w:pStyle w:val="15"/>
              <w:jc w:val="both"/>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3</w:t>
            </w:r>
            <w:r>
              <w:rPr>
                <w:rFonts w:hint="eastAsia" w:hAnsi="Times New Roman"/>
                <w:color w:val="000000" w:themeColor="text1"/>
                <w:sz w:val="21"/>
                <w:szCs w:val="21"/>
                <w:highlight w:val="none"/>
                <w14:textFill>
                  <w14:solidFill>
                    <w14:schemeClr w14:val="tx1"/>
                  </w14:solidFill>
                </w14:textFill>
              </w:rPr>
              <w:t>）投标总额报价未超过招标文件设定的最高投标总额限价，同时设置细目限价的细目报价未超过招标文件设定的细目最高投标限价。</w:t>
            </w:r>
          </w:p>
          <w:p>
            <w:pPr>
              <w:pStyle w:val="15"/>
              <w:jc w:val="both"/>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4</w:t>
            </w:r>
            <w:r>
              <w:rPr>
                <w:rFonts w:hint="eastAsia" w:hAnsi="Times New Roman"/>
                <w:color w:val="000000" w:themeColor="text1"/>
                <w:sz w:val="21"/>
                <w:szCs w:val="21"/>
                <w:highlight w:val="none"/>
                <w14:textFill>
                  <w14:solidFill>
                    <w14:schemeClr w14:val="tx1"/>
                  </w14:solidFill>
                </w14:textFill>
              </w:rPr>
              <w:t>）投标报价的大写金额能够确定具体数值。</w:t>
            </w:r>
          </w:p>
          <w:p>
            <w:pPr>
              <w:pStyle w:val="15"/>
              <w:jc w:val="both"/>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5</w:t>
            </w:r>
            <w:r>
              <w:rPr>
                <w:rFonts w:hint="eastAsia" w:hAnsi="Times New Roman"/>
                <w:color w:val="000000" w:themeColor="text1"/>
                <w:sz w:val="21"/>
                <w:szCs w:val="21"/>
                <w:highlight w:val="none"/>
                <w14:textFill>
                  <w14:solidFill>
                    <w14:schemeClr w14:val="tx1"/>
                  </w14:solidFill>
                </w14:textFill>
              </w:rPr>
              <w:t>）同一投标人未提交两个以上不同的投标报价，但招标文件要求提交备选投标的除外。</w:t>
            </w:r>
          </w:p>
          <w:p>
            <w:pPr>
              <w:snapToGrid w:val="0"/>
              <w:spacing w:line="288" w:lineRule="auto"/>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）投标文件正、副本份数符合招标文件第二章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投标人须知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3.7.4</w:t>
            </w:r>
            <w:r>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t>项规定。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不适用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rPr>
                <w:rFonts w:hint="eastAsia" w:hAnsi="Calibr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7）投标人在开标记录表中确认的来自投标人自行填写进“电子交易平台”中开标信息板块中的投标总报价与投标函中的投标总报价大写金额一致。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58"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2.1.2</w:t>
            </w:r>
          </w:p>
        </w:tc>
        <w:tc>
          <w:tcPr>
            <w:tcW w:w="1360"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资格评审标准</w:t>
            </w:r>
          </w:p>
        </w:tc>
        <w:tc>
          <w:tcPr>
            <w:tcW w:w="6895" w:type="dxa"/>
            <w:gridSpan w:val="5"/>
            <w:vAlign w:val="center"/>
          </w:tcPr>
          <w:p>
            <w:pPr>
              <w:tabs>
                <w:tab w:val="left" w:pos="3060"/>
              </w:tabs>
              <w:spacing w:line="320" w:lineRule="exact"/>
              <w:ind w:firstLine="100" w:firstLineChars="4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（1）投标人具备有效的营业执照、组织机构代码证、资质证书和基本账户开户许可证；</w:t>
            </w:r>
          </w:p>
          <w:p>
            <w:pPr>
              <w:tabs>
                <w:tab w:val="left" w:pos="3060"/>
              </w:tabs>
              <w:spacing w:line="320" w:lineRule="exact"/>
              <w:ind w:firstLine="100" w:firstLineChars="4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（2）投标人的资质等级符合招标文件规定；</w:t>
            </w:r>
          </w:p>
          <w:p>
            <w:pPr>
              <w:tabs>
                <w:tab w:val="left" w:pos="3060"/>
              </w:tabs>
              <w:spacing w:line="320" w:lineRule="exact"/>
              <w:ind w:firstLine="100" w:firstLineChars="4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（3）投标人的类似项目业绩符合招标文件规定；</w:t>
            </w:r>
          </w:p>
          <w:p>
            <w:pPr>
              <w:tabs>
                <w:tab w:val="left" w:pos="3060"/>
              </w:tabs>
              <w:spacing w:line="320" w:lineRule="exact"/>
              <w:ind w:firstLine="100" w:firstLineChars="4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（4）投标人的信誉符合招标文件规定；</w:t>
            </w:r>
          </w:p>
          <w:p>
            <w:pPr>
              <w:tabs>
                <w:tab w:val="left" w:pos="3060"/>
              </w:tabs>
              <w:spacing w:line="320" w:lineRule="exact"/>
              <w:ind w:firstLine="100" w:firstLineChars="4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（5）投标人的项目负责人资格符合招标文件规定； </w:t>
            </w:r>
          </w:p>
          <w:p>
            <w:pPr>
              <w:tabs>
                <w:tab w:val="left" w:pos="3060"/>
              </w:tabs>
              <w:spacing w:line="320" w:lineRule="exact"/>
              <w:ind w:firstLine="100" w:firstLineChars="4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（6）投标人的其他要求符合招标文件规定；</w:t>
            </w:r>
          </w:p>
          <w:p>
            <w:pP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（7）投标人不存在第二章“投标人须知”第1.4.3项或第1.4.4项规定的任何一种情形。</w:t>
            </w:r>
          </w:p>
          <w:p>
            <w:pPr>
              <w:tabs>
                <w:tab w:val="left" w:pos="3060"/>
              </w:tabs>
              <w:spacing w:line="320" w:lineRule="exact"/>
              <w:ind w:firstLine="100" w:firstLineChars="48"/>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w:t>
            </w:r>
          </w:p>
        </w:tc>
        <w:tc>
          <w:tcPr>
            <w:tcW w:w="1360" w:type="dxa"/>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分值构成</w:t>
            </w:r>
          </w:p>
        </w:tc>
        <w:tc>
          <w:tcPr>
            <w:tcW w:w="6895" w:type="dxa"/>
            <w:gridSpan w:val="5"/>
            <w:vAlign w:val="center"/>
          </w:tcPr>
          <w:p>
            <w:pPr>
              <w:snapToGrid w:val="0"/>
              <w:spacing w:line="288"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第一信封（商务及技术文件）评分分值构成：</w:t>
            </w:r>
          </w:p>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技术建议书：</w:t>
            </w:r>
            <w:r>
              <w:rPr>
                <w:rFonts w:hint="eastAsia" w:ascii="Times New Roman" w:cs="Times New Roman" w:hAnsiTheme="minorEastAsia"/>
                <w:color w:val="000000" w:themeColor="text1"/>
                <w:szCs w:val="21"/>
                <w:highlight w:val="none"/>
                <w:lang w:val="en-US" w:eastAsia="zh-CN"/>
                <w14:textFill>
                  <w14:solidFill>
                    <w14:schemeClr w14:val="tx1"/>
                  </w14:solidFill>
                </w14:textFill>
              </w:rPr>
              <w:t>35</w:t>
            </w:r>
            <w:r>
              <w:rPr>
                <w:rFonts w:ascii="Times New Roman" w:cs="Times New Roman" w:hAnsiTheme="minorEastAsia"/>
                <w:color w:val="000000" w:themeColor="text1"/>
                <w:szCs w:val="21"/>
                <w:highlight w:val="none"/>
                <w14:textFill>
                  <w14:solidFill>
                    <w14:schemeClr w14:val="tx1"/>
                  </w14:solidFill>
                </w14:textFill>
              </w:rPr>
              <w:t>分</w:t>
            </w:r>
          </w:p>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主</w:t>
            </w:r>
            <w:r>
              <w:rPr>
                <w:rFonts w:hint="eastAsia" w:ascii="Times New Roman" w:cs="Times New Roman" w:hAnsiTheme="minorEastAsia"/>
                <w:color w:val="000000" w:themeColor="text1"/>
                <w:szCs w:val="21"/>
                <w:highlight w:val="none"/>
                <w:lang w:val="en-US" w:eastAsia="zh-CN"/>
                <w14:textFill>
                  <w14:solidFill>
                    <w14:schemeClr w14:val="tx1"/>
                  </w14:solidFill>
                </w14:textFill>
              </w:rPr>
              <w:t xml:space="preserve">  </w:t>
            </w:r>
            <w:r>
              <w:rPr>
                <w:rFonts w:ascii="Times New Roman" w:cs="Times New Roman" w:hAnsiTheme="minorEastAsia"/>
                <w:color w:val="000000" w:themeColor="text1"/>
                <w:szCs w:val="21"/>
                <w:highlight w:val="none"/>
                <w14:textFill>
                  <w14:solidFill>
                    <w14:schemeClr w14:val="tx1"/>
                  </w14:solidFill>
                </w14:textFill>
              </w:rPr>
              <w:t>要人员：</w:t>
            </w:r>
            <w:r>
              <w:rPr>
                <w:rFonts w:hint="eastAsia" w:ascii="Times New Roman" w:cs="Times New Roman" w:hAnsiTheme="minorEastAsia"/>
                <w:color w:val="000000" w:themeColor="text1"/>
                <w:szCs w:val="21"/>
                <w:highlight w:val="none"/>
                <w:lang w:val="en-US" w:eastAsia="zh-CN"/>
                <w14:textFill>
                  <w14:solidFill>
                    <w14:schemeClr w14:val="tx1"/>
                  </w14:solidFill>
                </w14:textFill>
              </w:rPr>
              <w:t>25</w:t>
            </w:r>
            <w:r>
              <w:rPr>
                <w:rFonts w:ascii="Times New Roman" w:cs="Times New Roman" w:hAnsiTheme="minorEastAsia"/>
                <w:color w:val="000000" w:themeColor="text1"/>
                <w:szCs w:val="21"/>
                <w:highlight w:val="none"/>
                <w14:textFill>
                  <w14:solidFill>
                    <w14:schemeClr w14:val="tx1"/>
                  </w14:solidFill>
                </w14:textFill>
              </w:rPr>
              <w:t>分</w:t>
            </w:r>
          </w:p>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 xml:space="preserve">业   </w:t>
            </w:r>
            <w:r>
              <w:rPr>
                <w:rFonts w:hint="eastAsia" w:ascii="Times New Roman" w:cs="Times New Roman" w:hAnsiTheme="minorEastAsia"/>
                <w:color w:val="000000" w:themeColor="text1"/>
                <w:szCs w:val="21"/>
                <w:highlight w:val="none"/>
                <w:lang w:val="en-US" w:eastAsia="zh-CN"/>
                <w14:textFill>
                  <w14:solidFill>
                    <w14:schemeClr w14:val="tx1"/>
                  </w14:solidFill>
                </w14:textFill>
              </w:rPr>
              <w:t xml:space="preserve">  </w:t>
            </w:r>
            <w:r>
              <w:rPr>
                <w:rFonts w:ascii="Times New Roman" w:cs="Times New Roman" w:hAnsiTheme="minorEastAsia"/>
                <w:color w:val="000000" w:themeColor="text1"/>
                <w:szCs w:val="21"/>
                <w:highlight w:val="none"/>
                <w14:textFill>
                  <w14:solidFill>
                    <w14:schemeClr w14:val="tx1"/>
                  </w14:solidFill>
                </w14:textFill>
              </w:rPr>
              <w:t xml:space="preserve"> 绩：</w:t>
            </w:r>
            <w:r>
              <w:rPr>
                <w:rFonts w:hint="eastAsia" w:ascii="Times New Roman" w:cs="Times New Roman" w:hAnsiTheme="minorEastAsia"/>
                <w:color w:val="000000" w:themeColor="text1"/>
                <w:szCs w:val="21"/>
                <w:highlight w:val="none"/>
                <w:lang w:val="en-US" w:eastAsia="zh-CN"/>
                <w14:textFill>
                  <w14:solidFill>
                    <w14:schemeClr w14:val="tx1"/>
                  </w14:solidFill>
                </w14:textFill>
              </w:rPr>
              <w:t>25</w:t>
            </w:r>
            <w:r>
              <w:rPr>
                <w:rFonts w:ascii="Times New Roman" w:cs="Times New Roman" w:hAnsiTheme="minorEastAsia"/>
                <w:color w:val="000000" w:themeColor="text1"/>
                <w:szCs w:val="21"/>
                <w:highlight w:val="none"/>
                <w14:textFill>
                  <w14:solidFill>
                    <w14:schemeClr w14:val="tx1"/>
                  </w14:solidFill>
                </w14:textFill>
              </w:rPr>
              <w:t>分</w:t>
            </w:r>
          </w:p>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信</w:t>
            </w:r>
            <w:r>
              <w:rPr>
                <w:rFonts w:hint="eastAsia" w:ascii="Times New Roman" w:cs="Times New Roman" w:hAnsiTheme="minorEastAsia"/>
                <w:color w:val="000000" w:themeColor="text1"/>
                <w:szCs w:val="21"/>
                <w:highlight w:val="none"/>
                <w:lang w:val="en-US" w:eastAsia="zh-CN"/>
                <w14:textFill>
                  <w14:solidFill>
                    <w14:schemeClr w14:val="tx1"/>
                  </w14:solidFill>
                </w14:textFill>
              </w:rPr>
              <w:t xml:space="preserve"> </w:t>
            </w:r>
            <w:r>
              <w:rPr>
                <w:rFonts w:ascii="Times New Roman" w:cs="Times New Roman" w:hAnsiTheme="minorEastAsia"/>
                <w:color w:val="000000" w:themeColor="text1"/>
                <w:szCs w:val="21"/>
                <w:highlight w:val="none"/>
                <w14:textFill>
                  <w14:solidFill>
                    <w14:schemeClr w14:val="tx1"/>
                  </w14:solidFill>
                </w14:textFill>
              </w:rPr>
              <w:t>用</w:t>
            </w:r>
            <w:r>
              <w:rPr>
                <w:rFonts w:hint="eastAsia" w:ascii="Times New Roman" w:cs="Times New Roman" w:hAnsiTheme="minorEastAsia"/>
                <w:color w:val="000000" w:themeColor="text1"/>
                <w:szCs w:val="21"/>
                <w:highlight w:val="none"/>
                <w:lang w:val="en-US" w:eastAsia="zh-CN"/>
                <w14:textFill>
                  <w14:solidFill>
                    <w14:schemeClr w14:val="tx1"/>
                  </w14:solidFill>
                </w14:textFill>
              </w:rPr>
              <w:t xml:space="preserve"> </w:t>
            </w:r>
            <w:r>
              <w:rPr>
                <w:rFonts w:ascii="Times New Roman" w:cs="Times New Roman" w:hAnsiTheme="minorEastAsia"/>
                <w:color w:val="000000" w:themeColor="text1"/>
                <w:szCs w:val="21"/>
                <w:highlight w:val="none"/>
                <w14:textFill>
                  <w14:solidFill>
                    <w14:schemeClr w14:val="tx1"/>
                  </w14:solidFill>
                </w14:textFill>
              </w:rPr>
              <w:t>等级：</w:t>
            </w:r>
            <w:r>
              <w:rPr>
                <w:rFonts w:hint="eastAsia" w:ascii="Times New Roman" w:cs="Times New Roman" w:hAnsiTheme="minorEastAsia"/>
                <w:color w:val="000000" w:themeColor="text1"/>
                <w:szCs w:val="21"/>
                <w:highlight w:val="none"/>
                <w14:textFill>
                  <w14:solidFill>
                    <w14:schemeClr w14:val="tx1"/>
                  </w14:solidFill>
                </w14:textFill>
              </w:rPr>
              <w:t>3</w:t>
            </w:r>
            <w:r>
              <w:rPr>
                <w:rFonts w:ascii="Times New Roman" w:cs="Times New Roman" w:hAnsiTheme="minorEastAsia"/>
                <w:color w:val="000000" w:themeColor="text1"/>
                <w:szCs w:val="21"/>
                <w:highlight w:val="none"/>
                <w14:textFill>
                  <w14:solidFill>
                    <w14:schemeClr w14:val="tx1"/>
                  </w14:solidFill>
                </w14:textFill>
              </w:rPr>
              <w:t>分</w:t>
            </w:r>
          </w:p>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hint="eastAsia" w:ascii="Times New Roman" w:cs="Times New Roman" w:hAnsiTheme="minorEastAsia"/>
                <w:color w:val="000000" w:themeColor="text1"/>
                <w:szCs w:val="21"/>
                <w:highlight w:val="none"/>
                <w14:textFill>
                  <w14:solidFill>
                    <w14:schemeClr w14:val="tx1"/>
                  </w14:solidFill>
                </w14:textFill>
              </w:rPr>
              <w:t>其</w:t>
            </w:r>
            <w:r>
              <w:rPr>
                <w:rFonts w:hint="eastAsia" w:ascii="Times New Roman" w:cs="Times New Roman" w:hAnsiTheme="minorEastAsia"/>
                <w:color w:val="000000" w:themeColor="text1"/>
                <w:szCs w:val="21"/>
                <w:highlight w:val="none"/>
                <w:lang w:val="en-US" w:eastAsia="zh-CN"/>
                <w14:textFill>
                  <w14:solidFill>
                    <w14:schemeClr w14:val="tx1"/>
                  </w14:solidFill>
                </w14:textFill>
              </w:rPr>
              <w:t xml:space="preserve">      </w:t>
            </w:r>
            <w:r>
              <w:rPr>
                <w:rFonts w:hint="eastAsia" w:ascii="Times New Roman" w:cs="Times New Roman" w:hAnsiTheme="minorEastAsia"/>
                <w:color w:val="000000" w:themeColor="text1"/>
                <w:szCs w:val="21"/>
                <w:highlight w:val="none"/>
                <w14:textFill>
                  <w14:solidFill>
                    <w14:schemeClr w14:val="tx1"/>
                  </w14:solidFill>
                </w14:textFill>
              </w:rPr>
              <w:t>他：</w:t>
            </w:r>
            <w:r>
              <w:rPr>
                <w:rFonts w:hint="eastAsia" w:ascii="Times New Roman" w:cs="Times New Roman" w:hAnsiTheme="minorEastAsia"/>
                <w:color w:val="000000" w:themeColor="text1"/>
                <w:szCs w:val="21"/>
                <w:highlight w:val="none"/>
                <w:lang w:val="en-US" w:eastAsia="zh-CN"/>
                <w14:textFill>
                  <w14:solidFill>
                    <w14:schemeClr w14:val="tx1"/>
                  </w14:solidFill>
                </w14:textFill>
              </w:rPr>
              <w:t>2</w:t>
            </w:r>
            <w:r>
              <w:rPr>
                <w:rFonts w:ascii="Times New Roman" w:cs="Times New Roman" w:hAnsiTheme="minorEastAsia"/>
                <w:color w:val="000000" w:themeColor="text1"/>
                <w:szCs w:val="21"/>
                <w:highlight w:val="none"/>
                <w14:textFill>
                  <w14:solidFill>
                    <w14:schemeClr w14:val="tx1"/>
                  </w14:solidFill>
                </w14:textFill>
              </w:rPr>
              <w:t>分</w:t>
            </w:r>
          </w:p>
          <w:p>
            <w:pPr>
              <w:snapToGrid w:val="0"/>
              <w:spacing w:line="288"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第二信封（报价文件）评分分值构成：</w:t>
            </w:r>
          </w:p>
          <w:p>
            <w:pPr>
              <w:snapToGrid w:val="0"/>
              <w:spacing w:line="288"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ind w:right="11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2.2.2</w:t>
            </w:r>
          </w:p>
        </w:tc>
        <w:tc>
          <w:tcPr>
            <w:tcW w:w="1360" w:type="dxa"/>
            <w:vAlign w:val="center"/>
          </w:tcPr>
          <w:p>
            <w:pPr>
              <w:ind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评标基准价计算方法</w:t>
            </w:r>
          </w:p>
        </w:tc>
        <w:tc>
          <w:tcPr>
            <w:tcW w:w="6895" w:type="dxa"/>
            <w:gridSpan w:val="5"/>
            <w:vAlign w:val="center"/>
          </w:tcPr>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评标基准价的计算：</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在第二信封开标现场，招标人将当场计算并宣布评标基准价。</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（1）评标价的确定：</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评标价＝投标函文字报价</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（2）评标基准价的计算：</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评标基准价=D </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D为按以下方式计算得出的值： </w:t>
            </w:r>
          </w:p>
          <w:p>
            <w:pPr>
              <w:pStyle w:val="15"/>
              <w:adjustRightInd/>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有效投标价：除“投标人须知”第5.2.4条规定的开标现场不参与评标基准价计算的投标报价之外的投标报价（投标人在“电子交易平台”开标信息板块填报的投标总报价）。 </w:t>
            </w:r>
          </w:p>
          <w:p>
            <w:pPr>
              <w:tabs>
                <w:tab w:val="left" w:pos="510"/>
              </w:tabs>
              <w:spacing w:line="300" w:lineRule="auto"/>
              <w:ind w:firstLine="468" w:firstLineChars="200"/>
              <w:rPr>
                <w:rFonts w:asciiTheme="minorEastAsia" w:hAnsiTheme="minorEastAsia" w:eastAsiaTheme="minorEastAsia" w:cstheme="minorEastAsia"/>
                <w:color w:val="000000" w:themeColor="text1"/>
                <w:spacing w:val="-3"/>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highlight w:val="none"/>
                <w14:textFill>
                  <w14:solidFill>
                    <w14:schemeClr w14:val="tx1"/>
                  </w14:solidFill>
                </w14:textFill>
              </w:rPr>
              <w:t>满足招标文件要求且在最高投标限价8</w:t>
            </w:r>
            <w:r>
              <w:rPr>
                <w:rFonts w:hint="eastAsia" w:asciiTheme="minorEastAsia" w:hAnsiTheme="minorEastAsia" w:eastAsiaTheme="minorEastAsia" w:cstheme="minorEastAsia"/>
                <w:color w:val="000000" w:themeColor="text1"/>
                <w:spacing w:val="-3"/>
                <w:sz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4"/>
                <w:highlight w:val="none"/>
                <w14:textFill>
                  <w14:solidFill>
                    <w14:schemeClr w14:val="tx1"/>
                  </w14:solidFill>
                </w14:textFill>
              </w:rPr>
              <w:t>%～100%范围内的投标报价（投标函文字报价）作为有效报价参与评标基准价的计算，所有有效报价的平均值直接作为评标基准价。投标文件出现以下任一情况的投标报价将不能参加评标基准价计算：</w:t>
            </w:r>
          </w:p>
          <w:p>
            <w:pPr>
              <w:pStyle w:val="11"/>
              <w:ind w:firstLine="0" w:firstLineChars="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（1）未通过招标文件形式评审与响应性评审及资格评审的投标报价；</w:t>
            </w:r>
          </w:p>
          <w:p>
            <w:pPr>
              <w:pStyle w:val="11"/>
              <w:ind w:firstLine="0" w:firstLineChars="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(2)未在投标函上填写投标总价；</w:t>
            </w:r>
          </w:p>
          <w:p>
            <w:pPr>
              <w:pStyle w:val="11"/>
              <w:ind w:firstLine="0" w:firstLineChars="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(3)投标报价超出招标人公布的最高投标限价；</w:t>
            </w:r>
          </w:p>
          <w:p>
            <w:pPr>
              <w:pStyle w:val="11"/>
              <w:ind w:firstLine="0" w:firstLineChars="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(4)投标报价的大写金额无法确定具体数值；</w:t>
            </w:r>
          </w:p>
          <w:p>
            <w:pPr>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（5）在最高投标限价的8</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%～100%范围外。</w:t>
            </w:r>
          </w:p>
          <w:p>
            <w:pPr>
              <w:snapToGrid w:val="0"/>
              <w:spacing w:line="288" w:lineRule="auto"/>
              <w:ind w:firstLine="0" w:firstLine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如果投标人认为评标基准价计算有误，有权在开标现场提出，经监标人当场核实确认之后，可重新宣布评标基准价。确认后的评标基准价在整个评标期间保持不变，不随通过初步评审和详细评审的投标人的数量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ind w:right="11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2.2.3</w:t>
            </w:r>
          </w:p>
        </w:tc>
        <w:tc>
          <w:tcPr>
            <w:tcW w:w="1360" w:type="dxa"/>
            <w:vAlign w:val="center"/>
          </w:tcPr>
          <w:p>
            <w:pPr>
              <w:ind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评标价的偏差率计算公式</w:t>
            </w:r>
          </w:p>
        </w:tc>
        <w:tc>
          <w:tcPr>
            <w:tcW w:w="6895" w:type="dxa"/>
            <w:gridSpan w:val="5"/>
            <w:vAlign w:val="center"/>
          </w:tcPr>
          <w:p>
            <w:pPr>
              <w:snapToGrid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偏差率=100%×（投标人评标价-评标基准价）/评标基准价</w:t>
            </w:r>
          </w:p>
          <w:p>
            <w:pPr>
              <w:snapToGrid w:val="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偏差率保留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2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8" w:type="dxa"/>
            <w:vMerge w:val="restart"/>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条款号</w:t>
            </w:r>
          </w:p>
        </w:tc>
        <w:tc>
          <w:tcPr>
            <w:tcW w:w="5905" w:type="dxa"/>
            <w:gridSpan w:val="5"/>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评分因素与权重分值</w:t>
            </w:r>
          </w:p>
        </w:tc>
        <w:tc>
          <w:tcPr>
            <w:tcW w:w="2350" w:type="dxa"/>
            <w:vMerge w:val="restart"/>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p>
        </w:tc>
        <w:tc>
          <w:tcPr>
            <w:tcW w:w="1360" w:type="dxa"/>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评分因素</w:t>
            </w:r>
          </w:p>
        </w:tc>
        <w:tc>
          <w:tcPr>
            <w:tcW w:w="1640" w:type="dxa"/>
            <w:gridSpan w:val="2"/>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评分因素权重分值</w:t>
            </w:r>
          </w:p>
        </w:tc>
        <w:tc>
          <w:tcPr>
            <w:tcW w:w="2111" w:type="dxa"/>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各评分因素</w:t>
            </w:r>
          </w:p>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细分项</w:t>
            </w:r>
          </w:p>
        </w:tc>
        <w:tc>
          <w:tcPr>
            <w:tcW w:w="794" w:type="dxa"/>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r>
              <w:rPr>
                <w:rFonts w:ascii="宋体" w:hAnsi="宋体"/>
                <w:b/>
                <w:bCs/>
                <w:color w:val="000000" w:themeColor="text1"/>
                <w:kern w:val="0"/>
                <w:szCs w:val="24"/>
                <w:highlight w:val="none"/>
                <w14:textFill>
                  <w14:solidFill>
                    <w14:schemeClr w14:val="tx1"/>
                  </w14:solidFill>
                </w14:textFill>
              </w:rPr>
              <w:t>分值</w:t>
            </w:r>
          </w:p>
        </w:tc>
        <w:tc>
          <w:tcPr>
            <w:tcW w:w="2350" w:type="dxa"/>
            <w:vMerge w:val="continue"/>
            <w:vAlign w:val="center"/>
          </w:tcPr>
          <w:p>
            <w:pPr>
              <w:spacing w:line="276" w:lineRule="auto"/>
              <w:jc w:val="center"/>
              <w:rPr>
                <w:rFonts w:ascii="宋体" w:hAnsi="宋体"/>
                <w:b/>
                <w:bCs/>
                <w:color w:val="000000" w:themeColor="text1"/>
                <w:kern w:val="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958" w:type="dxa"/>
            <w:vMerge w:val="restart"/>
            <w:vAlign w:val="center"/>
          </w:tcPr>
          <w:p>
            <w:pPr>
              <w:spacing w:line="276" w:lineRule="auto"/>
              <w:ind w:left="-90" w:leftChars="-45" w:right="-90" w:rightChars="-45"/>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2.2.4</w:t>
            </w:r>
          </w:p>
          <w:p>
            <w:pPr>
              <w:spacing w:line="276" w:lineRule="auto"/>
              <w:ind w:left="-90" w:leftChars="-45" w:right="-90" w:rightChars="-45"/>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360" w:type="dxa"/>
            <w:vMerge w:val="restart"/>
            <w:vAlign w:val="center"/>
          </w:tcPr>
          <w:p>
            <w:pPr>
              <w:spacing w:line="276" w:lineRule="auto"/>
              <w:ind w:left="-90" w:leftChars="-45"/>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技术建议书</w:t>
            </w:r>
          </w:p>
        </w:tc>
        <w:tc>
          <w:tcPr>
            <w:tcW w:w="1640" w:type="dxa"/>
            <w:gridSpan w:val="2"/>
            <w:vMerge w:val="restart"/>
            <w:vAlign w:val="center"/>
          </w:tcPr>
          <w:p>
            <w:pPr>
              <w:spacing w:line="276" w:lineRule="auto"/>
              <w:ind w:left="-32" w:leftChars="-16" w:right="-90" w:rightChars="-45"/>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tc>
        <w:tc>
          <w:tcPr>
            <w:tcW w:w="2111" w:type="dxa"/>
            <w:vAlign w:val="center"/>
          </w:tcPr>
          <w:p>
            <w:pPr>
              <w:snapToGrid/>
              <w:spacing w:line="288" w:lineRule="auto"/>
              <w:ind w:left="-88" w:leftChars="-44" w:right="-90" w:rightChars="-45" w:firstLine="0"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t>高速公路机电工程竣/交工检测工作前准备工作；</w:t>
            </w:r>
          </w:p>
        </w:tc>
        <w:tc>
          <w:tcPr>
            <w:tcW w:w="794" w:type="dxa"/>
            <w:vAlign w:val="center"/>
          </w:tcPr>
          <w:p>
            <w:pPr>
              <w:snapToGrid w:val="0"/>
              <w:spacing w:line="36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t>5分</w:t>
            </w:r>
          </w:p>
        </w:tc>
        <w:tc>
          <w:tcPr>
            <w:tcW w:w="2350" w:type="dxa"/>
            <w:vMerge w:val="restart"/>
            <w:vAlign w:val="center"/>
          </w:tcPr>
          <w:p>
            <w:pPr>
              <w:pStyle w:val="5"/>
              <w:spacing w:line="288" w:lineRule="auto"/>
              <w:jc w:val="both"/>
              <w:rPr>
                <w:rFonts w:hint="eastAsia" w:asciiTheme="minorEastAsia" w:hAnsiTheme="minorEastAsia" w:eastAsiaTheme="minorEastAsia" w:cstheme="minorEastAsia"/>
                <w:color w:val="000000" w:themeColor="text1"/>
                <w:spacing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18"/>
                <w:szCs w:val="18"/>
                <w:highlight w:val="none"/>
                <w14:textFill>
                  <w14:solidFill>
                    <w14:schemeClr w14:val="tx1"/>
                  </w14:solidFill>
                </w14:textFill>
              </w:rPr>
              <w:t>均按4个等级评定：“很好”计90%～100%，“较好”计80～90%，“一般”计70%～80%，“较差但可行”计60%～70%，评标委员会成员对各项因素的评分一般不得低于招标文件规定该因素满分值的60%，低于满分值60%的，评标委员会成员应当在评标报告中作出说明。评标委员会对此将作为细微偏差对投标人技术建议书予以适当扣分。</w:t>
            </w:r>
          </w:p>
          <w:p>
            <w:pPr>
              <w:pStyle w:val="5"/>
              <w:spacing w:line="288"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18"/>
                <w:szCs w:val="18"/>
                <w:highlight w:val="none"/>
                <w14:textFill>
                  <w14:solidFill>
                    <w14:schemeClr w14:val="tx1"/>
                  </w14:solidFill>
                </w14:textFill>
              </w:rPr>
              <w:t>本项目由评标委员会按照上述规定，独立评分并签名，各项目以专家打分的平均值确定（当评标委员会成员为5人时该平均值以各成员打分的算术平均值确定；当评标委员会成员为7人及以上时，该平均值以去掉一个最高分和一个最低分后的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11" w:type="dxa"/>
            <w:vAlign w:val="center"/>
          </w:tcPr>
          <w:p>
            <w:pPr>
              <w:snapToGrid/>
              <w:spacing w:line="288" w:lineRule="auto"/>
              <w:ind w:left="-88" w:leftChars="-44" w:right="-90" w:rightChars="-45" w:firstLine="0"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高速公路机电工程</w:t>
            </w:r>
            <w: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t>竣/</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交工检测工作的实施方法；</w:t>
            </w:r>
          </w:p>
        </w:tc>
        <w:tc>
          <w:tcPr>
            <w:tcW w:w="794" w:type="dxa"/>
            <w:vAlign w:val="center"/>
          </w:tcPr>
          <w:p>
            <w:pPr>
              <w:snapToGrid w:val="0"/>
              <w:spacing w:line="36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2350" w:type="dxa"/>
            <w:vMerge w:val="continue"/>
            <w:vAlign w:val="center"/>
          </w:tcPr>
          <w:p>
            <w:pPr>
              <w:spacing w:line="288" w:lineRule="auto"/>
              <w:ind w:right="-86" w:rightChars="-43"/>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11" w:type="dxa"/>
            <w:vAlign w:val="center"/>
          </w:tcPr>
          <w:p>
            <w:pPr>
              <w:snapToGrid/>
              <w:spacing w:line="288" w:lineRule="auto"/>
              <w:ind w:left="-88" w:leftChars="-44" w:right="-90" w:rightChars="-45" w:firstLine="0"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高速公路机电工程</w:t>
            </w:r>
            <w: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t>竣/</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交工检测服务控制重点，控制措施、处理方法</w:t>
            </w:r>
            <w:r>
              <w:rPr>
                <w:rFonts w:hint="eastAsia" w:asciiTheme="minorEastAsia" w:hAnsiTheme="minorEastAsia" w:eastAsiaTheme="minorEastAsia" w:cstheme="minorEastAsia"/>
                <w:color w:val="000000" w:themeColor="text1"/>
                <w:spacing w:val="0"/>
                <w:sz w:val="21"/>
                <w:szCs w:val="21"/>
                <w:highlight w:val="none"/>
                <w14:textFill>
                  <w14:solidFill>
                    <w14:schemeClr w14:val="tx1"/>
                  </w14:solidFill>
                </w14:textFill>
              </w:rPr>
              <w:t>；</w:t>
            </w:r>
          </w:p>
        </w:tc>
        <w:tc>
          <w:tcPr>
            <w:tcW w:w="794" w:type="dxa"/>
            <w:vAlign w:val="center"/>
          </w:tcPr>
          <w:p>
            <w:pPr>
              <w:snapToGrid w:val="0"/>
              <w:spacing w:line="36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2350" w:type="dxa"/>
            <w:vMerge w:val="continue"/>
            <w:vAlign w:val="center"/>
          </w:tcPr>
          <w:p>
            <w:pPr>
              <w:spacing w:line="288" w:lineRule="auto"/>
              <w:ind w:left="-66" w:leftChars="-33" w:right="-86" w:rightChars="-43"/>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11" w:type="dxa"/>
            <w:vAlign w:val="center"/>
          </w:tcPr>
          <w:p>
            <w:pPr>
              <w:snapToGrid/>
              <w:spacing w:line="288" w:lineRule="auto"/>
              <w:ind w:left="-88" w:leftChars="-44" w:right="-90" w:rightChars="-45"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高速公路机电工程</w:t>
            </w:r>
            <w: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t>竣/交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工检测服务质量、进度</w:t>
            </w:r>
            <w:r>
              <w:rPr>
                <w:rFonts w:hint="eastAsia" w:asciiTheme="minorEastAsia" w:hAnsiTheme="minorEastAsia" w:eastAsiaTheme="minorEastAsia" w:cstheme="minorEastAsia"/>
                <w:color w:val="000000" w:themeColor="text1"/>
                <w:spacing w:val="0"/>
                <w:sz w:val="21"/>
                <w:szCs w:val="21"/>
                <w:highlight w:val="none"/>
                <w14:textFill>
                  <w14:solidFill>
                    <w14:schemeClr w14:val="tx1"/>
                  </w14:solidFill>
                </w14:textFill>
              </w:rPr>
              <w:t>、安全等服务保证体系及措施；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tc>
        <w:tc>
          <w:tcPr>
            <w:tcW w:w="794" w:type="dxa"/>
            <w:vAlign w:val="center"/>
          </w:tcPr>
          <w:p>
            <w:pPr>
              <w:snapToGrid w:val="0"/>
              <w:spacing w:line="360" w:lineRule="atLeast"/>
              <w:ind w:firstLine="0"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2350" w:type="dxa"/>
            <w:vMerge w:val="continue"/>
            <w:vAlign w:val="center"/>
          </w:tcPr>
          <w:p>
            <w:pPr>
              <w:spacing w:line="288"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58"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640" w:type="dxa"/>
            <w:gridSpan w:val="2"/>
            <w:vMerge w:val="continue"/>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11" w:type="dxa"/>
            <w:vAlign w:val="center"/>
          </w:tcPr>
          <w:p>
            <w:pPr>
              <w:snapToGrid/>
              <w:spacing w:line="288" w:lineRule="auto"/>
              <w:ind w:left="-88" w:leftChars="-44" w:right="-90" w:rightChars="-45" w:firstLine="0"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highlight w:val="none"/>
                <w14:textFill>
                  <w14:solidFill>
                    <w14:schemeClr w14:val="tx1"/>
                  </w14:solidFill>
                </w14:textFill>
              </w:rPr>
              <w:t>对本省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高速公路机电工程</w:t>
            </w:r>
            <w: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t>竣/交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0"/>
                <w:sz w:val="21"/>
                <w:szCs w:val="21"/>
                <w:highlight w:val="none"/>
                <w14:textFill>
                  <w14:solidFill>
                    <w14:schemeClr w14:val="tx1"/>
                  </w14:solidFill>
                </w14:textFill>
              </w:rPr>
              <w:t>检测工作的重难点有独特见解并提出了相应的合理建议。</w:t>
            </w:r>
          </w:p>
        </w:tc>
        <w:tc>
          <w:tcPr>
            <w:tcW w:w="794" w:type="dxa"/>
            <w:vAlign w:val="center"/>
          </w:tcPr>
          <w:p>
            <w:pPr>
              <w:snapToGrid w:val="0"/>
              <w:spacing w:line="36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5分</w:t>
            </w:r>
          </w:p>
        </w:tc>
        <w:tc>
          <w:tcPr>
            <w:tcW w:w="2350" w:type="dxa"/>
            <w:vMerge w:val="continue"/>
            <w:vAlign w:val="center"/>
          </w:tcPr>
          <w:p>
            <w:pPr>
              <w:spacing w:line="288"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jc w:val="center"/>
        </w:trPr>
        <w:tc>
          <w:tcPr>
            <w:tcW w:w="958" w:type="dxa"/>
            <w:vMerge w:val="restart"/>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2.2.4（2）</w:t>
            </w:r>
          </w:p>
        </w:tc>
        <w:tc>
          <w:tcPr>
            <w:tcW w:w="1360" w:type="dxa"/>
            <w:vMerge w:val="restart"/>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主要人员</w:t>
            </w:r>
          </w:p>
        </w:tc>
        <w:tc>
          <w:tcPr>
            <w:tcW w:w="1640" w:type="dxa"/>
            <w:gridSpan w:val="2"/>
            <w:vMerge w:val="restart"/>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tc>
        <w:tc>
          <w:tcPr>
            <w:tcW w:w="2111" w:type="dxa"/>
            <w:vAlign w:val="center"/>
          </w:tcPr>
          <w:p>
            <w:pPr>
              <w:spacing w:line="288" w:lineRule="auto"/>
              <w:ind w:left="-88" w:leftChars="-44" w:right="-90" w:rightChars="-45"/>
              <w:jc w:val="cente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项目负责人</w:t>
            </w:r>
          </w:p>
        </w:tc>
        <w:tc>
          <w:tcPr>
            <w:tcW w:w="794" w:type="dxa"/>
            <w:vAlign w:val="center"/>
          </w:tcPr>
          <w:p>
            <w:pPr>
              <w:pStyle w:val="9"/>
              <w:spacing w:line="288" w:lineRule="auto"/>
              <w:ind w:firstLine="0" w:firstLineChars="0"/>
              <w:jc w:val="center"/>
              <w:rPr>
                <w:rFonts w:hint="default"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tc>
        <w:tc>
          <w:tcPr>
            <w:tcW w:w="2350" w:type="dxa"/>
            <w:vAlign w:val="center"/>
          </w:tcPr>
          <w:p>
            <w:pPr>
              <w:pStyle w:val="5"/>
              <w:autoSpaceDE/>
              <w:autoSpaceDN/>
              <w:adjustRightInd/>
              <w:spacing w:line="288" w:lineRule="auto"/>
              <w:jc w:val="left"/>
              <w:textAlignment w:val="auto"/>
              <w:rPr>
                <w:rFonts w:hint="eastAsia" w:ascii="Times New Roman" w:hAnsiTheme="minorEastAsia" w:eastAsiaTheme="minorEastAsia"/>
                <w:color w:val="000000" w:themeColor="text1"/>
                <w:sz w:val="21"/>
                <w:szCs w:val="21"/>
                <w:highlight w:val="none"/>
                <w14:textFill>
                  <w14:solidFill>
                    <w14:schemeClr w14:val="tx1"/>
                  </w14:solidFill>
                </w14:textFill>
              </w:rPr>
            </w:pPr>
            <w:r>
              <w:rPr>
                <w:rFonts w:hint="eastAsia" w:ascii="Times New Roman" w:hAnsiTheme="minorEastAsia" w:eastAsiaTheme="minorEastAsia"/>
                <w:color w:val="000000" w:themeColor="text1"/>
                <w:sz w:val="21"/>
                <w:szCs w:val="21"/>
                <w:highlight w:val="none"/>
                <w14:textFill>
                  <w14:solidFill>
                    <w14:schemeClr w14:val="tx1"/>
                  </w14:solidFill>
                </w14:textFill>
              </w:rPr>
              <w:t>CZJDJC-2标段、CZJDJC-竣标段要求：</w:t>
            </w:r>
          </w:p>
          <w:p>
            <w:pPr>
              <w:pStyle w:val="5"/>
              <w:autoSpaceDE/>
              <w:autoSpaceDN/>
              <w:adjustRightInd/>
              <w:spacing w:line="288" w:lineRule="auto"/>
              <w:jc w:val="left"/>
              <w:textAlignment w:val="auto"/>
              <w:rPr>
                <w:rFonts w:hint="eastAsia" w:ascii="Times New Roman" w:hAnsiTheme="minorEastAsia" w:eastAsiaTheme="minorEastAsia"/>
                <w:color w:val="000000" w:themeColor="text1"/>
                <w:sz w:val="21"/>
                <w:szCs w:val="21"/>
                <w:highlight w:val="none"/>
                <w14:textFill>
                  <w14:solidFill>
                    <w14:schemeClr w14:val="tx1"/>
                  </w14:solidFill>
                </w14:textFill>
              </w:rPr>
            </w:pPr>
            <w:r>
              <w:rPr>
                <w:rFonts w:hint="eastAsia" w:ascii="Times New Roman" w:hAnsiTheme="minorEastAsia" w:eastAsiaTheme="minorEastAsia"/>
                <w:color w:val="000000" w:themeColor="text1"/>
                <w:sz w:val="21"/>
                <w:szCs w:val="21"/>
                <w:highlight w:val="none"/>
                <w14:textFill>
                  <w14:solidFill>
                    <w14:schemeClr w14:val="tx1"/>
                  </w14:solidFill>
                </w14:textFill>
              </w:rPr>
              <w:t>①满足资格审查条件要求得</w:t>
            </w:r>
            <w:r>
              <w:rPr>
                <w:rFonts w:hint="eastAsia" w:ascii="Times New Roman" w:hAnsiTheme="minorEastAsia" w:eastAsiaTheme="minorEastAsia"/>
                <w:color w:val="000000" w:themeColor="text1"/>
                <w:sz w:val="21"/>
                <w:szCs w:val="21"/>
                <w:highlight w:val="none"/>
                <w:lang w:val="en-US" w:eastAsia="zh-CN"/>
                <w14:textFill>
                  <w14:solidFill>
                    <w14:schemeClr w14:val="tx1"/>
                  </w14:solidFill>
                </w14:textFill>
              </w:rPr>
              <w:t>7.5</w:t>
            </w:r>
            <w:r>
              <w:rPr>
                <w:rFonts w:hint="eastAsia" w:ascii="Times New Roman" w:hAnsiTheme="minorEastAsia" w:eastAsiaTheme="minorEastAsia"/>
                <w:color w:val="000000" w:themeColor="text1"/>
                <w:sz w:val="21"/>
                <w:szCs w:val="21"/>
                <w:highlight w:val="none"/>
                <w14:textFill>
                  <w14:solidFill>
                    <w14:schemeClr w14:val="tx1"/>
                  </w14:solidFill>
                </w14:textFill>
              </w:rPr>
              <w:t>分；</w:t>
            </w:r>
          </w:p>
          <w:p>
            <w:pPr>
              <w:rPr>
                <w:rFonts w:hint="eastAsia" w:ascii="Times New Roman" w:cs="Times New Roman" w:hAnsiTheme="minorEastAsia" w:eastAsiaTheme="minorEastAsia"/>
                <w:color w:val="000000" w:themeColor="text1"/>
                <w:spacing w:val="0"/>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②每提供1项高速公路机电工程的交（竣）工检测业绩的项目负责人业绩加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分，最多加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分（本项业绩加分需以合同协议书为准，若合同协议书中不能体现项目负责人在该项目中担任的职务，可提供业主或质量监督部门出具的证明，否则业绩不予认可，项目以合同个数计算）。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640" w:type="dxa"/>
            <w:gridSpan w:val="2"/>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111" w:type="dxa"/>
            <w:vAlign w:val="center"/>
          </w:tcPr>
          <w:p>
            <w:pPr>
              <w:spacing w:line="288" w:lineRule="auto"/>
              <w:ind w:left="-88" w:leftChars="-44" w:right="-90" w:rightChars="-45"/>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技术负责人</w:t>
            </w:r>
          </w:p>
        </w:tc>
        <w:tc>
          <w:tcPr>
            <w:tcW w:w="794" w:type="dxa"/>
            <w:vAlign w:val="center"/>
          </w:tcPr>
          <w:p>
            <w:pPr>
              <w:pStyle w:val="9"/>
              <w:spacing w:line="288" w:lineRule="auto"/>
              <w:ind w:firstLine="0" w:firstLineChars="0"/>
              <w:jc w:val="center"/>
              <w:rPr>
                <w:rFonts w:hint="default"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tc>
        <w:tc>
          <w:tcPr>
            <w:tcW w:w="2350" w:type="dxa"/>
            <w:vAlign w:val="center"/>
          </w:tcPr>
          <w:p>
            <w:pPr>
              <w:pStyle w:val="5"/>
              <w:spacing w:line="288" w:lineRule="auto"/>
              <w:ind w:firstLine="0" w:firstLineChars="0"/>
              <w:rPr>
                <w:rFonts w:hint="eastAsia" w:ascii="Times New Roman" w:hAnsiTheme="minorEastAsia" w:eastAsiaTheme="minorEastAsia"/>
                <w:color w:val="000000" w:themeColor="text1"/>
                <w:sz w:val="21"/>
                <w:szCs w:val="21"/>
                <w:highlight w:val="none"/>
                <w14:textFill>
                  <w14:solidFill>
                    <w14:schemeClr w14:val="tx1"/>
                  </w14:solidFill>
                </w14:textFill>
              </w:rPr>
            </w:pPr>
            <w:r>
              <w:rPr>
                <w:rFonts w:hint="eastAsia" w:ascii="Times New Roman" w:hAnsiTheme="minorEastAsia" w:eastAsiaTheme="minorEastAsia"/>
                <w:color w:val="000000" w:themeColor="text1"/>
                <w:sz w:val="21"/>
                <w:szCs w:val="21"/>
                <w:highlight w:val="none"/>
                <w14:textFill>
                  <w14:solidFill>
                    <w14:schemeClr w14:val="tx1"/>
                  </w14:solidFill>
                </w14:textFill>
              </w:rPr>
              <w:t>CZJDJC-2标段、CZJDJC-竣标段要求：</w:t>
            </w:r>
          </w:p>
          <w:p>
            <w:pPr>
              <w:pStyle w:val="5"/>
              <w:spacing w:line="288" w:lineRule="auto"/>
              <w:ind w:firstLine="0" w:firstLineChars="0"/>
              <w:rPr>
                <w:rFonts w:hint="eastAsia" w:ascii="Times New Roman" w:hAnsiTheme="minorEastAsia" w:eastAsiaTheme="minorEastAsia"/>
                <w:color w:val="000000" w:themeColor="text1"/>
                <w:sz w:val="21"/>
                <w:szCs w:val="21"/>
                <w:highlight w:val="none"/>
                <w14:textFill>
                  <w14:solidFill>
                    <w14:schemeClr w14:val="tx1"/>
                  </w14:solidFill>
                </w14:textFill>
              </w:rPr>
            </w:pPr>
            <w:r>
              <w:rPr>
                <w:rFonts w:hint="eastAsia" w:ascii="Times New Roman" w:hAnsiTheme="minorEastAsia" w:eastAsiaTheme="minorEastAsia"/>
                <w:color w:val="000000" w:themeColor="text1"/>
                <w:sz w:val="21"/>
                <w:szCs w:val="21"/>
                <w:highlight w:val="none"/>
                <w14:textFill>
                  <w14:solidFill>
                    <w14:schemeClr w14:val="tx1"/>
                  </w14:solidFill>
                </w14:textFill>
              </w:rPr>
              <w:t>①满足资格审查条件要求得</w:t>
            </w:r>
            <w:r>
              <w:rPr>
                <w:rFonts w:hint="eastAsia" w:ascii="Times New Roman" w:hAnsiTheme="minorEastAsia" w:eastAsiaTheme="minorEastAsia"/>
                <w:color w:val="000000" w:themeColor="text1"/>
                <w:sz w:val="21"/>
                <w:szCs w:val="21"/>
                <w:highlight w:val="none"/>
                <w:lang w:val="en-US" w:eastAsia="zh-CN"/>
                <w14:textFill>
                  <w14:solidFill>
                    <w14:schemeClr w14:val="tx1"/>
                  </w14:solidFill>
                </w14:textFill>
              </w:rPr>
              <w:t>7.5</w:t>
            </w:r>
            <w:r>
              <w:rPr>
                <w:rFonts w:hint="eastAsia" w:ascii="Times New Roman" w:hAnsiTheme="minorEastAsia" w:eastAsiaTheme="minorEastAsia"/>
                <w:color w:val="000000" w:themeColor="text1"/>
                <w:sz w:val="21"/>
                <w:szCs w:val="21"/>
                <w:highlight w:val="none"/>
                <w14:textFill>
                  <w14:solidFill>
                    <w14:schemeClr w14:val="tx1"/>
                  </w14:solidFill>
                </w14:textFill>
              </w:rPr>
              <w:t>分；</w:t>
            </w:r>
          </w:p>
          <w:p>
            <w:pPr>
              <w:pStyle w:val="5"/>
              <w:spacing w:line="288" w:lineRule="auto"/>
              <w:ind w:firstLine="0" w:firstLineChars="0"/>
              <w:rPr>
                <w:rFonts w:hint="eastAsia" w:ascii="Times New Roman" w:cs="Times New Roman" w:hAnsiTheme="minorEastAsia" w:eastAsiaTheme="minorEastAsia"/>
                <w:color w:val="000000" w:themeColor="text1"/>
                <w:spacing w:val="0"/>
                <w:kern w:val="0"/>
                <w:sz w:val="21"/>
                <w:szCs w:val="21"/>
                <w:highlight w:val="none"/>
                <w:lang w:val="en-US" w:eastAsia="zh-CN" w:bidi="ar-SA"/>
                <w14:textFill>
                  <w14:solidFill>
                    <w14:schemeClr w14:val="tx1"/>
                  </w14:solidFill>
                </w14:textFill>
              </w:rPr>
            </w:pPr>
            <w:r>
              <w:rPr>
                <w:rFonts w:hint="eastAsia" w:ascii="Times New Roman" w:hAnsiTheme="minorEastAsia" w:eastAsiaTheme="minorEastAsia"/>
                <w:color w:val="000000" w:themeColor="text1"/>
                <w:sz w:val="21"/>
                <w:szCs w:val="21"/>
                <w:highlight w:val="none"/>
                <w14:textFill>
                  <w14:solidFill>
                    <w14:schemeClr w14:val="tx1"/>
                  </w14:solidFill>
                </w14:textFill>
              </w:rPr>
              <w:t>②每提供1项高速公路机电工程的交（竣）工检测业绩的技术负责人业绩加</w:t>
            </w:r>
            <w:r>
              <w:rPr>
                <w:rFonts w:hint="eastAsia" w:ascii="Times New Roman" w:hAnsiTheme="minorEastAsia" w:eastAsiaTheme="minorEastAsia"/>
                <w:color w:val="000000" w:themeColor="text1"/>
                <w:sz w:val="21"/>
                <w:szCs w:val="21"/>
                <w:highlight w:val="none"/>
                <w:lang w:val="en-US" w:eastAsia="zh-CN"/>
                <w14:textFill>
                  <w14:solidFill>
                    <w14:schemeClr w14:val="tx1"/>
                  </w14:solidFill>
                </w14:textFill>
              </w:rPr>
              <w:t>2.5</w:t>
            </w:r>
            <w:r>
              <w:rPr>
                <w:rFonts w:hint="eastAsia" w:ascii="Times New Roman" w:hAnsiTheme="minorEastAsia" w:eastAsiaTheme="minorEastAsia"/>
                <w:color w:val="000000" w:themeColor="text1"/>
                <w:sz w:val="21"/>
                <w:szCs w:val="21"/>
                <w:highlight w:val="none"/>
                <w14:textFill>
                  <w14:solidFill>
                    <w14:schemeClr w14:val="tx1"/>
                  </w14:solidFill>
                </w14:textFill>
              </w:rPr>
              <w:t>分，最多加</w:t>
            </w:r>
            <w:r>
              <w:rPr>
                <w:rFonts w:hint="eastAsia" w:ascii="Times New Roman"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imes New Roman" w:hAnsiTheme="minorEastAsia" w:eastAsiaTheme="minorEastAsia"/>
                <w:color w:val="000000" w:themeColor="text1"/>
                <w:sz w:val="21"/>
                <w:szCs w:val="21"/>
                <w:highlight w:val="none"/>
                <w14:textFill>
                  <w14:solidFill>
                    <w14:schemeClr w14:val="tx1"/>
                  </w14:solidFill>
                </w14:textFill>
              </w:rPr>
              <w:t>分（（本项业绩加分需以合同协议书为准，若合同协议书中不能体现技术负责人在该项目中担任的职务，可提供业主或质量监督部门出具的证明，否则业绩不予认可，项目以合同个数计算）。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2.2.4（3）</w:t>
            </w:r>
          </w:p>
        </w:tc>
        <w:tc>
          <w:tcPr>
            <w:tcW w:w="1360" w:type="dxa"/>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评标价</w:t>
            </w:r>
          </w:p>
        </w:tc>
        <w:tc>
          <w:tcPr>
            <w:tcW w:w="1640" w:type="dxa"/>
            <w:gridSpan w:val="2"/>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10分</w:t>
            </w:r>
          </w:p>
        </w:tc>
        <w:tc>
          <w:tcPr>
            <w:tcW w:w="5255" w:type="dxa"/>
            <w:gridSpan w:val="3"/>
            <w:vAlign w:val="center"/>
          </w:tcPr>
          <w:p>
            <w:pPr>
              <w:snapToGrid w:val="0"/>
              <w:spacing w:line="288"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（1）如果投标人的评标价＞评标基准价，则评标价得分F1=F-偏差率×100×E1。</w:t>
            </w:r>
          </w:p>
          <w:p>
            <w:pPr>
              <w:snapToGrid w:val="0"/>
              <w:spacing w:line="288"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（2）如果投标人的评标价≤评标基准价，则评标价得分F1=F+偏差率×100×E2。</w:t>
            </w:r>
          </w:p>
          <w:p>
            <w:pPr>
              <w:snapToGrid w:val="0"/>
              <w:spacing w:line="288" w:lineRule="auto"/>
              <w:ind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其中：F是评标价所占的权重分值，F=10；E1=0.2；E2=0.1。</w:t>
            </w:r>
          </w:p>
          <w:p>
            <w:pPr>
              <w:snapToGrid w:val="0"/>
              <w:spacing w:line="288" w:lineRule="auto"/>
              <w:ind w:right="96" w:rightChars="48"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（3）中间值按比例内插，四舍五入，保留2位小数。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2.2.4（4）</w:t>
            </w:r>
          </w:p>
        </w:tc>
        <w:tc>
          <w:tcPr>
            <w:tcW w:w="1360" w:type="dxa"/>
            <w:vMerge w:val="restart"/>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其他因素</w:t>
            </w:r>
          </w:p>
        </w:tc>
        <w:tc>
          <w:tcPr>
            <w:tcW w:w="820" w:type="dxa"/>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业绩</w:t>
            </w:r>
          </w:p>
        </w:tc>
        <w:tc>
          <w:tcPr>
            <w:tcW w:w="820" w:type="dxa"/>
            <w:vAlign w:val="center"/>
          </w:tcPr>
          <w:p>
            <w:pPr>
              <w:spacing w:line="276" w:lineRule="auto"/>
              <w:jc w:val="center"/>
              <w:rPr>
                <w:rFonts w:hint="default"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25</w:t>
            </w:r>
            <w:r>
              <w:rPr>
                <w:rFonts w:hint="eastAsia" w:ascii="Times New Roman" w:cs="Times New Roman" w:hAnsiTheme="minorEastAsia"/>
                <w:color w:val="000000" w:themeColor="text1"/>
                <w:szCs w:val="21"/>
                <w:highlight w:val="none"/>
                <w14:textFill>
                  <w14:solidFill>
                    <w14:schemeClr w14:val="tx1"/>
                  </w14:solidFill>
                </w14:textFill>
              </w:rPr>
              <w:t>分</w:t>
            </w:r>
          </w:p>
        </w:tc>
        <w:tc>
          <w:tcPr>
            <w:tcW w:w="5255" w:type="dxa"/>
            <w:gridSpan w:val="3"/>
            <w:vAlign w:val="center"/>
          </w:tcPr>
          <w:p>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CZJDJC-2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标段</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CZJDJC-</w:t>
            </w:r>
            <w:r>
              <w:rPr>
                <w:rFonts w:hint="eastAsia" w:cs="Times New Roman"/>
                <w:color w:val="000000" w:themeColor="text1"/>
                <w:highlight w:val="none"/>
                <w:lang w:val="en-US" w:eastAsia="zh-CN"/>
                <w14:textFill>
                  <w14:solidFill>
                    <w14:schemeClr w14:val="tx1"/>
                  </w14:solidFill>
                </w14:textFill>
              </w:rPr>
              <w:t>竣</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标段要求：</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近五年内(201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年1月1日至</w:t>
            </w:r>
            <w:r>
              <w:rPr>
                <w:rFonts w:hint="eastAsia" w:cs="Times New Roman"/>
                <w:color w:val="000000" w:themeColor="text1"/>
                <w:highlight w:val="none"/>
                <w:lang w:val="en-US" w:eastAsia="zh-CN"/>
                <w14:textFill>
                  <w14:solidFill>
                    <w14:schemeClr w14:val="tx1"/>
                  </w14:solidFill>
                </w14:textFill>
              </w:rPr>
              <w:t>投标截止日止</w:t>
            </w:r>
            <w:r>
              <w:rPr>
                <w:rFonts w:hint="eastAsia" w:ascii="Times New Roman" w:hAnsi="Times New Roman" w:eastAsia="宋体" w:cs="Times New Roman"/>
                <w:color w:val="000000" w:themeColor="text1"/>
                <w:highlight w:val="none"/>
                <w14:textFill>
                  <w14:solidFill>
                    <w14:schemeClr w14:val="tx1"/>
                  </w14:solidFill>
                </w14:textFill>
              </w:rPr>
              <w:t>，以合同项目完成时间为准)每独立完成1个高速公路机电工程的交</w:t>
            </w: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竣</w:t>
            </w:r>
            <w:r>
              <w:rPr>
                <w:rFonts w:hint="eastAsia"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工检测业绩加5分，本项最高加25分。（同一项目不重复计分，需按照投标人须知前附表3.5.</w:t>
            </w:r>
            <w:r>
              <w:rPr>
                <w:rFonts w:hint="eastAsia"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款要求提供证明材料，未按提供证明材料的不予认可）。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958" w:type="dxa"/>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820" w:type="dxa"/>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投标人信誉（信用等级）</w:t>
            </w:r>
          </w:p>
        </w:tc>
        <w:tc>
          <w:tcPr>
            <w:tcW w:w="820" w:type="dxa"/>
            <w:vAlign w:val="center"/>
          </w:tcPr>
          <w:p>
            <w:pPr>
              <w:spacing w:line="276"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imes New Roman" w:cs="Times New Roman" w:hAnsiTheme="minorEastAsia"/>
                <w:color w:val="000000" w:themeColor="text1"/>
                <w:szCs w:val="21"/>
                <w:highlight w:val="none"/>
                <w14:textFill>
                  <w14:solidFill>
                    <w14:schemeClr w14:val="tx1"/>
                  </w14:solidFill>
                </w14:textFill>
              </w:rPr>
              <w:t>分</w:t>
            </w:r>
          </w:p>
        </w:tc>
        <w:tc>
          <w:tcPr>
            <w:tcW w:w="5255" w:type="dxa"/>
            <w:gridSpan w:val="3"/>
            <w:vAlign w:val="center"/>
          </w:tcPr>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（1）对投标人的信用等级的认定详见本项目招标公告。</w:t>
            </w:r>
          </w:p>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（2）投标人信用得分按下表的情形采用。</w:t>
            </w:r>
          </w:p>
          <w:tbl>
            <w:tblPr>
              <w:tblStyle w:val="13"/>
              <w:tblW w:w="4819" w:type="dxa"/>
              <w:tblInd w:w="29" w:type="dxa"/>
              <w:tblLayout w:type="fixed"/>
              <w:tblCellMar>
                <w:top w:w="0" w:type="dxa"/>
                <w:left w:w="108" w:type="dxa"/>
                <w:bottom w:w="0" w:type="dxa"/>
                <w:right w:w="108" w:type="dxa"/>
              </w:tblCellMar>
            </w:tblPr>
            <w:tblGrid>
              <w:gridCol w:w="1417"/>
              <w:gridCol w:w="1134"/>
              <w:gridCol w:w="1134"/>
              <w:gridCol w:w="1134"/>
            </w:tblGrid>
            <w:tr>
              <w:tblPrEx>
                <w:tblCellMar>
                  <w:top w:w="0" w:type="dxa"/>
                  <w:left w:w="108" w:type="dxa"/>
                  <w:bottom w:w="0" w:type="dxa"/>
                  <w:right w:w="108" w:type="dxa"/>
                </w:tblCellMar>
              </w:tblPrEx>
              <w:trPr>
                <w:trHeight w:val="454" w:hRule="atLeast"/>
              </w:trPr>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AA</w:t>
                  </w:r>
                </w:p>
              </w:tc>
              <w:tc>
                <w:tcPr>
                  <w:tcW w:w="113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A</w:t>
                  </w:r>
                </w:p>
              </w:tc>
              <w:tc>
                <w:tcPr>
                  <w:tcW w:w="113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B</w:t>
                  </w:r>
                </w:p>
              </w:tc>
              <w:tc>
                <w:tcPr>
                  <w:tcW w:w="113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Times New Roman" w:eastAsia="宋体" w:cs="Times New Roman" w:hAnsiTheme="minorEastAsia"/>
                      <w:color w:val="000000" w:themeColor="text1"/>
                      <w:szCs w:val="21"/>
                      <w:highlight w:val="none"/>
                      <w:lang w:val="en-US" w:eastAsia="zh-CN"/>
                      <w14:textFill>
                        <w14:solidFill>
                          <w14:schemeClr w14:val="tx1"/>
                        </w14:solidFill>
                      </w14:textFill>
                    </w:rPr>
                  </w:pPr>
                  <w:r>
                    <w:rPr>
                      <w:rFonts w:hint="eastAsia" w:ascii="Times New Roman" w:cs="Times New Roman" w:hAnsiTheme="minorEastAsia"/>
                      <w:color w:val="000000" w:themeColor="text1"/>
                      <w:szCs w:val="21"/>
                      <w:highlight w:val="none"/>
                      <w:lang w:val="en-US" w:eastAsia="zh-CN"/>
                      <w14:textFill>
                        <w14:solidFill>
                          <w14:schemeClr w14:val="tx1"/>
                        </w14:solidFill>
                      </w14:textFill>
                    </w:rPr>
                    <w:t>C</w:t>
                  </w:r>
                </w:p>
              </w:tc>
            </w:tr>
            <w:tr>
              <w:tblPrEx>
                <w:tblCellMar>
                  <w:top w:w="0" w:type="dxa"/>
                  <w:left w:w="108" w:type="dxa"/>
                  <w:bottom w:w="0" w:type="dxa"/>
                  <w:right w:w="108" w:type="dxa"/>
                </w:tblCellMar>
              </w:tblPrEx>
              <w:trPr>
                <w:trHeight w:val="454" w:hRule="atLeast"/>
              </w:trPr>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+3.0</w:t>
                  </w:r>
                </w:p>
              </w:tc>
              <w:tc>
                <w:tcPr>
                  <w:tcW w:w="113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+1.5</w:t>
                  </w:r>
                </w:p>
              </w:tc>
              <w:tc>
                <w:tcPr>
                  <w:tcW w:w="113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imes New Roman" w:cs="Times New Roman" w:hAnsiTheme="minorEastAsia"/>
                      <w:color w:val="000000" w:themeColor="text1"/>
                      <w:szCs w:val="21"/>
                      <w:highlight w:val="none"/>
                      <w14:textFill>
                        <w14:solidFill>
                          <w14:schemeClr w14:val="tx1"/>
                        </w14:solidFill>
                      </w14:textFill>
                    </w:rPr>
                  </w:pPr>
                  <w:r>
                    <w:rPr>
                      <w:rFonts w:ascii="Times New Roman" w:cs="Times New Roman" w:hAnsiTheme="minorEastAsia"/>
                      <w:color w:val="000000" w:themeColor="text1"/>
                      <w:szCs w:val="21"/>
                      <w:highlight w:val="none"/>
                      <w14:textFill>
                        <w14:solidFill>
                          <w14:schemeClr w14:val="tx1"/>
                        </w14:solidFill>
                      </w14:textFill>
                    </w:rPr>
                    <w:t>0.0</w:t>
                  </w:r>
                </w:p>
              </w:tc>
              <w:tc>
                <w:tcPr>
                  <w:tcW w:w="113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hint="default" w:ascii="Times New Roman" w:eastAsia="宋体" w:cs="Times New Roman" w:hAnsiTheme="minorEastAsia"/>
                      <w:color w:val="000000" w:themeColor="text1"/>
                      <w:szCs w:val="21"/>
                      <w:highlight w:val="none"/>
                      <w:lang w:val="en-US" w:eastAsia="zh-CN"/>
                      <w14:textFill>
                        <w14:solidFill>
                          <w14:schemeClr w14:val="tx1"/>
                        </w14:solidFill>
                      </w14:textFill>
                    </w:rPr>
                  </w:pPr>
                  <w:r>
                    <w:rPr>
                      <w:rFonts w:hint="eastAsia" w:ascii="Times New Roman" w:cs="Times New Roman" w:hAnsiTheme="minorEastAsia"/>
                      <w:color w:val="000000" w:themeColor="text1"/>
                      <w:szCs w:val="21"/>
                      <w:highlight w:val="none"/>
                      <w:lang w:val="en-US" w:eastAsia="zh-CN"/>
                      <w14:textFill>
                        <w14:solidFill>
                          <w14:schemeClr w14:val="tx1"/>
                        </w14:solidFill>
                      </w14:textFill>
                    </w:rPr>
                    <w:t>-1.5</w:t>
                  </w:r>
                </w:p>
              </w:tc>
            </w:tr>
          </w:tbl>
          <w:p>
            <w:pPr>
              <w:pStyle w:val="9"/>
              <w:spacing w:line="288" w:lineRule="auto"/>
              <w:ind w:firstLine="0" w:firstLineChars="0"/>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58" w:type="dxa"/>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60" w:type="dxa"/>
            <w:vMerge w:val="continue"/>
            <w:vAlign w:val="center"/>
          </w:tcPr>
          <w:p>
            <w:pPr>
              <w:spacing w:line="276"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820" w:type="dxa"/>
            <w:vAlign w:val="center"/>
          </w:tcPr>
          <w:p>
            <w:pPr>
              <w:snapToGrid w:val="0"/>
              <w:spacing w:line="360" w:lineRule="auto"/>
              <w:rPr>
                <w:rFonts w:ascii="Times New Roman" w:cs="Times New Roman" w:hAnsiTheme="minorEastAsia"/>
                <w:color w:val="000000" w:themeColor="text1"/>
                <w:szCs w:val="21"/>
                <w:highlight w:val="none"/>
                <w14:textFill>
                  <w14:solidFill>
                    <w14:schemeClr w14:val="tx1"/>
                  </w14:solidFill>
                </w14:textFill>
              </w:rPr>
            </w:pPr>
            <w:r>
              <w:rPr>
                <w:rFonts w:hint="eastAsia" w:ascii="Times New Roman" w:cs="Times New Roman" w:hAnsiTheme="minorEastAsia"/>
                <w:color w:val="000000" w:themeColor="text1"/>
                <w:szCs w:val="21"/>
                <w:highlight w:val="none"/>
                <w14:textFill>
                  <w14:solidFill>
                    <w14:schemeClr w14:val="tx1"/>
                  </w14:solidFill>
                </w14:textFill>
              </w:rPr>
              <w:t>企业实力</w:t>
            </w:r>
          </w:p>
        </w:tc>
        <w:tc>
          <w:tcPr>
            <w:tcW w:w="820" w:type="dxa"/>
            <w:vAlign w:val="center"/>
          </w:tcPr>
          <w:p>
            <w:pPr>
              <w:snapToGrid w:val="0"/>
              <w:spacing w:line="360" w:lineRule="auto"/>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imes New Roman" w:cs="Times New Roman" w:hAnsiTheme="minorEastAsia"/>
                <w:color w:val="000000" w:themeColor="text1"/>
                <w:szCs w:val="21"/>
                <w:highlight w:val="none"/>
                <w:lang w:val="en-US" w:eastAsia="zh-CN"/>
                <w14:textFill>
                  <w14:solidFill>
                    <w14:schemeClr w14:val="tx1"/>
                  </w14:solidFill>
                </w14:textFill>
              </w:rPr>
              <w:t>2</w:t>
            </w:r>
            <w:r>
              <w:rPr>
                <w:rFonts w:hint="eastAsia" w:ascii="Times New Roman" w:cs="Times New Roman" w:hAnsiTheme="minorEastAsia"/>
                <w:color w:val="000000" w:themeColor="text1"/>
                <w:szCs w:val="21"/>
                <w:highlight w:val="none"/>
                <w14:textFill>
                  <w14:solidFill>
                    <w14:schemeClr w14:val="tx1"/>
                  </w14:solidFill>
                </w14:textFill>
              </w:rPr>
              <w:t>分</w:t>
            </w:r>
          </w:p>
        </w:tc>
        <w:tc>
          <w:tcPr>
            <w:tcW w:w="5255" w:type="dxa"/>
            <w:gridSpan w:val="3"/>
            <w:vAlign w:val="center"/>
          </w:tcPr>
          <w:p>
            <w:pPr>
              <w:snapToGrid w:val="0"/>
              <w:spacing w:line="360" w:lineRule="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cs="Arial"/>
                <w:color w:val="000000" w:themeColor="text1"/>
                <w:szCs w:val="21"/>
                <w:highlight w:val="none"/>
                <w14:textFill>
                  <w14:solidFill>
                    <w14:schemeClr w14:val="tx1"/>
                  </w14:solidFill>
                </w14:textFill>
              </w:rPr>
              <w:t>具有有效的 GB/T19001（ISO9001）质量管理体系认证证书加</w:t>
            </w:r>
            <w:r>
              <w:rPr>
                <w:rFonts w:hint="eastAsia" w:cs="Arial"/>
                <w:color w:val="000000" w:themeColor="text1"/>
                <w:szCs w:val="21"/>
                <w:highlight w:val="none"/>
                <w:lang w:val="en-US" w:eastAsia="zh-CN"/>
                <w14:textFill>
                  <w14:solidFill>
                    <w14:schemeClr w14:val="tx1"/>
                  </w14:solidFill>
                </w14:textFill>
              </w:rPr>
              <w:t>2</w:t>
            </w:r>
            <w:r>
              <w:rPr>
                <w:rFonts w:hint="eastAsia" w:cs="Arial"/>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3" w:type="dxa"/>
            <w:gridSpan w:val="7"/>
            <w:vAlign w:val="center"/>
          </w:tcPr>
          <w:p>
            <w:pPr>
              <w:spacing w:line="276" w:lineRule="auto"/>
              <w:jc w:val="both"/>
              <w:rPr>
                <w:rFonts w:hint="eastAsia" w:asciiTheme="minorEastAsia" w:hAnsiTheme="minorEastAsia" w:eastAsiaTheme="minorEastAsia" w:cstheme="minorEastAsia"/>
                <w:color w:val="000000" w:themeColor="text1"/>
                <w:kern w:val="0"/>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u w:val="none"/>
                <w14:textFill>
                  <w14:solidFill>
                    <w14:schemeClr w14:val="tx1"/>
                  </w14:solidFill>
                </w14:textFill>
              </w:rPr>
              <w:t>需要补充的其他内容：</w:t>
            </w:r>
          </w:p>
          <w:p>
            <w:pPr>
              <w:numPr>
                <w:ilvl w:val="0"/>
                <w:numId w:val="3"/>
              </w:numPr>
              <w:spacing w:line="276" w:lineRule="auto"/>
              <w:jc w:val="both"/>
              <w:rPr>
                <w:rFonts w:hint="eastAsia" w:asciiTheme="minorEastAsia" w:hAnsiTheme="minorEastAsia" w:eastAsiaTheme="minorEastAsia" w:cstheme="minorEastAsia"/>
                <w:color w:val="000000" w:themeColor="text1"/>
                <w:kern w:val="0"/>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u w:val="none"/>
                <w14:textFill>
                  <w14:solidFill>
                    <w14:schemeClr w14:val="tx1"/>
                  </w14:solidFill>
                </w14:textFill>
              </w:rPr>
              <w:t>评标委员会成员应当按照评标办法的规定，独立评分并署名，各评审因素（投标人的信誉、投标价除外）得分均不应低于其评分满分值的60%，且各评审因素得分应以评标委员会各成员的打分平均值确定，评标委员会成员总数为7人或7人以上时，该平均值应去掉一个最高分和一个最低分后计算。评标委员会成员对某一项评分因素的评分低于权重分值60%的，应在评标报告中作出说明。</w:t>
            </w:r>
          </w:p>
          <w:p>
            <w:pPr>
              <w:ind w:left="0" w:leftChars="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.如综合得分相同时，以投标报价低的优先；投标报价也相等时，以</w:t>
            </w:r>
            <w:r>
              <w:rPr>
                <w:rFonts w:ascii="宋体" w:hAnsi="宋体" w:cs="宋体"/>
                <w:bCs/>
                <w:color w:val="000000" w:themeColor="text1"/>
                <w:sz w:val="24"/>
                <w:highlight w:val="none"/>
                <w14:textFill>
                  <w14:solidFill>
                    <w14:schemeClr w14:val="tx1"/>
                  </w14:solidFill>
                </w14:textFill>
              </w:rPr>
              <w:t>技术建议书</w:t>
            </w:r>
            <w:r>
              <w:rPr>
                <w:rFonts w:hint="eastAsia" w:ascii="宋体" w:hAnsi="宋体" w:cs="宋体"/>
                <w:bCs/>
                <w:color w:val="000000" w:themeColor="text1"/>
                <w:sz w:val="24"/>
                <w:highlight w:val="none"/>
                <w14:textFill>
                  <w14:solidFill>
                    <w14:schemeClr w14:val="tx1"/>
                  </w14:solidFill>
                </w14:textFill>
              </w:rPr>
              <w:t>得分高的优先；</w:t>
            </w:r>
            <w:r>
              <w:rPr>
                <w:rFonts w:ascii="宋体" w:hAnsi="宋体" w:cs="宋体"/>
                <w:bCs/>
                <w:color w:val="000000" w:themeColor="text1"/>
                <w:sz w:val="24"/>
                <w:highlight w:val="none"/>
                <w14:textFill>
                  <w14:solidFill>
                    <w14:schemeClr w14:val="tx1"/>
                  </w14:solidFill>
                </w14:textFill>
              </w:rPr>
              <w:t>技术建议书</w:t>
            </w:r>
            <w:r>
              <w:rPr>
                <w:rFonts w:hint="eastAsia" w:ascii="宋体" w:hAnsi="宋体" w:cs="宋体"/>
                <w:bCs/>
                <w:color w:val="000000" w:themeColor="text1"/>
                <w:sz w:val="24"/>
                <w:highlight w:val="none"/>
                <w14:textFill>
                  <w14:solidFill>
                    <w14:schemeClr w14:val="tx1"/>
                  </w14:solidFill>
                </w14:textFill>
              </w:rPr>
              <w:t>得分也相等时，则以</w:t>
            </w:r>
            <w:r>
              <w:rPr>
                <w:rFonts w:hint="eastAsia" w:ascii="宋体" w:hAnsi="宋体" w:cs="宋体"/>
                <w:bCs/>
                <w:color w:val="000000" w:themeColor="text1"/>
                <w:sz w:val="24"/>
                <w:highlight w:val="none"/>
                <w:lang w:val="en-US" w:eastAsia="zh-CN"/>
                <w14:textFill>
                  <w14:solidFill>
                    <w14:schemeClr w14:val="tx1"/>
                  </w14:solidFill>
                </w14:textFill>
              </w:rPr>
              <w:t>下载文件</w:t>
            </w:r>
            <w:r>
              <w:rPr>
                <w:rFonts w:hint="eastAsia" w:ascii="宋体" w:hAnsi="宋体" w:cs="宋体"/>
                <w:bCs/>
                <w:color w:val="000000" w:themeColor="text1"/>
                <w:sz w:val="24"/>
                <w:highlight w:val="none"/>
                <w14:textFill>
                  <w14:solidFill>
                    <w14:schemeClr w14:val="tx1"/>
                  </w14:solidFill>
                </w14:textFill>
              </w:rPr>
              <w:t>时间较早的优先。若仍不能确定，由评标委员会择优确定。</w:t>
            </w:r>
          </w:p>
          <w:p>
            <w:pPr>
              <w:pStyle w:val="9"/>
              <w:spacing w:line="276" w:lineRule="auto"/>
              <w:ind w:left="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3.在评标过程中，如通过形式评审与响应性评审及资格评审的投标人不足3个的，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tc>
      </w:tr>
    </w:tbl>
    <w:p>
      <w:pPr>
        <w:pStyle w:val="2"/>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p>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RgOs1zAEAAHoDAAAOAAAAAAAAAAEAIAAAAB4BAABkcnMvZTJv&#10;RG9jLnhtbFBLBQYAAAAABgAGAFkBAABcBQAAAAA=&#10;">
              <v:fill on="f" focussize="0,0"/>
              <v:stroke on="f"/>
              <v:imagedata o:title=""/>
              <o:lock v:ext="edit" aspectratio="f"/>
              <v:textbox inset="0mm,0mm,0mm,0mm" style="mso-fit-shape-to-text:t;">
                <w:txbxContent>
                  <w:p>
                    <w:pPr>
                      <w:pStyle w:val="10"/>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D1AB3"/>
    <w:multiLevelType w:val="multilevel"/>
    <w:tmpl w:val="E70D1AB3"/>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27E4D6D"/>
    <w:multiLevelType w:val="singleLevel"/>
    <w:tmpl w:val="127E4D6D"/>
    <w:lvl w:ilvl="0" w:tentative="0">
      <w:start w:val="1"/>
      <w:numFmt w:val="decimal"/>
      <w:lvlText w:val="%1."/>
      <w:lvlJc w:val="left"/>
      <w:pPr>
        <w:tabs>
          <w:tab w:val="left" w:pos="312"/>
        </w:tabs>
      </w:pPr>
    </w:lvl>
  </w:abstractNum>
  <w:abstractNum w:abstractNumId="2">
    <w:nsid w:val="535AE17A"/>
    <w:multiLevelType w:val="singleLevel"/>
    <w:tmpl w:val="535AE17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2YwYzc0OTQwMjZkMzI3ZmUxMzdiMjg5ZWVkNzQifQ=="/>
  </w:docVars>
  <w:rsids>
    <w:rsidRoot w:val="15D41048"/>
    <w:rsid w:val="0DD64390"/>
    <w:rsid w:val="15D41048"/>
    <w:rsid w:val="1D6D3C7F"/>
    <w:rsid w:val="30AE4E1B"/>
    <w:rsid w:val="359A5F35"/>
    <w:rsid w:val="3E8C3E12"/>
    <w:rsid w:val="6435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Arial" w:hAnsi="Arial"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textAlignment w:val="auto"/>
      <w:outlineLvl w:val="1"/>
    </w:pPr>
    <w:rPr>
      <w:rFonts w:eastAsia="黑体"/>
      <w:b/>
      <w:bCs/>
      <w:kern w:val="2"/>
      <w:sz w:val="32"/>
      <w:szCs w:val="32"/>
    </w:rPr>
  </w:style>
  <w:style w:type="paragraph" w:styleId="4">
    <w:name w:val="heading 5"/>
    <w:basedOn w:val="1"/>
    <w:next w:val="1"/>
    <w:qFormat/>
    <w:uiPriority w:val="0"/>
    <w:pPr>
      <w:keepNext/>
      <w:keepLines/>
      <w:autoSpaceDE/>
      <w:autoSpaceDN/>
      <w:adjustRightInd/>
      <w:spacing w:before="280" w:after="290" w:line="376" w:lineRule="auto"/>
      <w:jc w:val="both"/>
      <w:textAlignment w:val="auto"/>
      <w:outlineLvl w:val="4"/>
    </w:pPr>
    <w:rPr>
      <w:b/>
      <w:bCs/>
      <w:kern w:val="2"/>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adjustRightInd w:val="0"/>
      <w:spacing w:line="400" w:lineRule="atLeast"/>
      <w:ind w:left="420" w:leftChars="200" w:firstLine="200" w:firstLineChars="200"/>
      <w:jc w:val="left"/>
      <w:textAlignment w:val="baseline"/>
    </w:pPr>
    <w:rPr>
      <w:kern w:val="0"/>
      <w:sz w:val="24"/>
    </w:rPr>
  </w:style>
  <w:style w:type="paragraph" w:styleId="5">
    <w:name w:val="annotation text"/>
    <w:basedOn w:val="1"/>
    <w:semiHidden/>
    <w:qFormat/>
    <w:uiPriority w:val="0"/>
  </w:style>
  <w:style w:type="paragraph" w:styleId="6">
    <w:name w:val="Body Text"/>
    <w:basedOn w:val="1"/>
    <w:next w:val="7"/>
    <w:qFormat/>
    <w:uiPriority w:val="0"/>
    <w:pPr>
      <w:jc w:val="both"/>
    </w:pPr>
    <w:rPr>
      <w:rFonts w:ascii="仿宋_GB2312" w:eastAsia="仿宋_GB2312"/>
      <w:sz w:val="24"/>
    </w:rPr>
  </w:style>
  <w:style w:type="paragraph" w:styleId="7">
    <w:name w:val="header"/>
    <w:basedOn w:val="1"/>
    <w:next w:val="8"/>
    <w:qFormat/>
    <w:uiPriority w:val="99"/>
    <w:pPr>
      <w:pBdr>
        <w:bottom w:val="single" w:color="auto" w:sz="6" w:space="0"/>
      </w:pBdr>
      <w:tabs>
        <w:tab w:val="center" w:pos="4153"/>
        <w:tab w:val="right" w:pos="8306"/>
      </w:tabs>
      <w:snapToGrid w:val="0"/>
    </w:pPr>
    <w:rPr>
      <w:rFonts w:ascii="宋体"/>
      <w:sz w:val="18"/>
    </w:rPr>
  </w:style>
  <w:style w:type="paragraph" w:styleId="8">
    <w:name w:val="Quote"/>
    <w:basedOn w:val="1"/>
    <w:next w:val="1"/>
    <w:qFormat/>
    <w:uiPriority w:val="0"/>
    <w:pPr>
      <w:widowControl/>
      <w:jc w:val="left"/>
    </w:pPr>
    <w:rPr>
      <w:rFonts w:ascii="Calibri" w:hAnsi="Calibri"/>
      <w:i/>
      <w:kern w:val="0"/>
      <w:sz w:val="24"/>
      <w:lang w:eastAsia="en-US" w:bidi="en-US"/>
    </w:rPr>
  </w:style>
  <w:style w:type="paragraph" w:styleId="9">
    <w:name w:val="Body Text Indent 2"/>
    <w:basedOn w:val="1"/>
    <w:qFormat/>
    <w:uiPriority w:val="0"/>
    <w:pPr>
      <w:ind w:firstLine="480" w:firstLineChars="200"/>
      <w:jc w:val="both"/>
    </w:pPr>
    <w:rPr>
      <w:rFonts w:ascii="仿宋_GB2312" w:eastAsia="仿宋_GB2312"/>
      <w:sz w:val="24"/>
    </w:rPr>
  </w:style>
  <w:style w:type="paragraph" w:styleId="10">
    <w:name w:val="footer"/>
    <w:basedOn w:val="1"/>
    <w:next w:val="11"/>
    <w:qFormat/>
    <w:uiPriority w:val="99"/>
    <w:pPr>
      <w:tabs>
        <w:tab w:val="center" w:pos="4153"/>
        <w:tab w:val="right" w:pos="8306"/>
      </w:tabs>
    </w:pPr>
    <w:rPr>
      <w:rFonts w:ascii="宋体"/>
      <w:sz w:val="18"/>
    </w:rPr>
  </w:style>
  <w:style w:type="paragraph" w:customStyle="1" w:styleId="11">
    <w:name w:val="彩色列表 - 强调文字颜色 11"/>
    <w:basedOn w:val="1"/>
    <w:next w:val="1"/>
    <w:qFormat/>
    <w:uiPriority w:val="0"/>
    <w:pPr>
      <w:ind w:firstLine="420" w:firstLineChars="200"/>
    </w:pPr>
    <w:rPr>
      <w:rFonts w:ascii="Calibri" w:hAnsi="Calibri"/>
    </w:rPr>
  </w:style>
  <w:style w:type="paragraph" w:styleId="12">
    <w:name w:val="Normal (Web)"/>
    <w:basedOn w:val="1"/>
    <w:qFormat/>
    <w:uiPriority w:val="0"/>
    <w:pPr>
      <w:widowControl/>
      <w:autoSpaceDE/>
      <w:autoSpaceDN/>
      <w:adjustRightInd/>
      <w:spacing w:before="100" w:beforeAutospacing="1" w:after="100" w:afterAutospacing="1" w:line="432" w:lineRule="auto"/>
      <w:ind w:firstLine="480"/>
      <w:textAlignment w:val="auto"/>
    </w:pPr>
    <w:rPr>
      <w:rFonts w:ascii="宋体" w:hAnsi="宋体" w:cs="宋体"/>
      <w:sz w:val="24"/>
      <w:szCs w:val="2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Table Paragraph"/>
    <w:basedOn w:val="1"/>
    <w:qFormat/>
    <w:uiPriority w:val="0"/>
    <w:pPr>
      <w:adjustRightInd/>
      <w:textAlignment w:val="auto"/>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8317</Words>
  <Characters>8969</Characters>
  <Lines>0</Lines>
  <Paragraphs>0</Paragraphs>
  <TotalTime>8</TotalTime>
  <ScaleCrop>false</ScaleCrop>
  <LinksUpToDate>false</LinksUpToDate>
  <CharactersWithSpaces>9034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2023-03-21T04:13:00Z</dcterms:created>
  <dc:creator>刘沐良（ ）</dc:creator>
  <cp:lastModifiedBy>ddd</cp:lastModifiedBy>
  <dcterms:modified xsi:type="dcterms:W3CDTF">2023-03-22T07:53:13Z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38B99A73F4CB4FEBABD063F828A8CD8F</vt:lpwstr>
  </property>
</Properties>
</file>