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28"/>
        </w:rPr>
      </w:pPr>
      <w:r>
        <w:rPr>
          <w:rFonts w:hint="eastAsia"/>
          <w:sz w:val="28"/>
          <w:szCs w:val="28"/>
        </w:rPr>
        <w:t>1、附录</w:t>
      </w:r>
    </w:p>
    <w:p>
      <w:pPr>
        <w:pStyle w:val="4"/>
        <w:spacing w:before="60" w:after="60" w:line="360" w:lineRule="auto"/>
        <w:jc w:val="center"/>
        <w:rPr>
          <w:rFonts w:asciiTheme="minorEastAsia" w:hAnsiTheme="minorEastAsia" w:eastAsiaTheme="minorEastAsia" w:cstheme="minorEastAsia"/>
          <w:b w:val="0"/>
          <w:color w:val="auto"/>
          <w:sz w:val="28"/>
          <w:szCs w:val="28"/>
          <w:highlight w:val="none"/>
        </w:rPr>
      </w:pPr>
      <w:bookmarkStart w:id="0" w:name="_Toc456819221"/>
      <w:bookmarkStart w:id="1" w:name="_Toc6353"/>
      <w:bookmarkStart w:id="2" w:name="_Toc456819417"/>
      <w:bookmarkStart w:id="3" w:name="_Toc452799479"/>
      <w:bookmarkStart w:id="4" w:name="_Toc524597613"/>
      <w:bookmarkStart w:id="5" w:name="_Toc483267981"/>
      <w:bookmarkStart w:id="6" w:name="_Toc353742522"/>
      <w:r>
        <w:rPr>
          <w:rFonts w:hint="eastAsia" w:asciiTheme="minorEastAsia" w:hAnsiTheme="minorEastAsia" w:eastAsiaTheme="minorEastAsia" w:cstheme="minorEastAsia"/>
          <w:snapToGrid w:val="0"/>
          <w:color w:val="auto"/>
          <w:kern w:val="0"/>
          <w:sz w:val="28"/>
          <w:szCs w:val="28"/>
          <w:highlight w:val="none"/>
        </w:rPr>
        <w:t>附录1 资格审查条件（资质最低要求）</w:t>
      </w:r>
      <w:bookmarkEnd w:id="0"/>
      <w:bookmarkEnd w:id="1"/>
      <w:bookmarkEnd w:id="2"/>
      <w:bookmarkEnd w:id="3"/>
      <w:bookmarkEnd w:id="4"/>
      <w:bookmarkEnd w:id="5"/>
      <w:bookmarkEnd w:id="6"/>
    </w:p>
    <w:p>
      <w:pPr>
        <w:jc w:val="center"/>
        <w:rPr>
          <w:rFonts w:asciiTheme="minorEastAsia" w:hAnsiTheme="minorEastAsia" w:eastAsiaTheme="minorEastAsia" w:cstheme="minorEastAsia"/>
          <w:b/>
          <w:color w:val="auto"/>
          <w:sz w:val="21"/>
          <w:szCs w:val="21"/>
          <w:highlight w:val="none"/>
        </w:rPr>
      </w:pPr>
    </w:p>
    <w:tbl>
      <w:tblPr>
        <w:tblStyle w:val="12"/>
        <w:tblW w:w="9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13" w:type="dxa"/>
            <w:vAlign w:val="center"/>
          </w:tcPr>
          <w:p>
            <w:pPr>
              <w:spacing w:line="360" w:lineRule="exact"/>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企业资质等级要求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8" w:hRule="atLeast"/>
          <w:jc w:val="center"/>
        </w:trPr>
        <w:tc>
          <w:tcPr>
            <w:tcW w:w="9213" w:type="dxa"/>
            <w:vAlign w:val="center"/>
          </w:tcPr>
          <w:p>
            <w:pPr>
              <w:widowControl/>
              <w:spacing w:line="360" w:lineRule="exact"/>
              <w:ind w:firstLine="420" w:firstLineChars="200"/>
              <w:jc w:val="both"/>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投标人需同时满足以下资质要求：</w:t>
            </w:r>
          </w:p>
          <w:p>
            <w:pPr>
              <w:widowControl/>
              <w:spacing w:line="360" w:lineRule="exact"/>
              <w:ind w:firstLine="420" w:firstLineChars="200"/>
              <w:jc w:val="both"/>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1、具有独立法人资格，同时具有有效的工商营业执照；</w:t>
            </w:r>
          </w:p>
          <w:p>
            <w:pPr>
              <w:widowControl/>
              <w:spacing w:line="360" w:lineRule="exact"/>
              <w:ind w:firstLine="420" w:firstLineChars="200"/>
              <w:jc w:val="both"/>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2、具有工程设计公路行业甲级（或工程设计综合资质甲级证书）及交通运输部核发的在有效期内的公路工程试验检测机构综合甲级资质证书；</w:t>
            </w:r>
          </w:p>
          <w:p>
            <w:pPr>
              <w:widowControl/>
              <w:spacing w:line="360" w:lineRule="exact"/>
              <w:ind w:firstLine="420" w:firstLineChars="200"/>
              <w:jc w:val="both"/>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3、具有质量技术监督部门颁发的计量认证证书(CMA 证书)。</w:t>
            </w:r>
          </w:p>
          <w:p>
            <w:pPr>
              <w:widowControl/>
              <w:spacing w:line="360" w:lineRule="exact"/>
              <w:ind w:firstLine="420" w:firstLineChars="200"/>
              <w:jc w:val="both"/>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注：若为联合体，计量认证证书由联合体牵头单位提供。</w:t>
            </w:r>
          </w:p>
        </w:tc>
      </w:tr>
    </w:tbl>
    <w:p>
      <w:pPr>
        <w:autoSpaceDE/>
        <w:autoSpaceDN/>
        <w:adjustRightInd/>
        <w:snapToGrid w:val="0"/>
        <w:textAlignment w:val="auto"/>
        <w:rPr>
          <w:rFonts w:asciiTheme="minorEastAsia" w:hAnsiTheme="minorEastAsia" w:eastAsiaTheme="minorEastAsia" w:cstheme="minorEastAsia"/>
          <w:color w:val="auto"/>
          <w:sz w:val="21"/>
          <w:szCs w:val="21"/>
          <w:highlight w:val="none"/>
        </w:rPr>
      </w:pPr>
    </w:p>
    <w:p>
      <w:pPr>
        <w:autoSpaceDE/>
        <w:autoSpaceDN/>
        <w:adjustRightInd/>
        <w:snapToGrid w:val="0"/>
        <w:textAlignment w:val="auto"/>
        <w:rPr>
          <w:rFonts w:asciiTheme="minorEastAsia" w:hAnsiTheme="minorEastAsia" w:eastAsiaTheme="minorEastAsia" w:cstheme="minorEastAsia"/>
          <w:color w:val="auto"/>
          <w:sz w:val="21"/>
          <w:szCs w:val="21"/>
          <w:highlight w:val="none"/>
        </w:rPr>
      </w:pPr>
    </w:p>
    <w:p>
      <w:pPr>
        <w:autoSpaceDE/>
        <w:autoSpaceDN/>
        <w:adjustRightInd/>
        <w:snapToGrid w:val="0"/>
        <w:textAlignment w:val="auto"/>
        <w:rPr>
          <w:rFonts w:asciiTheme="minorEastAsia" w:hAnsiTheme="minorEastAsia" w:eastAsiaTheme="minorEastAsia" w:cstheme="minorEastAsia"/>
          <w:color w:val="auto"/>
          <w:sz w:val="21"/>
          <w:szCs w:val="21"/>
          <w:highlight w:val="none"/>
        </w:rPr>
      </w:pPr>
    </w:p>
    <w:p>
      <w:pPr>
        <w:autoSpaceDE/>
        <w:autoSpaceDN/>
        <w:adjustRightInd/>
        <w:snapToGrid w:val="0"/>
        <w:textAlignment w:val="auto"/>
        <w:rPr>
          <w:rFonts w:asciiTheme="minorEastAsia" w:hAnsiTheme="minorEastAsia" w:eastAsiaTheme="minorEastAsia" w:cstheme="minorEastAsia"/>
          <w:color w:val="auto"/>
          <w:sz w:val="21"/>
          <w:szCs w:val="21"/>
          <w:highlight w:val="none"/>
        </w:rPr>
      </w:pPr>
    </w:p>
    <w:p>
      <w:pPr>
        <w:autoSpaceDE/>
        <w:autoSpaceDN/>
        <w:adjustRightInd/>
        <w:snapToGrid w:val="0"/>
        <w:textAlignment w:val="auto"/>
        <w:rPr>
          <w:rFonts w:asciiTheme="minorEastAsia" w:hAnsiTheme="minorEastAsia" w:eastAsiaTheme="minorEastAsia" w:cstheme="minorEastAsia"/>
          <w:color w:val="auto"/>
          <w:sz w:val="21"/>
          <w:szCs w:val="21"/>
          <w:highlight w:val="none"/>
        </w:rPr>
      </w:pPr>
    </w:p>
    <w:p>
      <w:pPr>
        <w:autoSpaceDE/>
        <w:autoSpaceDN/>
        <w:adjustRightInd/>
        <w:snapToGrid w:val="0"/>
        <w:textAlignment w:val="auto"/>
        <w:rPr>
          <w:rFonts w:asciiTheme="minorEastAsia" w:hAnsiTheme="minorEastAsia" w:eastAsiaTheme="minorEastAsia" w:cstheme="minorEastAsia"/>
          <w:color w:val="auto"/>
          <w:sz w:val="21"/>
          <w:szCs w:val="21"/>
          <w:highlight w:val="none"/>
        </w:rPr>
      </w:pPr>
    </w:p>
    <w:p>
      <w:pPr>
        <w:pStyle w:val="4"/>
        <w:spacing w:before="60" w:after="60" w:line="360" w:lineRule="auto"/>
        <w:jc w:val="center"/>
        <w:rPr>
          <w:rFonts w:asciiTheme="minorEastAsia" w:hAnsiTheme="minorEastAsia" w:eastAsiaTheme="minorEastAsia" w:cstheme="minorEastAsia"/>
          <w:b w:val="0"/>
          <w:color w:val="auto"/>
          <w:sz w:val="28"/>
          <w:szCs w:val="28"/>
          <w:highlight w:val="none"/>
        </w:rPr>
      </w:pPr>
      <w:bookmarkStart w:id="7" w:name="_Toc17019"/>
      <w:bookmarkStart w:id="8" w:name="_Toc524597614"/>
      <w:r>
        <w:rPr>
          <w:rFonts w:hint="eastAsia" w:asciiTheme="minorEastAsia" w:hAnsiTheme="minorEastAsia" w:eastAsiaTheme="minorEastAsia" w:cstheme="minorEastAsia"/>
          <w:snapToGrid w:val="0"/>
          <w:color w:val="auto"/>
          <w:kern w:val="0"/>
          <w:sz w:val="28"/>
          <w:szCs w:val="28"/>
          <w:highlight w:val="none"/>
        </w:rPr>
        <w:t>附录2 资格审查条件（财务最低要求）</w:t>
      </w:r>
      <w:bookmarkEnd w:id="7"/>
      <w:bookmarkEnd w:id="8"/>
    </w:p>
    <w:p>
      <w:pPr>
        <w:jc w:val="center"/>
        <w:rPr>
          <w:rFonts w:asciiTheme="minorEastAsia" w:hAnsiTheme="minorEastAsia" w:eastAsiaTheme="minorEastAsia" w:cstheme="minorEastAsia"/>
          <w:b/>
          <w:color w:val="auto"/>
          <w:sz w:val="21"/>
          <w:szCs w:val="21"/>
          <w:highlight w:val="none"/>
        </w:rPr>
      </w:pPr>
    </w:p>
    <w:tbl>
      <w:tblPr>
        <w:tblStyle w:val="12"/>
        <w:tblW w:w="9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13" w:type="dxa"/>
            <w:vAlign w:val="center"/>
          </w:tcPr>
          <w:p>
            <w:pPr>
              <w:spacing w:line="360" w:lineRule="exact"/>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
                <w:color w:val="auto"/>
                <w:sz w:val="21"/>
                <w:szCs w:val="21"/>
                <w:highlight w:val="none"/>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6" w:hRule="atLeast"/>
          <w:jc w:val="center"/>
        </w:trPr>
        <w:tc>
          <w:tcPr>
            <w:tcW w:w="9213" w:type="dxa"/>
            <w:vAlign w:val="center"/>
          </w:tcPr>
          <w:p>
            <w:pPr>
              <w:widowControl/>
              <w:spacing w:line="360" w:lineRule="exact"/>
              <w:ind w:firstLine="420" w:firstLineChars="200"/>
              <w:jc w:val="both"/>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1、提供近 3 年（2019 年、2020 年、2021 年）经会计师事务所或审计机构审计的财务会计报表；</w:t>
            </w:r>
          </w:p>
          <w:p>
            <w:pPr>
              <w:widowControl/>
              <w:spacing w:line="360" w:lineRule="exact"/>
              <w:ind w:firstLine="420" w:firstLineChars="200"/>
              <w:jc w:val="both"/>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2、近 3 年的流动资产与流动负债比率不小于 1。</w:t>
            </w:r>
          </w:p>
          <w:p>
            <w:pPr>
              <w:widowControl/>
              <w:spacing w:line="360" w:lineRule="exact"/>
              <w:ind w:firstLine="420" w:firstLineChars="200"/>
              <w:jc w:val="both"/>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注：若是联合体投标，联合体牵头方及联合体成员均应满足以上要求，并附财务会计报表（只须提供资产负债表、利润表、现金流量表能体现上述数据的报表即可）</w:t>
            </w:r>
          </w:p>
        </w:tc>
      </w:tr>
    </w:tbl>
    <w:p>
      <w:pPr>
        <w:autoSpaceDE/>
        <w:autoSpaceDN/>
        <w:adjustRightInd/>
        <w:snapToGrid w:val="0"/>
        <w:textAlignment w:val="auto"/>
        <w:rPr>
          <w:rFonts w:asciiTheme="minorEastAsia" w:hAnsiTheme="minorEastAsia" w:eastAsiaTheme="minorEastAsia" w:cstheme="minorEastAsia"/>
          <w:color w:val="auto"/>
          <w:sz w:val="21"/>
          <w:szCs w:val="21"/>
          <w:highlight w:val="none"/>
        </w:rPr>
      </w:pPr>
    </w:p>
    <w:p>
      <w:pPr>
        <w:pStyle w:val="4"/>
        <w:spacing w:before="60" w:after="60" w:line="360" w:lineRule="auto"/>
        <w:jc w:val="center"/>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color w:val="auto"/>
          <w:sz w:val="28"/>
          <w:szCs w:val="28"/>
          <w:highlight w:val="none"/>
        </w:rPr>
        <w:br w:type="page"/>
      </w:r>
      <w:bookmarkStart w:id="9" w:name="_Toc353742524"/>
      <w:bookmarkStart w:id="10" w:name="_Toc456819418"/>
      <w:bookmarkStart w:id="11" w:name="_Toc452799481"/>
      <w:bookmarkStart w:id="12" w:name="_Toc524597615"/>
      <w:bookmarkStart w:id="13" w:name="_Toc483267982"/>
      <w:bookmarkStart w:id="14" w:name="_Toc456819222"/>
      <w:bookmarkStart w:id="15" w:name="_Toc13343"/>
      <w:r>
        <w:rPr>
          <w:rFonts w:hint="eastAsia" w:asciiTheme="minorEastAsia" w:hAnsiTheme="minorEastAsia" w:eastAsiaTheme="minorEastAsia" w:cstheme="minorEastAsia"/>
          <w:snapToGrid w:val="0"/>
          <w:color w:val="auto"/>
          <w:kern w:val="0"/>
          <w:sz w:val="28"/>
          <w:szCs w:val="28"/>
          <w:highlight w:val="none"/>
        </w:rPr>
        <w:t>附录3 资格审查条件（业绩最低要求）</w:t>
      </w:r>
      <w:bookmarkEnd w:id="9"/>
      <w:bookmarkEnd w:id="10"/>
      <w:bookmarkEnd w:id="11"/>
      <w:bookmarkEnd w:id="12"/>
      <w:bookmarkEnd w:id="13"/>
      <w:bookmarkEnd w:id="14"/>
      <w:bookmarkEnd w:id="15"/>
    </w:p>
    <w:p>
      <w:pPr>
        <w:kinsoku w:val="0"/>
        <w:overflowPunct w:val="0"/>
        <w:snapToGrid w:val="0"/>
        <w:rPr>
          <w:rFonts w:asciiTheme="minorEastAsia" w:hAnsiTheme="minorEastAsia" w:eastAsiaTheme="minorEastAsia" w:cstheme="minorEastAsia"/>
          <w:snapToGrid w:val="0"/>
          <w:color w:val="auto"/>
          <w:sz w:val="21"/>
          <w:szCs w:val="21"/>
          <w:highlight w:val="none"/>
        </w:rPr>
      </w:pPr>
    </w:p>
    <w:tbl>
      <w:tblPr>
        <w:tblStyle w:val="12"/>
        <w:tblW w:w="9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blHeader/>
          <w:jc w:val="center"/>
        </w:trPr>
        <w:tc>
          <w:tcPr>
            <w:tcW w:w="9213" w:type="dxa"/>
            <w:vAlign w:val="center"/>
          </w:tcPr>
          <w:p>
            <w:pPr>
              <w:jc w:val="center"/>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color w:val="auto"/>
                <w:sz w:val="24"/>
                <w:szCs w:val="24"/>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5" w:hRule="atLeast"/>
          <w:jc w:val="center"/>
        </w:trPr>
        <w:tc>
          <w:tcPr>
            <w:tcW w:w="9213" w:type="dxa"/>
            <w:vAlign w:val="center"/>
          </w:tcPr>
          <w:p>
            <w:pPr>
              <w:jc w:val="center"/>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无</w:t>
            </w:r>
          </w:p>
        </w:tc>
      </w:tr>
    </w:tbl>
    <w:p>
      <w:pPr>
        <w:autoSpaceDE/>
        <w:autoSpaceDN/>
        <w:adjustRightInd/>
        <w:snapToGrid w:val="0"/>
        <w:textAlignment w:val="auto"/>
        <w:rPr>
          <w:rFonts w:asciiTheme="minorEastAsia" w:hAnsiTheme="minorEastAsia" w:eastAsiaTheme="minorEastAsia" w:cstheme="minorEastAsia"/>
          <w:color w:val="auto"/>
          <w:sz w:val="21"/>
          <w:szCs w:val="21"/>
          <w:highlight w:val="none"/>
        </w:rPr>
      </w:pPr>
      <w:bookmarkStart w:id="16" w:name="_Toc456819422"/>
      <w:bookmarkStart w:id="17" w:name="_Toc456819226"/>
      <w:bookmarkStart w:id="18" w:name="_Toc483267983"/>
      <w:bookmarkStart w:id="19" w:name="_Toc524597616"/>
    </w:p>
    <w:p>
      <w:pPr>
        <w:autoSpaceDE/>
        <w:autoSpaceDN/>
        <w:adjustRightInd/>
        <w:snapToGrid w:val="0"/>
        <w:textAlignment w:val="auto"/>
        <w:rPr>
          <w:rFonts w:asciiTheme="minorEastAsia" w:hAnsiTheme="minorEastAsia" w:eastAsiaTheme="minorEastAsia" w:cstheme="minorEastAsia"/>
          <w:color w:val="auto"/>
          <w:sz w:val="21"/>
          <w:szCs w:val="21"/>
          <w:highlight w:val="none"/>
        </w:rPr>
      </w:pPr>
    </w:p>
    <w:p>
      <w:pPr>
        <w:pStyle w:val="9"/>
        <w:ind w:left="2800"/>
        <w:rPr>
          <w:color w:val="auto"/>
          <w:highlight w:val="none"/>
        </w:rPr>
      </w:pPr>
    </w:p>
    <w:p>
      <w:pPr>
        <w:pStyle w:val="4"/>
        <w:spacing w:before="60" w:after="60" w:line="360" w:lineRule="auto"/>
        <w:jc w:val="center"/>
        <w:rPr>
          <w:rFonts w:asciiTheme="minorEastAsia" w:hAnsiTheme="minorEastAsia" w:eastAsiaTheme="minorEastAsia" w:cstheme="minorEastAsia"/>
          <w:snapToGrid w:val="0"/>
          <w:color w:val="auto"/>
          <w:kern w:val="0"/>
          <w:sz w:val="28"/>
          <w:szCs w:val="28"/>
          <w:highlight w:val="none"/>
        </w:rPr>
      </w:pPr>
      <w:bookmarkStart w:id="20" w:name="_Toc12346"/>
      <w:r>
        <w:rPr>
          <w:rFonts w:hint="eastAsia" w:asciiTheme="minorEastAsia" w:hAnsiTheme="minorEastAsia" w:eastAsiaTheme="minorEastAsia" w:cstheme="minorEastAsia"/>
          <w:snapToGrid w:val="0"/>
          <w:color w:val="auto"/>
          <w:kern w:val="0"/>
          <w:sz w:val="28"/>
          <w:szCs w:val="28"/>
          <w:highlight w:val="none"/>
        </w:rPr>
        <w:t>附录4 资格审查条件</w:t>
      </w:r>
      <w:bookmarkEnd w:id="16"/>
      <w:bookmarkEnd w:id="17"/>
      <w:bookmarkEnd w:id="18"/>
      <w:r>
        <w:rPr>
          <w:rFonts w:hint="eastAsia" w:asciiTheme="minorEastAsia" w:hAnsiTheme="minorEastAsia" w:eastAsiaTheme="minorEastAsia" w:cstheme="minorEastAsia"/>
          <w:snapToGrid w:val="0"/>
          <w:color w:val="auto"/>
          <w:kern w:val="0"/>
          <w:sz w:val="28"/>
          <w:szCs w:val="28"/>
          <w:highlight w:val="none"/>
        </w:rPr>
        <w:t>（信誉最低要求）</w:t>
      </w:r>
      <w:bookmarkEnd w:id="19"/>
      <w:bookmarkEnd w:id="20"/>
    </w:p>
    <w:p>
      <w:pPr>
        <w:rPr>
          <w:rFonts w:asciiTheme="minorEastAsia" w:hAnsiTheme="minorEastAsia" w:eastAsiaTheme="minorEastAsia" w:cstheme="minorEastAsia"/>
          <w:color w:val="auto"/>
          <w:sz w:val="21"/>
          <w:szCs w:val="21"/>
          <w:highlight w:val="none"/>
        </w:rPr>
      </w:pPr>
    </w:p>
    <w:tbl>
      <w:tblPr>
        <w:tblStyle w:val="12"/>
        <w:tblW w:w="9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1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
                <w:color w:val="auto"/>
                <w:sz w:val="21"/>
                <w:szCs w:val="21"/>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jc w:val="center"/>
        </w:trPr>
        <w:tc>
          <w:tcPr>
            <w:tcW w:w="921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420" w:firstLineChars="200"/>
              <w:jc w:val="both"/>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1.投标人在最新贵州省交通建设市场从业单位信用评价的综合考核定级中及“公路水运工程质量试验检测管理信息系统”中未被评价为 D 级；</w:t>
            </w:r>
          </w:p>
          <w:p>
            <w:pPr>
              <w:widowControl/>
              <w:spacing w:line="360" w:lineRule="exact"/>
              <w:ind w:firstLine="420" w:firstLineChars="200"/>
              <w:jc w:val="both"/>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2.未进行评价的企业按贵州省交通运输厅关于印发《贵州省高速公路设计施工企业信用评价实施细则（试行）》的通知黔交建设[2016] 279 号及《贵州省高速公路设计施工企业信用评价结果引用的补充通知》黔交建设[2016]291 号（可在贵州省交通运输厅网站 www.qjt.gov.cn 上查询）”文件规定确定的最新信用评定标准及《公路水运工程试验检测信用评价办法的通知》(交质监发〔2018〕78 号)文件精神进行判定。</w:t>
            </w:r>
          </w:p>
        </w:tc>
      </w:tr>
    </w:tbl>
    <w:p>
      <w:pPr>
        <w:rPr>
          <w:rFonts w:asciiTheme="minorEastAsia" w:hAnsiTheme="minorEastAsia" w:eastAsiaTheme="minorEastAsia" w:cstheme="minorEastAsia"/>
          <w:color w:val="auto"/>
          <w:sz w:val="18"/>
          <w:szCs w:val="18"/>
          <w:highlight w:val="none"/>
        </w:rPr>
      </w:pPr>
    </w:p>
    <w:p>
      <w:pPr>
        <w:spacing w:before="120" w:beforeLines="50" w:after="120"/>
        <w:ind w:firstLine="360"/>
        <w:rPr>
          <w:rFonts w:ascii="宋体" w:hAnsi="宋体" w:cs="Arial"/>
          <w:color w:val="auto"/>
          <w:sz w:val="21"/>
          <w:szCs w:val="21"/>
          <w:highlight w:val="none"/>
        </w:rPr>
      </w:pPr>
      <w:r>
        <w:rPr>
          <w:rFonts w:hint="eastAsia" w:ascii="宋体" w:hAnsi="宋体" w:cs="Arial"/>
          <w:color w:val="auto"/>
          <w:sz w:val="21"/>
          <w:szCs w:val="21"/>
          <w:highlight w:val="none"/>
        </w:rPr>
        <w:t>注：以联合体方式参与投标的，联合体各成员均须符合上述要求。</w:t>
      </w:r>
    </w:p>
    <w:p>
      <w:pPr>
        <w:widowControl/>
        <w:autoSpaceDE/>
        <w:autoSpaceDN/>
        <w:adjustRightInd/>
        <w:textAlignment w:val="auto"/>
        <w:rPr>
          <w:rFonts w:asciiTheme="minorEastAsia" w:hAnsiTheme="minorEastAsia" w:eastAsiaTheme="minorEastAsia" w:cstheme="minorEastAsia"/>
          <w:bCs/>
          <w:color w:val="auto"/>
          <w:kern w:val="2"/>
          <w:sz w:val="24"/>
          <w:szCs w:val="24"/>
          <w:highlight w:val="none"/>
        </w:rPr>
      </w:pPr>
    </w:p>
    <w:p>
      <w:pPr>
        <w:pStyle w:val="4"/>
        <w:spacing w:line="360" w:lineRule="auto"/>
        <w:jc w:val="center"/>
        <w:rPr>
          <w:rFonts w:asciiTheme="minorEastAsia" w:hAnsiTheme="minorEastAsia" w:eastAsiaTheme="minorEastAsia" w:cstheme="minorEastAsia"/>
          <w:bCs w:val="0"/>
          <w:color w:val="auto"/>
          <w:kern w:val="10"/>
          <w:sz w:val="30"/>
          <w:szCs w:val="30"/>
          <w:highlight w:val="none"/>
        </w:rPr>
      </w:pPr>
      <w:r>
        <w:rPr>
          <w:rFonts w:hint="eastAsia" w:eastAsia="宋体"/>
          <w:bCs w:val="0"/>
          <w:color w:val="auto"/>
          <w:kern w:val="0"/>
          <w:sz w:val="18"/>
          <w:szCs w:val="20"/>
          <w:highlight w:val="none"/>
        </w:rPr>
        <w:br w:type="page"/>
      </w:r>
      <w:bookmarkStart w:id="21" w:name="_Toc12801"/>
      <w:r>
        <w:rPr>
          <w:rFonts w:hint="eastAsia" w:asciiTheme="minorEastAsia" w:hAnsiTheme="minorEastAsia" w:eastAsiaTheme="minorEastAsia" w:cstheme="minorEastAsia"/>
          <w:bCs w:val="0"/>
          <w:color w:val="auto"/>
          <w:kern w:val="10"/>
          <w:sz w:val="30"/>
          <w:szCs w:val="30"/>
          <w:highlight w:val="none"/>
        </w:rPr>
        <w:t>附录5  资格审查条件（主要人员最低要求）</w:t>
      </w:r>
      <w:bookmarkEnd w:id="21"/>
    </w:p>
    <w:tbl>
      <w:tblPr>
        <w:tblStyle w:val="12"/>
        <w:tblpPr w:leftFromText="180" w:rightFromText="180" w:vertAnchor="text" w:tblpXSpec="center" w:tblpY="37"/>
        <w:tblOverlap w:val="never"/>
        <w:tblW w:w="9538" w:type="dxa"/>
        <w:tblInd w:w="0"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28" w:type="dxa"/>
          <w:bottom w:w="0" w:type="dxa"/>
          <w:right w:w="28" w:type="dxa"/>
        </w:tblCellMar>
      </w:tblPr>
      <w:tblGrid>
        <w:gridCol w:w="1851"/>
        <w:gridCol w:w="1015"/>
        <w:gridCol w:w="3935"/>
        <w:gridCol w:w="2737"/>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627" w:hRule="atLeast"/>
        </w:trPr>
        <w:tc>
          <w:tcPr>
            <w:tcW w:w="1851" w:type="dxa"/>
            <w:tcBorders>
              <w:top w:val="single" w:color="auto" w:sz="6" w:space="0"/>
              <w:left w:val="single" w:color="auto" w:sz="2" w:space="0"/>
              <w:bottom w:val="single" w:color="auto" w:sz="6" w:space="0"/>
              <w:right w:val="single" w:color="auto" w:sz="6" w:space="0"/>
            </w:tcBorders>
            <w:vAlign w:val="center"/>
          </w:tcPr>
          <w:p>
            <w:pPr>
              <w:pStyle w:val="2"/>
              <w:spacing w:line="360" w:lineRule="exact"/>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人员</w:t>
            </w:r>
          </w:p>
        </w:tc>
        <w:tc>
          <w:tcPr>
            <w:tcW w:w="101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数量</w:t>
            </w:r>
          </w:p>
        </w:tc>
        <w:tc>
          <w:tcPr>
            <w:tcW w:w="3935" w:type="dxa"/>
            <w:tcBorders>
              <w:top w:val="single" w:color="auto" w:sz="6" w:space="0"/>
              <w:left w:val="single" w:color="auto" w:sz="6" w:space="0"/>
              <w:bottom w:val="single" w:color="auto" w:sz="6"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资格要求</w:t>
            </w:r>
          </w:p>
        </w:tc>
        <w:tc>
          <w:tcPr>
            <w:tcW w:w="2737" w:type="dxa"/>
            <w:tcBorders>
              <w:top w:val="single" w:color="auto" w:sz="6" w:space="0"/>
              <w:left w:val="single" w:color="auto" w:sz="4" w:space="0"/>
              <w:bottom w:val="single" w:color="auto" w:sz="6" w:space="0"/>
              <w:right w:val="single" w:color="auto" w:sz="2" w:space="0"/>
            </w:tcBorders>
            <w:vAlign w:val="center"/>
          </w:tcPr>
          <w:p>
            <w:pPr>
              <w:spacing w:line="360" w:lineRule="exact"/>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在岗要求</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1340" w:hRule="atLeast"/>
        </w:trPr>
        <w:tc>
          <w:tcPr>
            <w:tcW w:w="1851" w:type="dxa"/>
            <w:tcBorders>
              <w:top w:val="single" w:color="auto" w:sz="6" w:space="0"/>
              <w:left w:val="single" w:color="auto" w:sz="2" w:space="0"/>
              <w:bottom w:val="single" w:color="auto" w:sz="6" w:space="0"/>
              <w:right w:val="single" w:color="auto" w:sz="6" w:space="0"/>
            </w:tcBorders>
            <w:vAlign w:val="center"/>
          </w:tcPr>
          <w:p>
            <w:pPr>
              <w:spacing w:line="360" w:lineRule="exact"/>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项目负责人</w:t>
            </w:r>
          </w:p>
        </w:tc>
        <w:tc>
          <w:tcPr>
            <w:tcW w:w="101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3935" w:type="dxa"/>
            <w:tcBorders>
              <w:top w:val="single" w:color="auto" w:sz="6" w:space="0"/>
              <w:left w:val="single" w:color="auto" w:sz="6" w:space="0"/>
              <w:right w:val="single" w:color="auto" w:sz="4" w:space="0"/>
            </w:tcBorders>
            <w:vAlign w:val="center"/>
          </w:tcPr>
          <w:p>
            <w:pPr>
              <w:spacing w:line="360" w:lineRule="exac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高级工程师及以上职称；具备公路水运</w:t>
            </w:r>
          </w:p>
          <w:p>
            <w:pPr>
              <w:spacing w:line="360" w:lineRule="exac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试验检测工程师证书（需持桥梁</w:t>
            </w:r>
            <w:r>
              <w:rPr>
                <w:rFonts w:hint="eastAsia" w:asciiTheme="minorEastAsia" w:hAnsiTheme="minorEastAsia" w:eastAsiaTheme="minorEastAsia" w:cstheme="minorEastAsia"/>
                <w:color w:val="auto"/>
                <w:sz w:val="21"/>
                <w:szCs w:val="21"/>
                <w:highlight w:val="none"/>
                <w:lang w:eastAsia="zh-CN"/>
              </w:rPr>
              <w:t>隧道</w:t>
            </w:r>
            <w:r>
              <w:rPr>
                <w:rFonts w:hint="eastAsia" w:asciiTheme="minorEastAsia" w:hAnsiTheme="minorEastAsia" w:eastAsiaTheme="minorEastAsia" w:cstheme="minorEastAsia"/>
                <w:color w:val="auto"/>
                <w:sz w:val="21"/>
                <w:szCs w:val="21"/>
                <w:highlight w:val="none"/>
              </w:rPr>
              <w:t>工程专业证书）。</w:t>
            </w:r>
          </w:p>
        </w:tc>
        <w:tc>
          <w:tcPr>
            <w:tcW w:w="2737" w:type="dxa"/>
            <w:vMerge w:val="restart"/>
            <w:tcBorders>
              <w:top w:val="single" w:color="auto" w:sz="6" w:space="0"/>
              <w:left w:val="single" w:color="auto" w:sz="4" w:space="0"/>
              <w:right w:val="single" w:color="auto" w:sz="2" w:space="0"/>
            </w:tcBorders>
            <w:vAlign w:val="center"/>
          </w:tcPr>
          <w:p>
            <w:pPr>
              <w:spacing w:line="360" w:lineRule="exac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无在岗项目（指目前未在其他项目上任职，或虽在其他项目上任职但本项目中标后能够从该项目撤离，或处于其他招标项目中标公示期或中标公示期已满但尚未签署合同但本项目中标后能够从该项目撤离）</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1251" w:hRule="atLeast"/>
        </w:trPr>
        <w:tc>
          <w:tcPr>
            <w:tcW w:w="1851" w:type="dxa"/>
            <w:tcBorders>
              <w:top w:val="single" w:color="auto" w:sz="6" w:space="0"/>
              <w:left w:val="single" w:color="auto" w:sz="2" w:space="0"/>
              <w:bottom w:val="single" w:color="auto" w:sz="6" w:space="0"/>
              <w:right w:val="single" w:color="auto" w:sz="6" w:space="0"/>
            </w:tcBorders>
            <w:vAlign w:val="center"/>
          </w:tcPr>
          <w:p>
            <w:pPr>
              <w:spacing w:line="360" w:lineRule="exact"/>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技术负责人</w:t>
            </w:r>
          </w:p>
        </w:tc>
        <w:tc>
          <w:tcPr>
            <w:tcW w:w="101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3935" w:type="dxa"/>
            <w:tcBorders>
              <w:top w:val="single" w:color="auto" w:sz="6" w:space="0"/>
              <w:left w:val="single" w:color="auto" w:sz="6" w:space="0"/>
              <w:right w:val="single" w:color="auto" w:sz="4" w:space="0"/>
            </w:tcBorders>
            <w:vAlign w:val="center"/>
          </w:tcPr>
          <w:p>
            <w:pPr>
              <w:spacing w:line="360" w:lineRule="exac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高级工程师及以上职称；具备公路水运</w:t>
            </w:r>
          </w:p>
          <w:p>
            <w:pPr>
              <w:spacing w:line="360" w:lineRule="exac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试验检测工程师证书（需持桥梁</w:t>
            </w:r>
            <w:r>
              <w:rPr>
                <w:rFonts w:hint="eastAsia" w:asciiTheme="minorEastAsia" w:hAnsiTheme="minorEastAsia" w:eastAsiaTheme="minorEastAsia" w:cstheme="minorEastAsia"/>
                <w:color w:val="auto"/>
                <w:sz w:val="21"/>
                <w:szCs w:val="21"/>
                <w:highlight w:val="none"/>
                <w:lang w:eastAsia="zh-CN"/>
              </w:rPr>
              <w:t>隧道</w:t>
            </w:r>
            <w:r>
              <w:rPr>
                <w:rFonts w:hint="eastAsia" w:asciiTheme="minorEastAsia" w:hAnsiTheme="minorEastAsia" w:eastAsiaTheme="minorEastAsia" w:cstheme="minorEastAsia"/>
                <w:color w:val="auto"/>
                <w:sz w:val="21"/>
                <w:szCs w:val="21"/>
                <w:highlight w:val="none"/>
              </w:rPr>
              <w:t>工程专业证书）。</w:t>
            </w:r>
          </w:p>
        </w:tc>
        <w:tc>
          <w:tcPr>
            <w:tcW w:w="2737" w:type="dxa"/>
            <w:vMerge w:val="continue"/>
            <w:tcBorders>
              <w:left w:val="single" w:color="auto" w:sz="4" w:space="0"/>
              <w:right w:val="single" w:color="auto" w:sz="2" w:space="0"/>
            </w:tcBorders>
            <w:vAlign w:val="center"/>
          </w:tcPr>
          <w:p>
            <w:pPr>
              <w:spacing w:line="360" w:lineRule="exact"/>
              <w:rPr>
                <w:rFonts w:asciiTheme="minorEastAsia" w:hAnsiTheme="minorEastAsia" w:eastAsiaTheme="minorEastAsia" w:cstheme="minorEastAsia"/>
                <w:color w:val="auto"/>
                <w:sz w:val="21"/>
                <w:szCs w:val="21"/>
                <w:highlight w:val="none"/>
              </w:rPr>
            </w:pPr>
          </w:p>
        </w:tc>
      </w:tr>
    </w:tbl>
    <w:p>
      <w:pPr>
        <w:jc w:val="left"/>
        <w:rPr>
          <w:color w:val="auto"/>
          <w:highlight w:val="none"/>
        </w:rPr>
      </w:pPr>
      <w:r>
        <w:rPr>
          <w:rFonts w:hint="eastAsia" w:ascii="宋体" w:hAnsi="宋体" w:cs="Arial"/>
          <w:color w:val="auto"/>
          <w:sz w:val="21"/>
          <w:szCs w:val="21"/>
          <w:highlight w:val="none"/>
        </w:rPr>
        <w:t>注：人员职称证书颁发单位应为各级人力资源和社会保障部门或在人力资源和社会保障部门进行过核准备案的单位，中央单位颁发的高级职称应是人力资源和社会保障部发布的中央单位高级职称评审委员会备案目录内的单位、专业、级别。非人力资源和社会保障部门颁布的职称证书投标人应提供颁发机构或获得的职称人员在人力资源和社会保障部门的备案证明文件，否则评标委员会将不予认可。</w:t>
      </w:r>
      <w:r>
        <w:rPr>
          <w:color w:val="auto"/>
          <w:highlight w:val="none"/>
        </w:rPr>
        <w:br w:type="page"/>
      </w:r>
    </w:p>
    <w:p>
      <w:pPr>
        <w:rPr>
          <w:rFonts w:hint="eastAsia"/>
          <w:sz w:val="28"/>
          <w:szCs w:val="28"/>
        </w:rPr>
      </w:pPr>
      <w:r>
        <w:rPr>
          <w:rFonts w:hint="eastAsia"/>
          <w:sz w:val="28"/>
          <w:szCs w:val="28"/>
        </w:rPr>
        <w:t>2、评标办法</w:t>
      </w:r>
    </w:p>
    <w:p>
      <w:pPr>
        <w:pStyle w:val="5"/>
        <w:pageBreakBefore w:val="0"/>
        <w:kinsoku/>
        <w:wordWrap/>
        <w:overflowPunct/>
        <w:topLinePunct w:val="0"/>
        <w:autoSpaceDE/>
        <w:autoSpaceDN/>
        <w:bidi w:val="0"/>
        <w:snapToGrid/>
        <w:spacing w:before="0" w:after="0" w:line="500" w:lineRule="exact"/>
        <w:jc w:val="center"/>
        <w:outlineLvl w:val="0"/>
        <w:rPr>
          <w:color w:val="auto"/>
          <w:sz w:val="30"/>
          <w:szCs w:val="30"/>
          <w:highlight w:val="none"/>
        </w:rPr>
      </w:pPr>
      <w:r>
        <w:rPr>
          <w:color w:val="auto"/>
          <w:sz w:val="30"/>
          <w:szCs w:val="30"/>
          <w:highlight w:val="none"/>
        </w:rPr>
        <w:t>评标办法（</w:t>
      </w:r>
      <w:r>
        <w:rPr>
          <w:rFonts w:hint="eastAsia"/>
          <w:color w:val="auto"/>
          <w:sz w:val="30"/>
          <w:szCs w:val="30"/>
          <w:highlight w:val="none"/>
          <w:lang w:eastAsia="zh-CN"/>
        </w:rPr>
        <w:t>综合评估法</w:t>
      </w:r>
      <w:r>
        <w:rPr>
          <w:color w:val="auto"/>
          <w:sz w:val="30"/>
          <w:szCs w:val="30"/>
          <w:highlight w:val="none"/>
        </w:rPr>
        <w:t>）</w:t>
      </w:r>
    </w:p>
    <w:p>
      <w:pPr>
        <w:spacing w:after="120" w:afterLines="50"/>
        <w:jc w:val="center"/>
        <w:outlineLvl w:val="1"/>
        <w:rPr>
          <w:rFonts w:asciiTheme="minorEastAsia" w:hAnsiTheme="minorEastAsia" w:eastAsiaTheme="minorEastAsia" w:cstheme="minorEastAsia"/>
          <w:b/>
          <w:color w:val="auto"/>
          <w:kern w:val="2"/>
          <w:sz w:val="28"/>
          <w:szCs w:val="28"/>
          <w:highlight w:val="none"/>
        </w:rPr>
      </w:pPr>
      <w:bookmarkStart w:id="22" w:name="_Toc353742556"/>
      <w:bookmarkStart w:id="23" w:name="_Toc483268005"/>
      <w:bookmarkStart w:id="24" w:name="_Toc452799510"/>
      <w:bookmarkStart w:id="25" w:name="_Toc456819450"/>
      <w:bookmarkStart w:id="26" w:name="_Toc21098"/>
      <w:bookmarkStart w:id="27" w:name="_Toc524597629"/>
      <w:bookmarkStart w:id="28" w:name="_Toc456819254"/>
      <w:r>
        <w:rPr>
          <w:rFonts w:hint="eastAsia" w:asciiTheme="minorEastAsia" w:hAnsiTheme="minorEastAsia" w:eastAsiaTheme="minorEastAsia" w:cstheme="minorEastAsia"/>
          <w:b/>
          <w:color w:val="auto"/>
          <w:kern w:val="2"/>
          <w:sz w:val="28"/>
          <w:szCs w:val="28"/>
          <w:highlight w:val="none"/>
        </w:rPr>
        <w:t>评标办法前附表</w:t>
      </w:r>
      <w:bookmarkEnd w:id="22"/>
      <w:bookmarkEnd w:id="23"/>
      <w:bookmarkEnd w:id="24"/>
      <w:bookmarkEnd w:id="25"/>
      <w:bookmarkEnd w:id="26"/>
      <w:bookmarkEnd w:id="27"/>
      <w:bookmarkEnd w:id="28"/>
    </w:p>
    <w:tbl>
      <w:tblPr>
        <w:tblStyle w:val="12"/>
        <w:tblW w:w="92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360"/>
        <w:gridCol w:w="820"/>
        <w:gridCol w:w="608"/>
        <w:gridCol w:w="2323"/>
        <w:gridCol w:w="794"/>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2318" w:type="dxa"/>
            <w:gridSpan w:val="2"/>
            <w:vAlign w:val="center"/>
          </w:tcPr>
          <w:p>
            <w:pPr>
              <w:snapToGrid w:val="0"/>
              <w:spacing w:line="380" w:lineRule="exact"/>
              <w:jc w:val="center"/>
              <w:rPr>
                <w:rFonts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条款号/名称</w:t>
            </w:r>
          </w:p>
        </w:tc>
        <w:tc>
          <w:tcPr>
            <w:tcW w:w="6895" w:type="dxa"/>
            <w:gridSpan w:val="5"/>
            <w:vAlign w:val="center"/>
          </w:tcPr>
          <w:p>
            <w:pPr>
              <w:snapToGrid w:val="0"/>
              <w:spacing w:line="380" w:lineRule="exact"/>
              <w:jc w:val="center"/>
              <w:rPr>
                <w:rFonts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评审因素与标准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8" w:hRule="atLeast"/>
        </w:trPr>
        <w:tc>
          <w:tcPr>
            <w:tcW w:w="958" w:type="dxa"/>
            <w:vAlign w:val="center"/>
          </w:tcPr>
          <w:p>
            <w:pPr>
              <w:snapToGrid w:val="0"/>
              <w:spacing w:line="380" w:lineRule="exact"/>
              <w:jc w:val="center"/>
              <w:rPr>
                <w:rFonts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360" w:type="dxa"/>
            <w:vAlign w:val="center"/>
          </w:tcPr>
          <w:p>
            <w:pPr>
              <w:snapToGrid w:val="0"/>
              <w:spacing w:line="380" w:lineRule="exact"/>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评标办法</w:t>
            </w:r>
          </w:p>
        </w:tc>
        <w:tc>
          <w:tcPr>
            <w:tcW w:w="6895" w:type="dxa"/>
            <w:gridSpan w:val="5"/>
            <w:vAlign w:val="center"/>
          </w:tcPr>
          <w:p>
            <w:pPr>
              <w:snapToGrid w:val="0"/>
              <w:spacing w:line="380" w:lineRule="exact"/>
              <w:jc w:val="both"/>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综合评分相等时，评标委员会依次按照以下优先顺序推荐中标候选人或确定中标人：</w:t>
            </w:r>
          </w:p>
          <w:p>
            <w:pPr>
              <w:snapToGrid w:val="0"/>
              <w:spacing w:line="380" w:lineRule="exact"/>
              <w:jc w:val="both"/>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（1）评标价低的投标人优先；</w:t>
            </w:r>
          </w:p>
          <w:p>
            <w:pPr>
              <w:snapToGrid w:val="0"/>
              <w:spacing w:line="380" w:lineRule="exact"/>
              <w:jc w:val="both"/>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（2）以评标时采用的信用等级较高的的投标人优先；</w:t>
            </w:r>
          </w:p>
          <w:p>
            <w:pPr>
              <w:snapToGrid w:val="0"/>
              <w:spacing w:line="380" w:lineRule="exact"/>
              <w:jc w:val="both"/>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（3）商务和技术得分较高的投标人优先；</w:t>
            </w:r>
          </w:p>
          <w:p>
            <w:pPr>
              <w:snapToGrid w:val="0"/>
              <w:spacing w:line="380" w:lineRule="exact"/>
              <w:jc w:val="both"/>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（4）下载标书时间较早的优先。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pPr>
              <w:spacing w:line="380" w:lineRule="exact"/>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2.1.1</w:t>
            </w:r>
          </w:p>
          <w:p>
            <w:pPr>
              <w:spacing w:line="380" w:lineRule="exact"/>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2.1.3</w:t>
            </w:r>
          </w:p>
        </w:tc>
        <w:tc>
          <w:tcPr>
            <w:tcW w:w="1360" w:type="dxa"/>
            <w:vAlign w:val="center"/>
          </w:tcPr>
          <w:p>
            <w:pPr>
              <w:spacing w:line="380" w:lineRule="exact"/>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形式评审与响应性评审标准</w:t>
            </w:r>
          </w:p>
        </w:tc>
        <w:tc>
          <w:tcPr>
            <w:tcW w:w="6895" w:type="dxa"/>
            <w:gridSpan w:val="5"/>
            <w:vAlign w:val="center"/>
          </w:tcPr>
          <w:p>
            <w:pPr>
              <w:snapToGrid w:val="0"/>
              <w:spacing w:line="380" w:lineRule="exact"/>
              <w:jc w:val="both"/>
              <w:rPr>
                <w:rFonts w:asciiTheme="minorEastAsia" w:hAnsiTheme="minorEastAsia" w:eastAsiaTheme="minorEastAsia" w:cstheme="minorEastAsia"/>
                <w:b/>
                <w:bCs/>
                <w:color w:val="auto"/>
                <w:sz w:val="21"/>
                <w:szCs w:val="21"/>
                <w:highlight w:val="none"/>
              </w:rPr>
            </w:pPr>
            <w:r>
              <w:rPr>
                <w:rFonts w:asciiTheme="minorEastAsia" w:hAnsiTheme="minorEastAsia" w:eastAsiaTheme="minorEastAsia" w:cstheme="minorEastAsia"/>
                <w:b/>
                <w:bCs/>
                <w:color w:val="auto"/>
                <w:sz w:val="21"/>
                <w:szCs w:val="21"/>
                <w:highlight w:val="none"/>
              </w:rPr>
              <w:t>第一个信封（商务及技术文件）评审标准：</w:t>
            </w:r>
          </w:p>
          <w:p>
            <w:pPr>
              <w:snapToGrid w:val="0"/>
              <w:spacing w:line="380" w:lineRule="exact"/>
              <w:jc w:val="both"/>
              <w:rPr>
                <w:rFonts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（1）投标文件按照招标文件规定的格式、内容填写，字迹清晰可辩：</w:t>
            </w:r>
          </w:p>
          <w:p>
            <w:pPr>
              <w:snapToGrid w:val="0"/>
              <w:spacing w:line="380" w:lineRule="exact"/>
              <w:jc w:val="both"/>
              <w:rPr>
                <w:rFonts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a.投标函按招标文件规定填报了项目名称、标段号、补遗书编号（如有）、服务期限、工程质量要求及安全目标；</w:t>
            </w:r>
          </w:p>
          <w:p>
            <w:pPr>
              <w:snapToGrid w:val="0"/>
              <w:spacing w:line="380" w:lineRule="exact"/>
              <w:jc w:val="both"/>
              <w:rPr>
                <w:rFonts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b.投标文件组成齐全完整，内容均按规定填写。</w:t>
            </w:r>
          </w:p>
          <w:p>
            <w:pPr>
              <w:snapToGrid w:val="0"/>
              <w:spacing w:line="380" w:lineRule="exact"/>
              <w:jc w:val="both"/>
              <w:rPr>
                <w:rFonts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rPr>
              <w:t>投标文件上法定代表人签字</w:t>
            </w:r>
            <w:r>
              <w:rPr>
                <w:rFonts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rPr>
              <w:t>投标人的单位章齐全，符合招标文件规定；</w:t>
            </w:r>
          </w:p>
          <w:p>
            <w:pPr>
              <w:snapToGrid w:val="0"/>
              <w:spacing w:line="380" w:lineRule="exact"/>
              <w:jc w:val="both"/>
              <w:rPr>
                <w:rFonts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（3）投标人按照招标文件的规定提供了投标保证金：</w:t>
            </w:r>
          </w:p>
          <w:p>
            <w:pPr>
              <w:snapToGrid w:val="0"/>
              <w:spacing w:line="380" w:lineRule="exact"/>
              <w:jc w:val="both"/>
              <w:rPr>
                <w:rFonts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a.投标保证金金额符合招标文件规定的金额，且投标保证金有效期不少于投标有效期；</w:t>
            </w:r>
          </w:p>
          <w:p>
            <w:pPr>
              <w:snapToGrid w:val="0"/>
              <w:spacing w:line="380" w:lineRule="exact"/>
              <w:jc w:val="both"/>
              <w:rPr>
                <w:rFonts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b.若投标保证金采用现金或支票形式提交，投标人应在递交投标文件截止时间之前，将投标保证金由投标人的基本账户转入招标人指定账户；</w:t>
            </w:r>
          </w:p>
          <w:p>
            <w:pPr>
              <w:snapToGrid w:val="0"/>
              <w:spacing w:line="380" w:lineRule="exact"/>
              <w:jc w:val="both"/>
              <w:rPr>
                <w:rFonts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c.</w:t>
            </w:r>
            <w:r>
              <w:rPr>
                <w:rFonts w:hint="eastAsia" w:asciiTheme="minorEastAsia" w:hAnsiTheme="minorEastAsia" w:eastAsiaTheme="minorEastAsia" w:cstheme="minorEastAsia"/>
                <w:color w:val="auto"/>
                <w:sz w:val="21"/>
                <w:szCs w:val="21"/>
                <w:highlight w:val="none"/>
              </w:rPr>
              <w:t>若投标保证金采用电子保函（含银行保函、保证保险、担保保函等）形式提交，电子保函开具的方式、保函有效期、提供的证明文件等均满足招标文件要求。</w:t>
            </w:r>
          </w:p>
          <w:p>
            <w:pPr>
              <w:snapToGrid w:val="0"/>
              <w:spacing w:line="380" w:lineRule="exact"/>
              <w:jc w:val="both"/>
              <w:rPr>
                <w:rFonts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（4）投标人法定代表人授权委托代理人签署投标文件的，须提交授权委托书，且授权人和被授权人均在授权委托书上签名，未使用印章、签名章或其他电子制版签名代替。</w:t>
            </w:r>
            <w:r>
              <w:rPr>
                <w:rFonts w:hint="eastAsia" w:asciiTheme="minorEastAsia" w:hAnsiTheme="minorEastAsia" w:eastAsiaTheme="minorEastAsia" w:cstheme="minorEastAsia"/>
                <w:color w:val="auto"/>
                <w:sz w:val="21"/>
                <w:szCs w:val="21"/>
                <w:highlight w:val="none"/>
              </w:rPr>
              <w:t>（不适用）</w:t>
            </w:r>
          </w:p>
          <w:p>
            <w:pPr>
              <w:snapToGrid w:val="0"/>
              <w:spacing w:line="380" w:lineRule="exact"/>
              <w:jc w:val="both"/>
              <w:rPr>
                <w:rFonts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（5）提供了法定代表人身份证明，且法定代表人身份证明上签字、盖章的地方符合招标文件投标人须知3.7.3的规定。</w:t>
            </w:r>
          </w:p>
          <w:p>
            <w:pPr>
              <w:tabs>
                <w:tab w:val="left" w:pos="3060"/>
              </w:tabs>
              <w:snapToGrid w:val="0"/>
              <w:spacing w:line="380" w:lineRule="exact"/>
              <w:jc w:val="both"/>
              <w:rPr>
                <w:rFonts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（6）</w:t>
            </w:r>
            <w:r>
              <w:rPr>
                <w:rFonts w:hint="eastAsia" w:asciiTheme="minorEastAsia" w:hAnsiTheme="minorEastAsia" w:eastAsiaTheme="minorEastAsia" w:cstheme="minorEastAsia"/>
                <w:color w:val="auto"/>
                <w:sz w:val="21"/>
                <w:szCs w:val="21"/>
                <w:highlight w:val="none"/>
              </w:rPr>
              <w:t>投标人以联合体形式投标时，联合体满足招标文件的要求：</w:t>
            </w:r>
          </w:p>
          <w:p>
            <w:pPr>
              <w:tabs>
                <w:tab w:val="left" w:pos="3060"/>
              </w:tabs>
              <w:snapToGrid w:val="0"/>
              <w:spacing w:line="380" w:lineRule="exact"/>
              <w:ind w:firstLine="210" w:firstLineChars="100"/>
              <w:jc w:val="both"/>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a.未进行资格预审的，投标人按照招标文件提供的格式签订了联合体协议书，明确各方承担连带责任，并明确了联合体牵头人；</w:t>
            </w:r>
          </w:p>
          <w:p>
            <w:pPr>
              <w:tabs>
                <w:tab w:val="left" w:pos="3060"/>
              </w:tabs>
              <w:snapToGrid w:val="0"/>
              <w:spacing w:line="380" w:lineRule="exact"/>
              <w:ind w:firstLine="210" w:firstLineChars="100"/>
              <w:jc w:val="both"/>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b.已进行资格预审的，投标人提供了资格预审申请文件中所附的联合体协议书复印件，且通过资格预审后的联合体无成员增减或更换的情况。</w:t>
            </w:r>
          </w:p>
          <w:p>
            <w:pPr>
              <w:tabs>
                <w:tab w:val="left" w:pos="3060"/>
              </w:tabs>
              <w:snapToGrid w:val="0"/>
              <w:spacing w:line="380" w:lineRule="exact"/>
              <w:jc w:val="both"/>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（7）投标人如有分包计划，符合招标文件第二章“投标人须知” 第1.11款规定，且按招标文件第五章“投标文件格式”的要求填写了“拟分包项目情况表”。（不适用）</w:t>
            </w:r>
          </w:p>
          <w:p>
            <w:pPr>
              <w:snapToGrid w:val="0"/>
              <w:spacing w:line="380" w:lineRule="exact"/>
              <w:jc w:val="both"/>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（8）同一投标人未提交两个以上不同的投标文件，但招标文件要求提交备选投标的除外。</w:t>
            </w:r>
          </w:p>
          <w:p>
            <w:pPr>
              <w:tabs>
                <w:tab w:val="left" w:pos="3060"/>
              </w:tabs>
              <w:snapToGrid w:val="0"/>
              <w:spacing w:line="380" w:lineRule="exact"/>
              <w:jc w:val="both"/>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（9）投标文件中未出现有关投标报价的内容。</w:t>
            </w:r>
          </w:p>
          <w:p>
            <w:pPr>
              <w:tabs>
                <w:tab w:val="left" w:pos="3060"/>
              </w:tabs>
              <w:snapToGrid w:val="0"/>
              <w:spacing w:line="380" w:lineRule="exact"/>
              <w:jc w:val="both"/>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（10）投标文件载明的招标项目完成期限未超过招标文件规定的时限。</w:t>
            </w:r>
          </w:p>
          <w:p>
            <w:pPr>
              <w:tabs>
                <w:tab w:val="left" w:pos="3060"/>
              </w:tabs>
              <w:snapToGrid w:val="0"/>
              <w:spacing w:line="380" w:lineRule="exact"/>
              <w:jc w:val="both"/>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（11）投标文件对招标文件的实质性要求和条件作出响应。</w:t>
            </w:r>
          </w:p>
          <w:p>
            <w:pPr>
              <w:tabs>
                <w:tab w:val="left" w:pos="3060"/>
              </w:tabs>
              <w:snapToGrid w:val="0"/>
              <w:spacing w:line="380" w:lineRule="exact"/>
              <w:jc w:val="both"/>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（12）权利义务符合招标文件规定：</w:t>
            </w:r>
          </w:p>
          <w:p>
            <w:pPr>
              <w:tabs>
                <w:tab w:val="left" w:pos="3060"/>
              </w:tabs>
              <w:snapToGrid w:val="0"/>
              <w:spacing w:line="380" w:lineRule="exact"/>
              <w:ind w:firstLine="210" w:firstLineChars="100"/>
              <w:jc w:val="both"/>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a.投标人应接受招标文件规定的风险划分原则，未提出新的风险划分办法；</w:t>
            </w:r>
          </w:p>
          <w:p>
            <w:pPr>
              <w:tabs>
                <w:tab w:val="left" w:pos="3060"/>
              </w:tabs>
              <w:snapToGrid w:val="0"/>
              <w:spacing w:line="380" w:lineRule="exact"/>
              <w:ind w:firstLine="210" w:firstLineChars="100"/>
              <w:jc w:val="both"/>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b.投标人未增加发包人的责任范围，或减少投标人义务；</w:t>
            </w:r>
          </w:p>
          <w:p>
            <w:pPr>
              <w:tabs>
                <w:tab w:val="left" w:pos="3060"/>
              </w:tabs>
              <w:snapToGrid w:val="0"/>
              <w:spacing w:line="380" w:lineRule="exact"/>
              <w:ind w:firstLine="210" w:firstLineChars="100"/>
              <w:jc w:val="both"/>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c.投标人未提出不同的工程验收、计量、支付办法；</w:t>
            </w:r>
          </w:p>
          <w:p>
            <w:pPr>
              <w:tabs>
                <w:tab w:val="left" w:pos="3060"/>
              </w:tabs>
              <w:snapToGrid w:val="0"/>
              <w:spacing w:line="380" w:lineRule="exact"/>
              <w:ind w:firstLine="210" w:firstLineChars="100"/>
              <w:jc w:val="both"/>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d.投标人对合同纠纷、事故处理办法未提出异议；</w:t>
            </w:r>
          </w:p>
          <w:p>
            <w:pPr>
              <w:tabs>
                <w:tab w:val="left" w:pos="3060"/>
              </w:tabs>
              <w:snapToGrid w:val="0"/>
              <w:spacing w:line="380" w:lineRule="exact"/>
              <w:ind w:firstLine="210" w:firstLineChars="100"/>
              <w:jc w:val="both"/>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e.投标人在投标活动中无欺诈行为；</w:t>
            </w:r>
          </w:p>
          <w:p>
            <w:pPr>
              <w:tabs>
                <w:tab w:val="left" w:pos="3060"/>
              </w:tabs>
              <w:snapToGrid w:val="0"/>
              <w:spacing w:line="380" w:lineRule="exact"/>
              <w:ind w:firstLine="210" w:firstLineChars="100"/>
              <w:jc w:val="both"/>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f.投标人未对合同条款有重要保留。</w:t>
            </w:r>
          </w:p>
          <w:p>
            <w:pPr>
              <w:tabs>
                <w:tab w:val="left" w:pos="3060"/>
              </w:tabs>
              <w:snapToGrid w:val="0"/>
              <w:spacing w:line="380" w:lineRule="exact"/>
              <w:jc w:val="both"/>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（13）投标文件正、副本份数符合招标文件第二章“投标人须知”第3.7.4项规定。（不适用）</w:t>
            </w:r>
          </w:p>
          <w:p>
            <w:pPr>
              <w:snapToGrid w:val="0"/>
              <w:spacing w:line="380" w:lineRule="exact"/>
              <w:jc w:val="both"/>
              <w:rPr>
                <w:rFonts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rPr>
              <w:t>4</w:t>
            </w:r>
            <w:r>
              <w:rPr>
                <w:rFonts w:asciiTheme="minorEastAsia" w:hAnsiTheme="minorEastAsia" w:eastAsiaTheme="minorEastAsia" w:cstheme="minorEastAsia"/>
                <w:color w:val="auto"/>
                <w:sz w:val="21"/>
                <w:szCs w:val="21"/>
                <w:highlight w:val="none"/>
              </w:rPr>
              <w:t>）投标人在开标记录表中确认的来自投标人自行填写进“电子交易平台”中开标信息板块中的内容（含：投标保证金递交情况、工程质量、安全目标、工期、主要人员等）与投标文件中的相应内容一致。</w:t>
            </w:r>
          </w:p>
          <w:p>
            <w:pPr>
              <w:snapToGrid w:val="0"/>
              <w:spacing w:line="380" w:lineRule="exact"/>
              <w:jc w:val="both"/>
              <w:rPr>
                <w:rFonts w:asciiTheme="minorEastAsia" w:hAnsiTheme="minorEastAsia" w:eastAsiaTheme="minorEastAsia" w:cstheme="minorEastAsia"/>
                <w:color w:val="auto"/>
                <w:sz w:val="21"/>
                <w:szCs w:val="21"/>
                <w:highlight w:val="none"/>
              </w:rPr>
            </w:pPr>
          </w:p>
          <w:p>
            <w:pPr>
              <w:snapToGrid w:val="0"/>
              <w:spacing w:line="380" w:lineRule="exact"/>
              <w:jc w:val="both"/>
              <w:rPr>
                <w:rFonts w:asciiTheme="minorEastAsia" w:hAnsiTheme="minorEastAsia" w:eastAsiaTheme="minorEastAsia" w:cstheme="minorEastAsia"/>
                <w:b/>
                <w:bCs/>
                <w:color w:val="auto"/>
                <w:sz w:val="21"/>
                <w:szCs w:val="21"/>
                <w:highlight w:val="none"/>
              </w:rPr>
            </w:pPr>
            <w:r>
              <w:rPr>
                <w:rFonts w:asciiTheme="minorEastAsia" w:hAnsiTheme="minorEastAsia" w:eastAsiaTheme="minorEastAsia" w:cstheme="minorEastAsia"/>
                <w:b/>
                <w:bCs/>
                <w:color w:val="auto"/>
                <w:sz w:val="21"/>
                <w:szCs w:val="21"/>
                <w:highlight w:val="none"/>
              </w:rPr>
              <w:t>第二个信封（报价文件）评审标准：</w:t>
            </w:r>
          </w:p>
          <w:p>
            <w:pPr>
              <w:snapToGrid w:val="0"/>
              <w:spacing w:line="380" w:lineRule="exact"/>
              <w:jc w:val="both"/>
              <w:rPr>
                <w:rFonts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（1）投标文件按照招标文件规定的格式、内容填写，字迹清晰可辨，内容齐全完整：</w:t>
            </w:r>
          </w:p>
          <w:p>
            <w:pPr>
              <w:snapToGrid w:val="0"/>
              <w:spacing w:line="380" w:lineRule="exact"/>
              <w:jc w:val="both"/>
              <w:rPr>
                <w:rFonts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a．投标函按照招标文件规定填报了项目名称、标段号、补遗书编号（如有）、投标价（包括大写金额和小写金额）；</w:t>
            </w:r>
          </w:p>
          <w:p>
            <w:pPr>
              <w:snapToGrid w:val="0"/>
              <w:spacing w:line="380" w:lineRule="exact"/>
              <w:jc w:val="both"/>
              <w:rPr>
                <w:rFonts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b．已标价报价清单说明文字与招标文件规定一致，未进行实质性修改和删减；</w:t>
            </w:r>
          </w:p>
          <w:p>
            <w:pPr>
              <w:snapToGrid w:val="0"/>
              <w:spacing w:line="380" w:lineRule="exact"/>
              <w:jc w:val="both"/>
              <w:rPr>
                <w:rFonts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c．投标文件组成齐全完整，内容均按规定填写。</w:t>
            </w:r>
          </w:p>
          <w:p>
            <w:pPr>
              <w:snapToGrid w:val="0"/>
              <w:spacing w:line="380" w:lineRule="exact"/>
              <w:jc w:val="both"/>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（2）投标文件上法定代表人的签字、投标人的单位章盖章齐全，符合招标文件规定。</w:t>
            </w:r>
          </w:p>
          <w:p>
            <w:pPr>
              <w:snapToGrid w:val="0"/>
              <w:spacing w:line="380" w:lineRule="exact"/>
              <w:jc w:val="both"/>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（3）投标总额报价未超过招标文件设定的最高投标总额限价，同时设置细目限价的细目报价未超过招标文件设定的细目最高投标限价（如有）。</w:t>
            </w:r>
          </w:p>
          <w:p>
            <w:pPr>
              <w:snapToGrid w:val="0"/>
              <w:spacing w:line="380" w:lineRule="exact"/>
              <w:jc w:val="both"/>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（4）投标报价的大写金额能够确定具体数值。</w:t>
            </w:r>
          </w:p>
          <w:p>
            <w:pPr>
              <w:snapToGrid w:val="0"/>
              <w:spacing w:line="380" w:lineRule="exact"/>
              <w:jc w:val="both"/>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（5）同一投标人未提交两个以上不同的投标报价，但招标文件要求提交备选投标的除外。</w:t>
            </w:r>
          </w:p>
          <w:p>
            <w:pPr>
              <w:snapToGrid w:val="0"/>
              <w:spacing w:line="380" w:lineRule="exact"/>
              <w:jc w:val="both"/>
              <w:rPr>
                <w:rFonts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rPr>
              <w:t>6</w:t>
            </w:r>
            <w:r>
              <w:rPr>
                <w:rFonts w:asciiTheme="minorEastAsia" w:hAnsiTheme="minorEastAsia" w:eastAsiaTheme="minorEastAsia" w:cstheme="minorEastAsia"/>
                <w:color w:val="auto"/>
                <w:sz w:val="21"/>
                <w:szCs w:val="21"/>
                <w:highlight w:val="none"/>
              </w:rPr>
              <w:t>）投标文件正、副本份数符合招标文件第二章</w:t>
            </w:r>
            <w:r>
              <w:rPr>
                <w:rFonts w:hint="eastAsia" w:asciiTheme="minorEastAsia" w:hAnsiTheme="minorEastAsia" w:eastAsiaTheme="minorEastAsia" w:cstheme="minorEastAsia"/>
                <w:color w:val="auto"/>
                <w:sz w:val="21"/>
                <w:szCs w:val="21"/>
                <w:highlight w:val="none"/>
              </w:rPr>
              <w:t>“</w:t>
            </w:r>
            <w:r>
              <w:rPr>
                <w:rFonts w:asciiTheme="minorEastAsia" w:hAnsiTheme="minorEastAsia" w:eastAsiaTheme="minorEastAsia" w:cstheme="minorEastAsia"/>
                <w:color w:val="auto"/>
                <w:sz w:val="21"/>
                <w:szCs w:val="21"/>
                <w:highlight w:val="none"/>
              </w:rPr>
              <w:t>投标人须知</w:t>
            </w:r>
            <w:r>
              <w:rPr>
                <w:rFonts w:hint="eastAsia" w:asciiTheme="minorEastAsia" w:hAnsiTheme="minorEastAsia" w:eastAsiaTheme="minorEastAsia" w:cstheme="minorEastAsia"/>
                <w:color w:val="auto"/>
                <w:sz w:val="21"/>
                <w:szCs w:val="21"/>
                <w:highlight w:val="none"/>
              </w:rPr>
              <w:t>”</w:t>
            </w:r>
            <w:r>
              <w:rPr>
                <w:rFonts w:asciiTheme="minorEastAsia" w:hAnsiTheme="minorEastAsia" w:eastAsiaTheme="minorEastAsia" w:cstheme="minorEastAsia"/>
                <w:color w:val="auto"/>
                <w:sz w:val="21"/>
                <w:szCs w:val="21"/>
                <w:highlight w:val="none"/>
              </w:rPr>
              <w:t>第</w:t>
            </w:r>
            <w:r>
              <w:rPr>
                <w:rFonts w:hint="eastAsia" w:asciiTheme="minorEastAsia" w:hAnsiTheme="minorEastAsia" w:eastAsiaTheme="minorEastAsia" w:cstheme="minorEastAsia"/>
                <w:color w:val="auto"/>
                <w:sz w:val="21"/>
                <w:szCs w:val="21"/>
                <w:highlight w:val="none"/>
              </w:rPr>
              <w:t>3.7.4</w:t>
            </w:r>
            <w:r>
              <w:rPr>
                <w:rFonts w:asciiTheme="minorEastAsia" w:hAnsiTheme="minorEastAsia" w:eastAsiaTheme="minorEastAsia" w:cstheme="minorEastAsia"/>
                <w:color w:val="auto"/>
                <w:sz w:val="21"/>
                <w:szCs w:val="21"/>
                <w:highlight w:val="none"/>
              </w:rPr>
              <w:t>项规定。</w:t>
            </w:r>
            <w:r>
              <w:rPr>
                <w:rFonts w:hint="eastAsia" w:asciiTheme="minorEastAsia" w:hAnsiTheme="minorEastAsia" w:eastAsiaTheme="minorEastAsia" w:cstheme="minorEastAsia"/>
                <w:color w:val="auto"/>
                <w:sz w:val="21"/>
                <w:szCs w:val="21"/>
                <w:highlight w:val="none"/>
              </w:rPr>
              <w:t>（不适用）</w:t>
            </w:r>
          </w:p>
          <w:p>
            <w:pPr>
              <w:snapToGrid w:val="0"/>
              <w:spacing w:line="380" w:lineRule="exact"/>
              <w:jc w:val="both"/>
              <w:rPr>
                <w:rFonts w:hint="eastAsia" w:hAnsi="Calibri" w:eastAsiaTheme="minorEastAsia"/>
                <w:color w:val="auto"/>
                <w:sz w:val="24"/>
                <w:szCs w:val="24"/>
                <w:highlight w:val="none"/>
                <w:lang w:eastAsia="zh-CN"/>
              </w:rPr>
            </w:pPr>
            <w:r>
              <w:rPr>
                <w:rFonts w:hint="eastAsia" w:asciiTheme="minorEastAsia" w:hAnsiTheme="minorEastAsia" w:eastAsiaTheme="minorEastAsia" w:cstheme="minorEastAsia"/>
                <w:color w:val="auto"/>
                <w:sz w:val="21"/>
                <w:szCs w:val="21"/>
                <w:highlight w:val="none"/>
              </w:rPr>
              <w:t>（7）投标人在开标记录表中确认的来自投标人自行填写进“电子交易平台”中开标信息板块中的投标总报价与投标函中的投标总报价大写金额一致</w:t>
            </w:r>
            <w:r>
              <w:rPr>
                <w:rFonts w:hint="eastAsia" w:asciiTheme="minorEastAsia" w:hAnsiTheme="minorEastAsia" w:eastAsiaTheme="minorEastAsia" w:cstheme="minorEastAsia"/>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4" w:hRule="atLeast"/>
        </w:trPr>
        <w:tc>
          <w:tcPr>
            <w:tcW w:w="958" w:type="dxa"/>
            <w:vAlign w:val="center"/>
          </w:tcPr>
          <w:p>
            <w:pPr>
              <w:spacing w:line="380" w:lineRule="exact"/>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2.1.2</w:t>
            </w:r>
          </w:p>
        </w:tc>
        <w:tc>
          <w:tcPr>
            <w:tcW w:w="1360" w:type="dxa"/>
            <w:vAlign w:val="center"/>
          </w:tcPr>
          <w:p>
            <w:pPr>
              <w:spacing w:line="380" w:lineRule="exact"/>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资格评审标准</w:t>
            </w:r>
          </w:p>
        </w:tc>
        <w:tc>
          <w:tcPr>
            <w:tcW w:w="6895" w:type="dxa"/>
            <w:gridSpan w:val="5"/>
            <w:vAlign w:val="center"/>
          </w:tcPr>
          <w:p>
            <w:pPr>
              <w:tabs>
                <w:tab w:val="left" w:pos="3060"/>
              </w:tabs>
              <w:spacing w:line="380" w:lineRule="exact"/>
              <w:ind w:firstLine="100" w:firstLineChars="48"/>
              <w:rPr>
                <w:rFonts w:ascii="宋体" w:hAnsi="宋体" w:cs="宋体"/>
                <w:color w:val="auto"/>
                <w:sz w:val="21"/>
                <w:szCs w:val="21"/>
                <w:highlight w:val="none"/>
              </w:rPr>
            </w:pPr>
            <w:r>
              <w:rPr>
                <w:rFonts w:hint="eastAsia" w:ascii="宋体" w:hAnsi="宋体" w:cs="宋体"/>
                <w:color w:val="auto"/>
                <w:sz w:val="21"/>
                <w:szCs w:val="21"/>
                <w:highlight w:val="none"/>
              </w:rPr>
              <w:t>（1）投标人具备有效的营业执照、组织机构代码证、资质证书和基本账户开户许可证；</w:t>
            </w:r>
          </w:p>
          <w:p>
            <w:pPr>
              <w:tabs>
                <w:tab w:val="left" w:pos="3060"/>
              </w:tabs>
              <w:spacing w:line="380" w:lineRule="exact"/>
              <w:ind w:firstLine="100" w:firstLineChars="48"/>
              <w:rPr>
                <w:rFonts w:ascii="宋体" w:hAnsi="宋体" w:cs="宋体"/>
                <w:color w:val="auto"/>
                <w:sz w:val="21"/>
                <w:szCs w:val="21"/>
                <w:highlight w:val="none"/>
              </w:rPr>
            </w:pPr>
            <w:r>
              <w:rPr>
                <w:rFonts w:hint="eastAsia" w:ascii="宋体" w:hAnsi="宋体" w:cs="宋体"/>
                <w:color w:val="auto"/>
                <w:sz w:val="21"/>
                <w:szCs w:val="21"/>
                <w:highlight w:val="none"/>
              </w:rPr>
              <w:t>（2）投标人的资质等级符合招标文件规定；</w:t>
            </w:r>
          </w:p>
          <w:p>
            <w:pPr>
              <w:tabs>
                <w:tab w:val="left" w:pos="3060"/>
              </w:tabs>
              <w:spacing w:line="380" w:lineRule="exact"/>
              <w:ind w:firstLine="100" w:firstLineChars="48"/>
              <w:rPr>
                <w:rFonts w:ascii="宋体" w:hAnsi="宋体" w:cs="宋体"/>
                <w:color w:val="auto"/>
                <w:sz w:val="21"/>
                <w:szCs w:val="21"/>
                <w:highlight w:val="none"/>
              </w:rPr>
            </w:pPr>
            <w:r>
              <w:rPr>
                <w:rFonts w:hint="eastAsia" w:ascii="宋体" w:hAnsi="宋体" w:cs="宋体"/>
                <w:color w:val="auto"/>
                <w:sz w:val="21"/>
                <w:szCs w:val="21"/>
                <w:highlight w:val="none"/>
              </w:rPr>
              <w:t>（3）投标人的信誉符合招标文件规定；</w:t>
            </w:r>
          </w:p>
          <w:p>
            <w:pPr>
              <w:tabs>
                <w:tab w:val="left" w:pos="3060"/>
              </w:tabs>
              <w:spacing w:line="380" w:lineRule="exact"/>
              <w:ind w:firstLine="100" w:firstLineChars="48"/>
              <w:rPr>
                <w:rFonts w:ascii="宋体" w:hAnsi="宋体" w:cs="宋体"/>
                <w:color w:val="auto"/>
                <w:sz w:val="21"/>
                <w:szCs w:val="21"/>
                <w:highlight w:val="none"/>
              </w:rPr>
            </w:pPr>
            <w:r>
              <w:rPr>
                <w:rFonts w:hint="eastAsia" w:ascii="宋体" w:hAnsi="宋体" w:cs="宋体"/>
                <w:color w:val="auto"/>
                <w:sz w:val="21"/>
                <w:szCs w:val="21"/>
                <w:highlight w:val="none"/>
              </w:rPr>
              <w:t xml:space="preserve">（4）投标人的项目负责人、技术负责人资格符合招标文件规定； </w:t>
            </w:r>
          </w:p>
          <w:p>
            <w:pPr>
              <w:tabs>
                <w:tab w:val="left" w:pos="3060"/>
              </w:tabs>
              <w:spacing w:line="380" w:lineRule="exact"/>
              <w:ind w:firstLine="100" w:firstLineChars="48"/>
              <w:rPr>
                <w:rFonts w:ascii="宋体" w:hAnsi="宋体" w:cs="宋体"/>
                <w:color w:val="auto"/>
                <w:sz w:val="21"/>
                <w:szCs w:val="21"/>
                <w:highlight w:val="none"/>
              </w:rPr>
            </w:pPr>
            <w:r>
              <w:rPr>
                <w:rFonts w:hint="eastAsia" w:ascii="宋体" w:hAnsi="宋体" w:cs="宋体"/>
                <w:color w:val="auto"/>
                <w:sz w:val="21"/>
                <w:szCs w:val="21"/>
                <w:highlight w:val="none"/>
              </w:rPr>
              <w:t>（5）投标人的其他要求符合招标文件规定；</w:t>
            </w:r>
          </w:p>
          <w:p>
            <w:pPr>
              <w:tabs>
                <w:tab w:val="left" w:pos="3060"/>
              </w:tabs>
              <w:spacing w:line="380" w:lineRule="exact"/>
              <w:ind w:firstLine="100" w:firstLineChars="48"/>
              <w:rPr>
                <w:rFonts w:ascii="宋体" w:hAnsi="宋体" w:cs="宋体"/>
                <w:color w:val="auto"/>
                <w:sz w:val="21"/>
                <w:szCs w:val="21"/>
                <w:highlight w:val="none"/>
              </w:rPr>
            </w:pPr>
            <w:r>
              <w:rPr>
                <w:rFonts w:hint="eastAsia" w:ascii="宋体" w:hAnsi="宋体" w:cs="宋体"/>
                <w:color w:val="auto"/>
                <w:sz w:val="21"/>
                <w:szCs w:val="21"/>
                <w:highlight w:val="none"/>
              </w:rPr>
              <w:t>（6）投标人不存在第二章“投标人须知”第1.4.3项或第1.4.4项规定的任何一种情形。</w:t>
            </w:r>
          </w:p>
          <w:p>
            <w:pPr>
              <w:tabs>
                <w:tab w:val="left" w:pos="3060"/>
              </w:tabs>
              <w:spacing w:line="380" w:lineRule="exact"/>
              <w:ind w:firstLine="100" w:firstLineChars="48"/>
              <w:rPr>
                <w:rFonts w:asciiTheme="minorEastAsia" w:hAnsiTheme="minorEastAsia" w:eastAsiaTheme="minorEastAsia" w:cstheme="minorEastAsia"/>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）以联合体形式参与投标的，联合体各方均未再以自己名义单独或参加其他联合体在同一标段中投标；独立参与投标的，投标人未同时参加联合体在同一标段中投标。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pPr>
              <w:spacing w:line="380" w:lineRule="exact"/>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2.2.1</w:t>
            </w:r>
          </w:p>
        </w:tc>
        <w:tc>
          <w:tcPr>
            <w:tcW w:w="1360" w:type="dxa"/>
            <w:vAlign w:val="center"/>
          </w:tcPr>
          <w:p>
            <w:pPr>
              <w:spacing w:line="380" w:lineRule="exact"/>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分值构成</w:t>
            </w:r>
          </w:p>
        </w:tc>
        <w:tc>
          <w:tcPr>
            <w:tcW w:w="6895" w:type="dxa"/>
            <w:gridSpan w:val="5"/>
            <w:vAlign w:val="center"/>
          </w:tcPr>
          <w:p>
            <w:pPr>
              <w:snapToGrid w:val="0"/>
              <w:spacing w:line="380" w:lineRule="exact"/>
              <w:rPr>
                <w:rFonts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第一信封（商务及技术文件）评分分值构成：</w:t>
            </w:r>
          </w:p>
          <w:p>
            <w:pPr>
              <w:snapToGrid w:val="0"/>
              <w:spacing w:line="380" w:lineRule="exac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技术建议书：40分</w:t>
            </w:r>
          </w:p>
          <w:p>
            <w:pPr>
              <w:snapToGrid w:val="0"/>
              <w:spacing w:line="380" w:lineRule="exac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主要人员：12分</w:t>
            </w:r>
          </w:p>
          <w:p>
            <w:pPr>
              <w:snapToGrid w:val="0"/>
              <w:spacing w:line="380" w:lineRule="exac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数据分析及运维优惠条件承诺：8分</w:t>
            </w:r>
          </w:p>
          <w:p>
            <w:pPr>
              <w:snapToGrid w:val="0"/>
              <w:spacing w:line="380" w:lineRule="exac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业    绩：18分</w:t>
            </w:r>
          </w:p>
          <w:p>
            <w:pPr>
              <w:snapToGrid w:val="0"/>
              <w:spacing w:line="380" w:lineRule="exac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技术能力：12分</w:t>
            </w:r>
          </w:p>
          <w:p>
            <w:pPr>
              <w:snapToGrid w:val="0"/>
              <w:spacing w:line="380" w:lineRule="exact"/>
              <w:rPr>
                <w:rFonts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第二信封（报价文件）评分分值构成：</w:t>
            </w:r>
          </w:p>
          <w:p>
            <w:pPr>
              <w:snapToGrid w:val="0"/>
              <w:spacing w:line="380" w:lineRule="exac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评标价：10分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pPr>
              <w:spacing w:line="380" w:lineRule="exact"/>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2.2.2</w:t>
            </w:r>
          </w:p>
        </w:tc>
        <w:tc>
          <w:tcPr>
            <w:tcW w:w="1360" w:type="dxa"/>
            <w:vAlign w:val="center"/>
          </w:tcPr>
          <w:p>
            <w:pPr>
              <w:spacing w:line="380" w:lineRule="exact"/>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评标基准价计算方法</w:t>
            </w:r>
          </w:p>
        </w:tc>
        <w:tc>
          <w:tcPr>
            <w:tcW w:w="6895" w:type="dxa"/>
            <w:gridSpan w:val="5"/>
            <w:vAlign w:val="center"/>
          </w:tcPr>
          <w:p>
            <w:pPr>
              <w:snapToGrid w:val="0"/>
              <w:spacing w:line="380" w:lineRule="exact"/>
              <w:jc w:val="both"/>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评标基准价的计算： </w:t>
            </w:r>
          </w:p>
          <w:p>
            <w:pPr>
              <w:snapToGrid w:val="0"/>
              <w:spacing w:line="380" w:lineRule="exact"/>
              <w:jc w:val="both"/>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（1）评标价的确定： </w:t>
            </w:r>
          </w:p>
          <w:p>
            <w:pPr>
              <w:snapToGrid w:val="0"/>
              <w:spacing w:line="380" w:lineRule="exact"/>
              <w:jc w:val="both"/>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评标价＝投标函文字报价</w:t>
            </w:r>
          </w:p>
          <w:p>
            <w:pPr>
              <w:snapToGrid w:val="0"/>
              <w:spacing w:line="380" w:lineRule="exact"/>
              <w:jc w:val="both"/>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（2）评标价基准价的计算方式： </w:t>
            </w:r>
          </w:p>
          <w:p>
            <w:pPr>
              <w:snapToGrid w:val="0"/>
              <w:spacing w:line="380" w:lineRule="exact"/>
              <w:jc w:val="both"/>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满足招标文件要求且在最高投标限价90%～100%范围内的投标报价（投标函文字报价）作为有效报价参与评标基准价的计算，</w:t>
            </w:r>
            <w:r>
              <w:rPr>
                <w:rFonts w:hint="eastAsia" w:asciiTheme="minorEastAsia" w:hAnsiTheme="minorEastAsia" w:eastAsiaTheme="minorEastAsia" w:cstheme="minorEastAsia"/>
                <w:b/>
                <w:bCs/>
                <w:color w:val="auto"/>
                <w:sz w:val="21"/>
                <w:szCs w:val="21"/>
                <w:highlight w:val="none"/>
              </w:rPr>
              <w:t>所有有效报价的平均值直接作为评标基准价。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pPr>
              <w:spacing w:line="380" w:lineRule="exact"/>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2.2.3</w:t>
            </w:r>
          </w:p>
        </w:tc>
        <w:tc>
          <w:tcPr>
            <w:tcW w:w="1360" w:type="dxa"/>
            <w:vAlign w:val="center"/>
          </w:tcPr>
          <w:p>
            <w:pPr>
              <w:spacing w:line="380" w:lineRule="exact"/>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评标价的偏差率计算公式</w:t>
            </w:r>
          </w:p>
        </w:tc>
        <w:tc>
          <w:tcPr>
            <w:tcW w:w="6895" w:type="dxa"/>
            <w:gridSpan w:val="5"/>
            <w:vAlign w:val="center"/>
          </w:tcPr>
          <w:p>
            <w:pPr>
              <w:snapToGrid w:val="0"/>
              <w:spacing w:line="380" w:lineRule="exact"/>
              <w:jc w:val="both"/>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偏差率=100%×（投标人评标价-评标基准价）/评标基准价</w:t>
            </w:r>
          </w:p>
          <w:p>
            <w:pPr>
              <w:snapToGrid w:val="0"/>
              <w:spacing w:line="380" w:lineRule="exact"/>
              <w:jc w:val="both"/>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偏差率保留</w:t>
            </w:r>
            <w:r>
              <w:rPr>
                <w:rFonts w:hint="eastAsia" w:asciiTheme="minorEastAsia" w:hAnsiTheme="minorEastAsia" w:eastAsiaTheme="minorEastAsia" w:cstheme="minorEastAsia"/>
                <w:color w:val="auto"/>
                <w:sz w:val="21"/>
                <w:szCs w:val="21"/>
                <w:highlight w:val="none"/>
                <w:u w:val="single"/>
              </w:rPr>
              <w:t xml:space="preserve"> 2 </w:t>
            </w:r>
            <w:r>
              <w:rPr>
                <w:rFonts w:hint="eastAsia" w:asciiTheme="minorEastAsia" w:hAnsiTheme="minorEastAsia" w:eastAsiaTheme="minorEastAsia" w:cstheme="minorEastAsia"/>
                <w:color w:val="auto"/>
                <w:sz w:val="21"/>
                <w:szCs w:val="21"/>
                <w:highlight w:val="none"/>
              </w:rPr>
              <w:t>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58" w:type="dxa"/>
            <w:vMerge w:val="restart"/>
            <w:vAlign w:val="center"/>
          </w:tcPr>
          <w:p>
            <w:pPr>
              <w:spacing w:line="380" w:lineRule="exact"/>
              <w:jc w:val="center"/>
              <w:rPr>
                <w:rFonts w:ascii="宋体" w:hAnsi="宋体"/>
                <w:b/>
                <w:bCs/>
                <w:color w:val="auto"/>
                <w:szCs w:val="24"/>
                <w:highlight w:val="none"/>
              </w:rPr>
            </w:pPr>
            <w:r>
              <w:rPr>
                <w:rFonts w:ascii="宋体" w:hAnsi="宋体"/>
                <w:b/>
                <w:bCs/>
                <w:color w:val="auto"/>
                <w:szCs w:val="24"/>
                <w:highlight w:val="none"/>
              </w:rPr>
              <w:t>条款号</w:t>
            </w:r>
          </w:p>
        </w:tc>
        <w:tc>
          <w:tcPr>
            <w:tcW w:w="5905" w:type="dxa"/>
            <w:gridSpan w:val="5"/>
            <w:vAlign w:val="center"/>
          </w:tcPr>
          <w:p>
            <w:pPr>
              <w:spacing w:line="380" w:lineRule="exact"/>
              <w:jc w:val="center"/>
              <w:rPr>
                <w:rFonts w:ascii="宋体" w:hAnsi="宋体"/>
                <w:b/>
                <w:bCs/>
                <w:color w:val="auto"/>
                <w:szCs w:val="24"/>
                <w:highlight w:val="none"/>
              </w:rPr>
            </w:pPr>
            <w:r>
              <w:rPr>
                <w:rFonts w:ascii="宋体" w:hAnsi="宋体"/>
                <w:b/>
                <w:bCs/>
                <w:color w:val="auto"/>
                <w:szCs w:val="24"/>
                <w:highlight w:val="none"/>
              </w:rPr>
              <w:t>评分因素与权重分值</w:t>
            </w:r>
          </w:p>
        </w:tc>
        <w:tc>
          <w:tcPr>
            <w:tcW w:w="2350" w:type="dxa"/>
            <w:vMerge w:val="restart"/>
            <w:vAlign w:val="center"/>
          </w:tcPr>
          <w:p>
            <w:pPr>
              <w:spacing w:line="380" w:lineRule="exact"/>
              <w:jc w:val="center"/>
              <w:rPr>
                <w:rFonts w:ascii="宋体" w:hAnsi="宋体"/>
                <w:b/>
                <w:bCs/>
                <w:color w:val="auto"/>
                <w:szCs w:val="24"/>
                <w:highlight w:val="none"/>
              </w:rPr>
            </w:pPr>
            <w:r>
              <w:rPr>
                <w:rFonts w:ascii="宋体" w:hAnsi="宋体"/>
                <w:b/>
                <w:bCs/>
                <w:color w:val="auto"/>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Merge w:val="continue"/>
            <w:vAlign w:val="center"/>
          </w:tcPr>
          <w:p>
            <w:pPr>
              <w:spacing w:line="380" w:lineRule="exact"/>
              <w:jc w:val="center"/>
              <w:rPr>
                <w:rFonts w:ascii="宋体" w:hAnsi="宋体"/>
                <w:b/>
                <w:bCs/>
                <w:color w:val="auto"/>
                <w:szCs w:val="24"/>
                <w:highlight w:val="none"/>
              </w:rPr>
            </w:pPr>
          </w:p>
        </w:tc>
        <w:tc>
          <w:tcPr>
            <w:tcW w:w="1360" w:type="dxa"/>
            <w:vAlign w:val="center"/>
          </w:tcPr>
          <w:p>
            <w:pPr>
              <w:spacing w:line="380" w:lineRule="exact"/>
              <w:jc w:val="center"/>
              <w:rPr>
                <w:rFonts w:ascii="宋体" w:hAnsi="宋体"/>
                <w:b/>
                <w:bCs/>
                <w:color w:val="auto"/>
                <w:szCs w:val="24"/>
                <w:highlight w:val="none"/>
              </w:rPr>
            </w:pPr>
            <w:r>
              <w:rPr>
                <w:rFonts w:ascii="宋体" w:hAnsi="宋体"/>
                <w:b/>
                <w:bCs/>
                <w:color w:val="auto"/>
                <w:szCs w:val="24"/>
                <w:highlight w:val="none"/>
              </w:rPr>
              <w:t>评分因素</w:t>
            </w:r>
          </w:p>
        </w:tc>
        <w:tc>
          <w:tcPr>
            <w:tcW w:w="1428" w:type="dxa"/>
            <w:gridSpan w:val="2"/>
            <w:vAlign w:val="center"/>
          </w:tcPr>
          <w:p>
            <w:pPr>
              <w:spacing w:line="380" w:lineRule="exact"/>
              <w:jc w:val="center"/>
              <w:rPr>
                <w:rFonts w:ascii="宋体" w:hAnsi="宋体"/>
                <w:b/>
                <w:bCs/>
                <w:color w:val="auto"/>
                <w:szCs w:val="24"/>
                <w:highlight w:val="none"/>
              </w:rPr>
            </w:pPr>
            <w:r>
              <w:rPr>
                <w:rFonts w:ascii="宋体" w:hAnsi="宋体"/>
                <w:b/>
                <w:bCs/>
                <w:color w:val="auto"/>
                <w:szCs w:val="24"/>
                <w:highlight w:val="none"/>
              </w:rPr>
              <w:t>评分因素权重分值</w:t>
            </w:r>
          </w:p>
        </w:tc>
        <w:tc>
          <w:tcPr>
            <w:tcW w:w="2323" w:type="dxa"/>
            <w:vAlign w:val="center"/>
          </w:tcPr>
          <w:p>
            <w:pPr>
              <w:spacing w:line="380" w:lineRule="exact"/>
              <w:jc w:val="center"/>
              <w:rPr>
                <w:rFonts w:ascii="宋体" w:hAnsi="宋体"/>
                <w:b/>
                <w:bCs/>
                <w:color w:val="auto"/>
                <w:szCs w:val="24"/>
                <w:highlight w:val="none"/>
              </w:rPr>
            </w:pPr>
            <w:r>
              <w:rPr>
                <w:rFonts w:ascii="宋体" w:hAnsi="宋体"/>
                <w:b/>
                <w:bCs/>
                <w:color w:val="auto"/>
                <w:szCs w:val="24"/>
                <w:highlight w:val="none"/>
              </w:rPr>
              <w:t>各评分因素</w:t>
            </w:r>
          </w:p>
          <w:p>
            <w:pPr>
              <w:spacing w:line="380" w:lineRule="exact"/>
              <w:jc w:val="center"/>
              <w:rPr>
                <w:rFonts w:ascii="宋体" w:hAnsi="宋体"/>
                <w:b/>
                <w:bCs/>
                <w:color w:val="auto"/>
                <w:szCs w:val="24"/>
                <w:highlight w:val="none"/>
              </w:rPr>
            </w:pPr>
            <w:r>
              <w:rPr>
                <w:rFonts w:ascii="宋体" w:hAnsi="宋体"/>
                <w:b/>
                <w:bCs/>
                <w:color w:val="auto"/>
                <w:szCs w:val="24"/>
                <w:highlight w:val="none"/>
              </w:rPr>
              <w:t>细分项</w:t>
            </w:r>
          </w:p>
        </w:tc>
        <w:tc>
          <w:tcPr>
            <w:tcW w:w="794" w:type="dxa"/>
            <w:vAlign w:val="center"/>
          </w:tcPr>
          <w:p>
            <w:pPr>
              <w:spacing w:line="380" w:lineRule="exact"/>
              <w:jc w:val="center"/>
              <w:rPr>
                <w:rFonts w:ascii="宋体" w:hAnsi="宋体"/>
                <w:b/>
                <w:bCs/>
                <w:color w:val="auto"/>
                <w:szCs w:val="24"/>
                <w:highlight w:val="none"/>
              </w:rPr>
            </w:pPr>
            <w:r>
              <w:rPr>
                <w:rFonts w:ascii="宋体" w:hAnsi="宋体"/>
                <w:b/>
                <w:bCs/>
                <w:color w:val="auto"/>
                <w:szCs w:val="24"/>
                <w:highlight w:val="none"/>
              </w:rPr>
              <w:t>分值</w:t>
            </w:r>
          </w:p>
        </w:tc>
        <w:tc>
          <w:tcPr>
            <w:tcW w:w="2350" w:type="dxa"/>
            <w:vMerge w:val="continue"/>
            <w:vAlign w:val="center"/>
          </w:tcPr>
          <w:p>
            <w:pPr>
              <w:spacing w:line="380" w:lineRule="exact"/>
              <w:jc w:val="center"/>
              <w:rPr>
                <w:rFonts w:ascii="宋体" w:hAnsi="宋体"/>
                <w:b/>
                <w:bC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958" w:type="dxa"/>
            <w:vMerge w:val="restart"/>
            <w:vAlign w:val="center"/>
          </w:tcPr>
          <w:p>
            <w:pPr>
              <w:spacing w:line="380" w:lineRule="exact"/>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2.2.4</w:t>
            </w:r>
          </w:p>
          <w:p>
            <w:pPr>
              <w:spacing w:line="380" w:lineRule="exact"/>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360" w:type="dxa"/>
            <w:vMerge w:val="restart"/>
            <w:vAlign w:val="center"/>
          </w:tcPr>
          <w:p>
            <w:pPr>
              <w:spacing w:line="380" w:lineRule="exact"/>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技术建议书</w:t>
            </w:r>
          </w:p>
        </w:tc>
        <w:tc>
          <w:tcPr>
            <w:tcW w:w="1428" w:type="dxa"/>
            <w:gridSpan w:val="2"/>
            <w:vMerge w:val="restart"/>
            <w:vAlign w:val="center"/>
          </w:tcPr>
          <w:p>
            <w:pPr>
              <w:spacing w:line="380" w:lineRule="exact"/>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40分</w:t>
            </w:r>
          </w:p>
        </w:tc>
        <w:tc>
          <w:tcPr>
            <w:tcW w:w="2323" w:type="dxa"/>
            <w:vAlign w:val="center"/>
          </w:tcPr>
          <w:p>
            <w:pPr>
              <w:pStyle w:val="14"/>
              <w:spacing w:line="380" w:lineRule="exact"/>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sz w:val="21"/>
                <w:szCs w:val="21"/>
                <w:highlight w:val="none"/>
              </w:rPr>
              <w:t>系统设计</w:t>
            </w:r>
          </w:p>
        </w:tc>
        <w:tc>
          <w:tcPr>
            <w:tcW w:w="794" w:type="dxa"/>
            <w:vAlign w:val="center"/>
          </w:tcPr>
          <w:p>
            <w:pPr>
              <w:snapToGrid w:val="0"/>
              <w:spacing w:line="380" w:lineRule="exact"/>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c>
          <w:tcPr>
            <w:tcW w:w="2350" w:type="dxa"/>
            <w:vMerge w:val="restart"/>
            <w:vAlign w:val="center"/>
          </w:tcPr>
          <w:p>
            <w:pPr>
              <w:pStyle w:val="10"/>
              <w:spacing w:line="380" w:lineRule="exact"/>
              <w:jc w:val="both"/>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均按4个等级评定：“很好”计90%～100%，“较好”计80～90%，“一般”计70%～80%，“较差但可行”计60%～70%，评标委员会成员对各项因素的评分一般不得低于招标文件规定该因素满分值的60%，低于满分值60%的，评标委员会成员应当在评标报告中作出说明。评标委员会对此将作为细微偏差对投标人技术建议书予以适当扣分。</w:t>
            </w:r>
          </w:p>
          <w:p>
            <w:pPr>
              <w:pStyle w:val="10"/>
              <w:spacing w:line="380" w:lineRule="exact"/>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1"/>
                <w:szCs w:val="21"/>
                <w:highlight w:val="none"/>
              </w:rPr>
              <w:t>本项目由评标委员会按照上述规定，独立评分并签名，各项目以专家打分的平均值确定（当评标委员会成员为5人时该平均值以各成员打分的算术平均值确定；当评标委员会成员为7人及以上时，该平均值以去掉一个最高分和一个最低分后的平均值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958" w:type="dxa"/>
            <w:vMerge w:val="continue"/>
          </w:tcPr>
          <w:p>
            <w:pPr>
              <w:spacing w:line="380" w:lineRule="exact"/>
              <w:jc w:val="center"/>
              <w:rPr>
                <w:rFonts w:asciiTheme="minorEastAsia" w:hAnsiTheme="minorEastAsia" w:eastAsiaTheme="minorEastAsia" w:cstheme="minorEastAsia"/>
                <w:color w:val="auto"/>
                <w:sz w:val="21"/>
                <w:szCs w:val="21"/>
                <w:highlight w:val="none"/>
              </w:rPr>
            </w:pPr>
          </w:p>
        </w:tc>
        <w:tc>
          <w:tcPr>
            <w:tcW w:w="1360" w:type="dxa"/>
            <w:vMerge w:val="continue"/>
          </w:tcPr>
          <w:p>
            <w:pPr>
              <w:spacing w:line="380" w:lineRule="exact"/>
              <w:jc w:val="center"/>
              <w:rPr>
                <w:rFonts w:asciiTheme="minorEastAsia" w:hAnsiTheme="minorEastAsia" w:eastAsiaTheme="minorEastAsia" w:cstheme="minorEastAsia"/>
                <w:color w:val="auto"/>
                <w:sz w:val="21"/>
                <w:szCs w:val="21"/>
                <w:highlight w:val="none"/>
              </w:rPr>
            </w:pPr>
          </w:p>
        </w:tc>
        <w:tc>
          <w:tcPr>
            <w:tcW w:w="1428" w:type="dxa"/>
            <w:gridSpan w:val="2"/>
            <w:vMerge w:val="continue"/>
          </w:tcPr>
          <w:p>
            <w:pPr>
              <w:spacing w:line="380" w:lineRule="exact"/>
              <w:jc w:val="center"/>
              <w:rPr>
                <w:rFonts w:asciiTheme="minorEastAsia" w:hAnsiTheme="minorEastAsia" w:eastAsiaTheme="minorEastAsia" w:cstheme="minorEastAsia"/>
                <w:color w:val="auto"/>
                <w:sz w:val="21"/>
                <w:szCs w:val="21"/>
                <w:highlight w:val="none"/>
              </w:rPr>
            </w:pPr>
          </w:p>
        </w:tc>
        <w:tc>
          <w:tcPr>
            <w:tcW w:w="2323" w:type="dxa"/>
            <w:vAlign w:val="center"/>
          </w:tcPr>
          <w:p>
            <w:pPr>
              <w:pStyle w:val="14"/>
              <w:spacing w:line="380" w:lineRule="exact"/>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sz w:val="21"/>
                <w:szCs w:val="21"/>
                <w:highlight w:val="none"/>
              </w:rPr>
              <w:t>系统实施</w:t>
            </w:r>
          </w:p>
        </w:tc>
        <w:tc>
          <w:tcPr>
            <w:tcW w:w="794" w:type="dxa"/>
            <w:vAlign w:val="center"/>
          </w:tcPr>
          <w:p>
            <w:pPr>
              <w:snapToGrid w:val="0"/>
              <w:spacing w:line="380" w:lineRule="exact"/>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c>
          <w:tcPr>
            <w:tcW w:w="2350" w:type="dxa"/>
            <w:vMerge w:val="continue"/>
            <w:vAlign w:val="center"/>
          </w:tcPr>
          <w:p>
            <w:pPr>
              <w:spacing w:line="380" w:lineRule="exact"/>
              <w:rPr>
                <w:rFonts w:asciiTheme="minorEastAsia" w:hAnsiTheme="minorEastAsia" w:eastAsiaTheme="minorEastAsia" w:cstheme="minor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958" w:type="dxa"/>
            <w:vMerge w:val="continue"/>
          </w:tcPr>
          <w:p>
            <w:pPr>
              <w:spacing w:line="380" w:lineRule="exact"/>
              <w:jc w:val="center"/>
              <w:rPr>
                <w:rFonts w:asciiTheme="minorEastAsia" w:hAnsiTheme="minorEastAsia" w:eastAsiaTheme="minorEastAsia" w:cstheme="minorEastAsia"/>
                <w:color w:val="auto"/>
                <w:sz w:val="21"/>
                <w:szCs w:val="21"/>
                <w:highlight w:val="none"/>
              </w:rPr>
            </w:pPr>
          </w:p>
        </w:tc>
        <w:tc>
          <w:tcPr>
            <w:tcW w:w="1360" w:type="dxa"/>
            <w:vMerge w:val="continue"/>
          </w:tcPr>
          <w:p>
            <w:pPr>
              <w:spacing w:line="380" w:lineRule="exact"/>
              <w:jc w:val="center"/>
              <w:rPr>
                <w:rFonts w:asciiTheme="minorEastAsia" w:hAnsiTheme="minorEastAsia" w:eastAsiaTheme="minorEastAsia" w:cstheme="minorEastAsia"/>
                <w:color w:val="auto"/>
                <w:sz w:val="21"/>
                <w:szCs w:val="21"/>
                <w:highlight w:val="none"/>
              </w:rPr>
            </w:pPr>
          </w:p>
        </w:tc>
        <w:tc>
          <w:tcPr>
            <w:tcW w:w="1428" w:type="dxa"/>
            <w:gridSpan w:val="2"/>
            <w:vMerge w:val="continue"/>
          </w:tcPr>
          <w:p>
            <w:pPr>
              <w:spacing w:line="380" w:lineRule="exact"/>
              <w:jc w:val="center"/>
              <w:rPr>
                <w:rFonts w:asciiTheme="minorEastAsia" w:hAnsiTheme="minorEastAsia" w:eastAsiaTheme="minorEastAsia" w:cstheme="minorEastAsia"/>
                <w:color w:val="auto"/>
                <w:sz w:val="21"/>
                <w:szCs w:val="21"/>
                <w:highlight w:val="none"/>
              </w:rPr>
            </w:pPr>
          </w:p>
        </w:tc>
        <w:tc>
          <w:tcPr>
            <w:tcW w:w="2323" w:type="dxa"/>
            <w:vAlign w:val="center"/>
          </w:tcPr>
          <w:p>
            <w:pPr>
              <w:pStyle w:val="14"/>
              <w:spacing w:line="380" w:lineRule="exact"/>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sz w:val="21"/>
                <w:szCs w:val="21"/>
                <w:highlight w:val="none"/>
              </w:rPr>
              <w:t>系统运维及数据分析</w:t>
            </w:r>
          </w:p>
        </w:tc>
        <w:tc>
          <w:tcPr>
            <w:tcW w:w="794" w:type="dxa"/>
            <w:vAlign w:val="center"/>
          </w:tcPr>
          <w:p>
            <w:pPr>
              <w:snapToGrid w:val="0"/>
              <w:spacing w:line="380" w:lineRule="exact"/>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c>
          <w:tcPr>
            <w:tcW w:w="2350" w:type="dxa"/>
            <w:vMerge w:val="continue"/>
            <w:vAlign w:val="center"/>
          </w:tcPr>
          <w:p>
            <w:pPr>
              <w:spacing w:line="380" w:lineRule="exact"/>
              <w:rPr>
                <w:rFonts w:asciiTheme="minorEastAsia" w:hAnsiTheme="minorEastAsia" w:eastAsiaTheme="minorEastAsia" w:cstheme="minor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958" w:type="dxa"/>
            <w:vMerge w:val="continue"/>
          </w:tcPr>
          <w:p>
            <w:pPr>
              <w:spacing w:line="380" w:lineRule="exact"/>
              <w:jc w:val="center"/>
              <w:rPr>
                <w:rFonts w:asciiTheme="minorEastAsia" w:hAnsiTheme="minorEastAsia" w:eastAsiaTheme="minorEastAsia" w:cstheme="minorEastAsia"/>
                <w:color w:val="auto"/>
                <w:sz w:val="21"/>
                <w:szCs w:val="21"/>
                <w:highlight w:val="none"/>
              </w:rPr>
            </w:pPr>
          </w:p>
        </w:tc>
        <w:tc>
          <w:tcPr>
            <w:tcW w:w="1360" w:type="dxa"/>
            <w:vMerge w:val="continue"/>
          </w:tcPr>
          <w:p>
            <w:pPr>
              <w:spacing w:line="380" w:lineRule="exact"/>
              <w:jc w:val="center"/>
              <w:rPr>
                <w:rFonts w:asciiTheme="minorEastAsia" w:hAnsiTheme="minorEastAsia" w:eastAsiaTheme="minorEastAsia" w:cstheme="minorEastAsia"/>
                <w:color w:val="auto"/>
                <w:sz w:val="21"/>
                <w:szCs w:val="21"/>
                <w:highlight w:val="none"/>
              </w:rPr>
            </w:pPr>
          </w:p>
        </w:tc>
        <w:tc>
          <w:tcPr>
            <w:tcW w:w="1428" w:type="dxa"/>
            <w:gridSpan w:val="2"/>
            <w:vMerge w:val="continue"/>
          </w:tcPr>
          <w:p>
            <w:pPr>
              <w:spacing w:line="380" w:lineRule="exact"/>
              <w:jc w:val="center"/>
              <w:rPr>
                <w:rFonts w:asciiTheme="minorEastAsia" w:hAnsiTheme="minorEastAsia" w:eastAsiaTheme="minorEastAsia" w:cstheme="minorEastAsia"/>
                <w:color w:val="auto"/>
                <w:sz w:val="21"/>
                <w:szCs w:val="21"/>
                <w:highlight w:val="none"/>
              </w:rPr>
            </w:pPr>
          </w:p>
        </w:tc>
        <w:tc>
          <w:tcPr>
            <w:tcW w:w="2323" w:type="dxa"/>
            <w:vAlign w:val="center"/>
          </w:tcPr>
          <w:p>
            <w:pPr>
              <w:pStyle w:val="14"/>
              <w:spacing w:line="380" w:lineRule="exact"/>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sz w:val="21"/>
                <w:szCs w:val="21"/>
                <w:highlight w:val="none"/>
              </w:rPr>
              <w:t>项目进度、质量、安全保障措施</w:t>
            </w:r>
          </w:p>
        </w:tc>
        <w:tc>
          <w:tcPr>
            <w:tcW w:w="794" w:type="dxa"/>
            <w:vAlign w:val="center"/>
          </w:tcPr>
          <w:p>
            <w:pPr>
              <w:snapToGrid w:val="0"/>
              <w:spacing w:line="380" w:lineRule="exact"/>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p>
        </w:tc>
        <w:tc>
          <w:tcPr>
            <w:tcW w:w="2350" w:type="dxa"/>
            <w:vMerge w:val="continue"/>
            <w:vAlign w:val="center"/>
          </w:tcPr>
          <w:p>
            <w:pPr>
              <w:spacing w:line="380" w:lineRule="exact"/>
              <w:rPr>
                <w:rFonts w:asciiTheme="minorEastAsia" w:hAnsiTheme="minorEastAsia" w:eastAsiaTheme="minorEastAsia" w:cstheme="minor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Merge w:val="continue"/>
          </w:tcPr>
          <w:p>
            <w:pPr>
              <w:spacing w:line="380" w:lineRule="exact"/>
              <w:jc w:val="center"/>
              <w:rPr>
                <w:rFonts w:asciiTheme="minorEastAsia" w:hAnsiTheme="minorEastAsia" w:eastAsiaTheme="minorEastAsia" w:cstheme="minorEastAsia"/>
                <w:color w:val="auto"/>
                <w:sz w:val="21"/>
                <w:szCs w:val="21"/>
                <w:highlight w:val="none"/>
              </w:rPr>
            </w:pPr>
          </w:p>
        </w:tc>
        <w:tc>
          <w:tcPr>
            <w:tcW w:w="1360" w:type="dxa"/>
            <w:vMerge w:val="continue"/>
          </w:tcPr>
          <w:p>
            <w:pPr>
              <w:spacing w:line="380" w:lineRule="exact"/>
              <w:jc w:val="center"/>
              <w:rPr>
                <w:rFonts w:asciiTheme="minorEastAsia" w:hAnsiTheme="minorEastAsia" w:eastAsiaTheme="minorEastAsia" w:cstheme="minorEastAsia"/>
                <w:color w:val="auto"/>
                <w:sz w:val="21"/>
                <w:szCs w:val="21"/>
                <w:highlight w:val="none"/>
              </w:rPr>
            </w:pPr>
          </w:p>
        </w:tc>
        <w:tc>
          <w:tcPr>
            <w:tcW w:w="1428" w:type="dxa"/>
            <w:gridSpan w:val="2"/>
            <w:vMerge w:val="continue"/>
          </w:tcPr>
          <w:p>
            <w:pPr>
              <w:spacing w:line="380" w:lineRule="exact"/>
              <w:jc w:val="center"/>
              <w:rPr>
                <w:rFonts w:asciiTheme="minorEastAsia" w:hAnsiTheme="minorEastAsia" w:eastAsiaTheme="minorEastAsia" w:cstheme="minorEastAsia"/>
                <w:color w:val="auto"/>
                <w:sz w:val="21"/>
                <w:szCs w:val="21"/>
                <w:highlight w:val="none"/>
              </w:rPr>
            </w:pPr>
          </w:p>
        </w:tc>
        <w:tc>
          <w:tcPr>
            <w:tcW w:w="2323" w:type="dxa"/>
            <w:vAlign w:val="center"/>
          </w:tcPr>
          <w:p>
            <w:pPr>
              <w:pStyle w:val="14"/>
              <w:spacing w:line="380" w:lineRule="exact"/>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本工程监测工作的重点与难点分析</w:t>
            </w:r>
          </w:p>
          <w:p>
            <w:pPr>
              <w:spacing w:line="380" w:lineRule="exact"/>
              <w:rPr>
                <w:rFonts w:asciiTheme="minorEastAsia" w:hAnsiTheme="minorEastAsia" w:eastAsiaTheme="minorEastAsia" w:cstheme="minorEastAsia"/>
                <w:color w:val="auto"/>
                <w:sz w:val="21"/>
                <w:szCs w:val="21"/>
                <w:highlight w:val="none"/>
              </w:rPr>
            </w:pPr>
          </w:p>
        </w:tc>
        <w:tc>
          <w:tcPr>
            <w:tcW w:w="794" w:type="dxa"/>
            <w:vAlign w:val="center"/>
          </w:tcPr>
          <w:p>
            <w:pPr>
              <w:spacing w:line="380" w:lineRule="exact"/>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p>
        </w:tc>
        <w:tc>
          <w:tcPr>
            <w:tcW w:w="2350" w:type="dxa"/>
            <w:vMerge w:val="continue"/>
            <w:vAlign w:val="center"/>
          </w:tcPr>
          <w:p>
            <w:pPr>
              <w:spacing w:line="380" w:lineRule="exact"/>
              <w:rPr>
                <w:rFonts w:asciiTheme="minorEastAsia" w:hAnsiTheme="minorEastAsia" w:eastAsiaTheme="minorEastAsia" w:cstheme="minor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Merge w:val="restart"/>
            <w:vAlign w:val="center"/>
          </w:tcPr>
          <w:p>
            <w:pPr>
              <w:spacing w:line="380" w:lineRule="exact"/>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2.2.4（2）</w:t>
            </w:r>
          </w:p>
        </w:tc>
        <w:tc>
          <w:tcPr>
            <w:tcW w:w="1360" w:type="dxa"/>
            <w:vMerge w:val="restart"/>
            <w:vAlign w:val="center"/>
          </w:tcPr>
          <w:p>
            <w:pPr>
              <w:spacing w:line="380" w:lineRule="exact"/>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主要人员</w:t>
            </w:r>
          </w:p>
        </w:tc>
        <w:tc>
          <w:tcPr>
            <w:tcW w:w="1428" w:type="dxa"/>
            <w:gridSpan w:val="2"/>
            <w:vMerge w:val="restart"/>
            <w:vAlign w:val="center"/>
          </w:tcPr>
          <w:p>
            <w:pPr>
              <w:spacing w:line="380" w:lineRule="exact"/>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12分</w:t>
            </w:r>
          </w:p>
        </w:tc>
        <w:tc>
          <w:tcPr>
            <w:tcW w:w="2323" w:type="dxa"/>
            <w:vAlign w:val="center"/>
          </w:tcPr>
          <w:p>
            <w:pPr>
              <w:spacing w:line="380" w:lineRule="exact"/>
              <w:jc w:val="center"/>
              <w:rPr>
                <w:rFonts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项目负责人</w:t>
            </w:r>
          </w:p>
        </w:tc>
        <w:tc>
          <w:tcPr>
            <w:tcW w:w="794" w:type="dxa"/>
            <w:vAlign w:val="center"/>
          </w:tcPr>
          <w:p>
            <w:pPr>
              <w:pStyle w:val="11"/>
              <w:spacing w:line="380" w:lineRule="exact"/>
              <w:ind w:firstLine="0" w:firstLineChars="0"/>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p>
        </w:tc>
        <w:tc>
          <w:tcPr>
            <w:tcW w:w="2350" w:type="dxa"/>
            <w:vAlign w:val="center"/>
          </w:tcPr>
          <w:p>
            <w:pPr>
              <w:pStyle w:val="10"/>
              <w:spacing w:line="380" w:lineRule="exact"/>
              <w:jc w:val="both"/>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1.满足资格条件得3分，最高得3分。</w:t>
            </w:r>
          </w:p>
          <w:p>
            <w:pPr>
              <w:pStyle w:val="10"/>
              <w:spacing w:line="380" w:lineRule="exact"/>
              <w:jc w:val="both"/>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2.参与过1座公路桥梁结构健康监测（或桥梁结构安全监测）项目的项目负责人得2分，最高得2分。</w:t>
            </w:r>
          </w:p>
          <w:p>
            <w:pPr>
              <w:pStyle w:val="10"/>
              <w:spacing w:line="380" w:lineRule="exact"/>
              <w:jc w:val="both"/>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需提供合同协议书及业主证明，上述证明能体现项目负责人参与过该项目。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Merge w:val="continue"/>
            <w:vAlign w:val="center"/>
          </w:tcPr>
          <w:p>
            <w:pPr>
              <w:spacing w:line="380" w:lineRule="exact"/>
              <w:jc w:val="center"/>
              <w:rPr>
                <w:rFonts w:asciiTheme="minorEastAsia" w:hAnsiTheme="minorEastAsia" w:eastAsiaTheme="minorEastAsia" w:cstheme="minorEastAsia"/>
                <w:color w:val="auto"/>
                <w:sz w:val="21"/>
                <w:szCs w:val="21"/>
                <w:highlight w:val="none"/>
              </w:rPr>
            </w:pPr>
          </w:p>
        </w:tc>
        <w:tc>
          <w:tcPr>
            <w:tcW w:w="1360" w:type="dxa"/>
            <w:vMerge w:val="continue"/>
            <w:vAlign w:val="center"/>
          </w:tcPr>
          <w:p>
            <w:pPr>
              <w:spacing w:line="380" w:lineRule="exact"/>
              <w:jc w:val="center"/>
              <w:rPr>
                <w:rFonts w:asciiTheme="minorEastAsia" w:hAnsiTheme="minorEastAsia" w:eastAsiaTheme="minorEastAsia" w:cstheme="minorEastAsia"/>
                <w:color w:val="auto"/>
                <w:sz w:val="21"/>
                <w:szCs w:val="21"/>
                <w:highlight w:val="none"/>
              </w:rPr>
            </w:pPr>
          </w:p>
        </w:tc>
        <w:tc>
          <w:tcPr>
            <w:tcW w:w="1428" w:type="dxa"/>
            <w:gridSpan w:val="2"/>
            <w:vMerge w:val="continue"/>
            <w:vAlign w:val="center"/>
          </w:tcPr>
          <w:p>
            <w:pPr>
              <w:spacing w:line="380" w:lineRule="exact"/>
              <w:jc w:val="center"/>
              <w:rPr>
                <w:rFonts w:asciiTheme="minorEastAsia" w:hAnsiTheme="minorEastAsia" w:eastAsiaTheme="minorEastAsia" w:cstheme="minorEastAsia"/>
                <w:color w:val="auto"/>
                <w:sz w:val="21"/>
                <w:szCs w:val="21"/>
                <w:highlight w:val="none"/>
              </w:rPr>
            </w:pPr>
          </w:p>
        </w:tc>
        <w:tc>
          <w:tcPr>
            <w:tcW w:w="2323" w:type="dxa"/>
            <w:vAlign w:val="center"/>
          </w:tcPr>
          <w:p>
            <w:pPr>
              <w:spacing w:line="380" w:lineRule="exact"/>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技术负责人</w:t>
            </w:r>
          </w:p>
        </w:tc>
        <w:tc>
          <w:tcPr>
            <w:tcW w:w="794" w:type="dxa"/>
            <w:vAlign w:val="center"/>
          </w:tcPr>
          <w:p>
            <w:pPr>
              <w:pStyle w:val="11"/>
              <w:spacing w:line="380" w:lineRule="exact"/>
              <w:ind w:firstLine="0" w:firstLineChars="0"/>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p>
        </w:tc>
        <w:tc>
          <w:tcPr>
            <w:tcW w:w="2350" w:type="dxa"/>
            <w:vAlign w:val="center"/>
          </w:tcPr>
          <w:p>
            <w:pPr>
              <w:pStyle w:val="10"/>
              <w:spacing w:line="380" w:lineRule="exact"/>
              <w:jc w:val="both"/>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1.满足资格条件得3分，最高得3分。</w:t>
            </w:r>
          </w:p>
          <w:p>
            <w:pPr>
              <w:pStyle w:val="10"/>
              <w:spacing w:line="380" w:lineRule="exact"/>
              <w:jc w:val="both"/>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2.参与过1座公路桥梁结构健康监测（或桥梁结构安全监测）项目的技术负责人得2分，最高2分。</w:t>
            </w:r>
          </w:p>
          <w:p>
            <w:pPr>
              <w:pStyle w:val="10"/>
              <w:spacing w:line="380" w:lineRule="exact"/>
              <w:jc w:val="both"/>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需提供合同协议书及业主证明，上述证明能体现技术负责人参与过该项目。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Merge w:val="continue"/>
            <w:vAlign w:val="center"/>
          </w:tcPr>
          <w:p>
            <w:pPr>
              <w:spacing w:line="380" w:lineRule="exact"/>
              <w:jc w:val="center"/>
              <w:rPr>
                <w:rFonts w:asciiTheme="minorEastAsia" w:hAnsiTheme="minorEastAsia" w:eastAsiaTheme="minorEastAsia" w:cstheme="minorEastAsia"/>
                <w:color w:val="auto"/>
                <w:sz w:val="21"/>
                <w:szCs w:val="21"/>
                <w:highlight w:val="none"/>
              </w:rPr>
            </w:pPr>
          </w:p>
        </w:tc>
        <w:tc>
          <w:tcPr>
            <w:tcW w:w="1360" w:type="dxa"/>
            <w:vMerge w:val="continue"/>
            <w:vAlign w:val="center"/>
          </w:tcPr>
          <w:p>
            <w:pPr>
              <w:spacing w:line="380" w:lineRule="exact"/>
              <w:jc w:val="center"/>
              <w:rPr>
                <w:rFonts w:asciiTheme="minorEastAsia" w:hAnsiTheme="minorEastAsia" w:eastAsiaTheme="minorEastAsia" w:cstheme="minorEastAsia"/>
                <w:color w:val="auto"/>
                <w:sz w:val="21"/>
                <w:szCs w:val="21"/>
                <w:highlight w:val="none"/>
              </w:rPr>
            </w:pPr>
          </w:p>
        </w:tc>
        <w:tc>
          <w:tcPr>
            <w:tcW w:w="1428" w:type="dxa"/>
            <w:gridSpan w:val="2"/>
            <w:vMerge w:val="continue"/>
            <w:vAlign w:val="center"/>
          </w:tcPr>
          <w:p>
            <w:pPr>
              <w:spacing w:line="380" w:lineRule="exact"/>
              <w:jc w:val="center"/>
              <w:rPr>
                <w:rFonts w:asciiTheme="minorEastAsia" w:hAnsiTheme="minorEastAsia" w:eastAsiaTheme="minorEastAsia" w:cstheme="minorEastAsia"/>
                <w:color w:val="auto"/>
                <w:sz w:val="21"/>
                <w:szCs w:val="21"/>
                <w:highlight w:val="none"/>
              </w:rPr>
            </w:pPr>
          </w:p>
        </w:tc>
        <w:tc>
          <w:tcPr>
            <w:tcW w:w="2323" w:type="dxa"/>
            <w:vAlign w:val="center"/>
          </w:tcPr>
          <w:p>
            <w:pPr>
              <w:spacing w:line="380" w:lineRule="exact"/>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额外增派人员</w:t>
            </w:r>
          </w:p>
        </w:tc>
        <w:tc>
          <w:tcPr>
            <w:tcW w:w="794" w:type="dxa"/>
            <w:vAlign w:val="center"/>
          </w:tcPr>
          <w:p>
            <w:pPr>
              <w:pStyle w:val="11"/>
              <w:spacing w:line="380" w:lineRule="exact"/>
              <w:ind w:firstLine="0" w:firstLineChars="0"/>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2350" w:type="dxa"/>
            <w:vAlign w:val="center"/>
          </w:tcPr>
          <w:p>
            <w:pPr>
              <w:pStyle w:val="10"/>
              <w:spacing w:line="380" w:lineRule="exac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每额外增派1名具备由人力资源和社会保障部、工业和信息化部批准颁发的信息系统项目管理师（高级）、或系统架构设计师（高级）、或系统集成项目管理工程师（高级）得1分，最高得2分。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pacing w:line="380" w:lineRule="exact"/>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2.2.4（3）</w:t>
            </w:r>
          </w:p>
        </w:tc>
        <w:tc>
          <w:tcPr>
            <w:tcW w:w="1360" w:type="dxa"/>
            <w:vAlign w:val="center"/>
          </w:tcPr>
          <w:p>
            <w:pPr>
              <w:spacing w:line="380" w:lineRule="exact"/>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评标价</w:t>
            </w:r>
          </w:p>
        </w:tc>
        <w:tc>
          <w:tcPr>
            <w:tcW w:w="1428" w:type="dxa"/>
            <w:gridSpan w:val="2"/>
            <w:vAlign w:val="center"/>
          </w:tcPr>
          <w:p>
            <w:pPr>
              <w:spacing w:line="380" w:lineRule="exact"/>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10分</w:t>
            </w:r>
          </w:p>
        </w:tc>
        <w:tc>
          <w:tcPr>
            <w:tcW w:w="5467" w:type="dxa"/>
            <w:gridSpan w:val="3"/>
            <w:vAlign w:val="center"/>
          </w:tcPr>
          <w:p>
            <w:pPr>
              <w:snapToGrid w:val="0"/>
              <w:spacing w:line="380" w:lineRule="exac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（1）如果投标人的评标价＞评标基准价，则评标价得分F1=F-偏差率×100×E1。</w:t>
            </w:r>
          </w:p>
          <w:p>
            <w:pPr>
              <w:snapToGrid w:val="0"/>
              <w:spacing w:line="380" w:lineRule="exac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（2）如果投标人的评标价≤评标基准价，则评标价得分F1=F+偏差率×100×E2。</w:t>
            </w:r>
          </w:p>
          <w:p>
            <w:pPr>
              <w:snapToGrid w:val="0"/>
              <w:spacing w:line="380" w:lineRule="exac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其中：F是评标价所占的权重分值，F=10；E1=0.2；E2=0.1。</w:t>
            </w:r>
          </w:p>
          <w:p>
            <w:pPr>
              <w:snapToGrid w:val="0"/>
              <w:spacing w:line="380" w:lineRule="exac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（3）中间值按比例内插，四舍五入，保留2位小数。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Merge w:val="restart"/>
            <w:vAlign w:val="center"/>
          </w:tcPr>
          <w:p>
            <w:pPr>
              <w:spacing w:line="380" w:lineRule="exact"/>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2.2.4（4）</w:t>
            </w:r>
          </w:p>
        </w:tc>
        <w:tc>
          <w:tcPr>
            <w:tcW w:w="1360" w:type="dxa"/>
            <w:vMerge w:val="restart"/>
            <w:vAlign w:val="center"/>
          </w:tcPr>
          <w:p>
            <w:pPr>
              <w:spacing w:line="380" w:lineRule="exact"/>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其他因素</w:t>
            </w:r>
          </w:p>
        </w:tc>
        <w:tc>
          <w:tcPr>
            <w:tcW w:w="820" w:type="dxa"/>
            <w:vAlign w:val="center"/>
          </w:tcPr>
          <w:p>
            <w:pPr>
              <w:spacing w:line="380" w:lineRule="exact"/>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业绩</w:t>
            </w:r>
          </w:p>
        </w:tc>
        <w:tc>
          <w:tcPr>
            <w:tcW w:w="608" w:type="dxa"/>
            <w:vAlign w:val="center"/>
          </w:tcPr>
          <w:p>
            <w:pPr>
              <w:spacing w:line="380" w:lineRule="exact"/>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18分</w:t>
            </w:r>
          </w:p>
        </w:tc>
        <w:tc>
          <w:tcPr>
            <w:tcW w:w="5467" w:type="dxa"/>
            <w:gridSpan w:val="3"/>
            <w:vAlign w:val="center"/>
          </w:tcPr>
          <w:p>
            <w:pPr>
              <w:snapToGrid w:val="0"/>
              <w:spacing w:line="380" w:lineRule="exact"/>
              <w:jc w:val="both"/>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1.投标人近三年（2020年1月1日至投标截止日止）每承担1座连续刚构（且主跨跨径≥160m）公路桥梁结构健康监测（或桥梁结构安全监测）项目得3分，最高得6分（以签订的合同时间及数量计）。</w:t>
            </w:r>
          </w:p>
          <w:p>
            <w:pPr>
              <w:snapToGrid w:val="0"/>
              <w:spacing w:line="380" w:lineRule="exact"/>
              <w:jc w:val="both"/>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2.投标人近三年（2020年1月1日至投标截止日止）每承</w:t>
            </w:r>
          </w:p>
          <w:p>
            <w:pPr>
              <w:snapToGrid w:val="0"/>
              <w:spacing w:line="380" w:lineRule="exact"/>
              <w:jc w:val="both"/>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担过 1 座公路桥梁主跨跨径 1000 米及以上特大桥桥梁结构健康监测（或桥梁结构安全监测）项目得 3 分，最高得 6 分（以签订的合同时间及数量计,不能与第 1 项项目业绩重复）。</w:t>
            </w:r>
          </w:p>
          <w:p>
            <w:pPr>
              <w:snapToGrid w:val="0"/>
              <w:spacing w:line="360" w:lineRule="exact"/>
              <w:jc w:val="both"/>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3.投标人近三年（2020 年 1 月 1 日至投标截止日止）每承接过 1 项交通运输部下发的公路长大桥梁结构健康监测系统建设试点项目得 3 分，最高得 6 分。（以签订的合同时间及数量计,可与第 1、2 条项目业绩重复）。</w:t>
            </w:r>
          </w:p>
          <w:p>
            <w:pPr>
              <w:snapToGrid w:val="0"/>
              <w:spacing w:line="360" w:lineRule="exact"/>
              <w:ind w:firstLine="422" w:firstLineChars="200"/>
              <w:jc w:val="both"/>
              <w:rPr>
                <w:rFonts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 xml:space="preserve">注：第 1、2 项业绩需提供合同协议书及业主证明，且上述证明材料能体现出桥梁类型、跨径和项目实施时间等。 </w:t>
            </w:r>
          </w:p>
          <w:p>
            <w:pPr>
              <w:snapToGrid w:val="0"/>
              <w:spacing w:line="360" w:lineRule="exact"/>
              <w:ind w:firstLine="422" w:firstLineChars="200"/>
              <w:jc w:val="both"/>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 xml:space="preserve">第 3 项业绩需提供合同协议书及业主证明、交通运输部关于作为公路长大桥梁结构健康监测系统建设试点项目的相关证明文件。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Merge w:val="continue"/>
            <w:vAlign w:val="center"/>
          </w:tcPr>
          <w:p>
            <w:pPr>
              <w:spacing w:line="380" w:lineRule="exact"/>
              <w:jc w:val="center"/>
              <w:rPr>
                <w:rFonts w:asciiTheme="minorEastAsia" w:hAnsiTheme="minorEastAsia" w:eastAsiaTheme="minorEastAsia" w:cstheme="minorEastAsia"/>
                <w:color w:val="auto"/>
                <w:sz w:val="21"/>
                <w:szCs w:val="21"/>
                <w:highlight w:val="none"/>
              </w:rPr>
            </w:pPr>
          </w:p>
        </w:tc>
        <w:tc>
          <w:tcPr>
            <w:tcW w:w="1360" w:type="dxa"/>
            <w:vMerge w:val="continue"/>
            <w:vAlign w:val="center"/>
          </w:tcPr>
          <w:p>
            <w:pPr>
              <w:spacing w:line="380" w:lineRule="exact"/>
              <w:jc w:val="center"/>
              <w:rPr>
                <w:rFonts w:asciiTheme="minorEastAsia" w:hAnsiTheme="minorEastAsia" w:eastAsiaTheme="minorEastAsia" w:cstheme="minorEastAsia"/>
                <w:color w:val="auto"/>
                <w:sz w:val="21"/>
                <w:szCs w:val="21"/>
                <w:highlight w:val="none"/>
              </w:rPr>
            </w:pPr>
          </w:p>
        </w:tc>
        <w:tc>
          <w:tcPr>
            <w:tcW w:w="820" w:type="dxa"/>
            <w:vAlign w:val="center"/>
          </w:tcPr>
          <w:p>
            <w:pPr>
              <w:spacing w:line="380" w:lineRule="exact"/>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技术能力</w:t>
            </w:r>
          </w:p>
        </w:tc>
        <w:tc>
          <w:tcPr>
            <w:tcW w:w="608" w:type="dxa"/>
            <w:vAlign w:val="center"/>
          </w:tcPr>
          <w:p>
            <w:pPr>
              <w:spacing w:line="380" w:lineRule="exact"/>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12分</w:t>
            </w:r>
          </w:p>
        </w:tc>
        <w:tc>
          <w:tcPr>
            <w:tcW w:w="5467" w:type="dxa"/>
            <w:gridSpan w:val="3"/>
            <w:vAlign w:val="center"/>
          </w:tcPr>
          <w:p>
            <w:pPr>
              <w:pStyle w:val="9"/>
              <w:snapToGrid w:val="0"/>
              <w:spacing w:line="360" w:lineRule="exact"/>
              <w:ind w:left="0" w:leftChars="0" w:firstLine="0" w:firstLineChar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1.投标人主编或参编 1 项桥梁监测、养护相关现行国家标准（GB）或交通运输部行业标准（JT/T）得 2 分，最高得 4 分。</w:t>
            </w:r>
          </w:p>
          <w:p>
            <w:pPr>
              <w:pStyle w:val="9"/>
              <w:snapToGrid w:val="0"/>
              <w:spacing w:line="360" w:lineRule="exact"/>
              <w:ind w:left="0" w:leftChars="0" w:firstLine="0" w:firstLineChar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2.投标人获得 1 项桥梁监测相关省部级（含省部级社会力量奖励）一等奖及以上得 2 分，最高得 2 分。</w:t>
            </w:r>
          </w:p>
          <w:p>
            <w:pPr>
              <w:pStyle w:val="9"/>
              <w:snapToGrid w:val="0"/>
              <w:spacing w:line="360" w:lineRule="exact"/>
              <w:ind w:left="0" w:leftChars="0" w:firstLine="0" w:firstLineChar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3.投标人承担 1 项桥梁监测相关的国家级科研项目得 3 分，最高得 6 分。</w:t>
            </w:r>
          </w:p>
          <w:p>
            <w:pPr>
              <w:pStyle w:val="9"/>
              <w:spacing w:line="360" w:lineRule="exact"/>
              <w:ind w:left="0" w:leftChars="0" w:firstLine="0" w:firstLineChars="0"/>
              <w:rPr>
                <w:rFonts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 xml:space="preserve">注：第1项业绩需提供相应的证明文件，提供相应标准封面及能体现编制单位的页面复印件并加盖投标人公章。 </w:t>
            </w:r>
          </w:p>
          <w:p>
            <w:pPr>
              <w:pStyle w:val="9"/>
              <w:spacing w:line="360" w:lineRule="exact"/>
              <w:ind w:left="0" w:leftChars="0" w:firstLine="0" w:firstLineChars="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 xml:space="preserve">第2项业绩需提供获奖证书及国家科学技术奖励工作办公室《社会科技奖励目录》所列奖项的网页截图。 </w:t>
            </w:r>
          </w:p>
          <w:p>
            <w:pPr>
              <w:pStyle w:val="9"/>
              <w:snapToGrid w:val="0"/>
              <w:spacing w:line="360" w:lineRule="exact"/>
              <w:ind w:left="0" w:leftChars="0" w:firstLine="0" w:firstLineChars="0"/>
              <w:jc w:val="both"/>
              <w:rPr>
                <w:rFonts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第3项业绩需提供项目任务书，项目任务书中应能体现其为国家级科研项目，否则不能得分。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1" w:hRule="atLeast"/>
          <w:jc w:val="center"/>
        </w:trPr>
        <w:tc>
          <w:tcPr>
            <w:tcW w:w="958" w:type="dxa"/>
            <w:vMerge w:val="continue"/>
            <w:vAlign w:val="center"/>
          </w:tcPr>
          <w:p>
            <w:pPr>
              <w:spacing w:line="380" w:lineRule="exact"/>
              <w:jc w:val="center"/>
              <w:rPr>
                <w:rFonts w:asciiTheme="minorEastAsia" w:hAnsiTheme="minorEastAsia" w:eastAsiaTheme="minorEastAsia" w:cstheme="minorEastAsia"/>
                <w:color w:val="auto"/>
                <w:sz w:val="21"/>
                <w:szCs w:val="21"/>
                <w:highlight w:val="none"/>
              </w:rPr>
            </w:pPr>
          </w:p>
        </w:tc>
        <w:tc>
          <w:tcPr>
            <w:tcW w:w="1360" w:type="dxa"/>
            <w:vMerge w:val="continue"/>
            <w:vAlign w:val="center"/>
          </w:tcPr>
          <w:p>
            <w:pPr>
              <w:spacing w:line="380" w:lineRule="exact"/>
              <w:jc w:val="center"/>
              <w:rPr>
                <w:rFonts w:asciiTheme="minorEastAsia" w:hAnsiTheme="minorEastAsia" w:eastAsiaTheme="minorEastAsia" w:cstheme="minorEastAsia"/>
                <w:color w:val="auto"/>
                <w:sz w:val="21"/>
                <w:szCs w:val="21"/>
                <w:highlight w:val="none"/>
              </w:rPr>
            </w:pPr>
          </w:p>
        </w:tc>
        <w:tc>
          <w:tcPr>
            <w:tcW w:w="820" w:type="dxa"/>
            <w:vAlign w:val="center"/>
          </w:tcPr>
          <w:p>
            <w:pPr>
              <w:spacing w:line="380" w:lineRule="exact"/>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数据分析及运维优惠条件承诺</w:t>
            </w:r>
          </w:p>
        </w:tc>
        <w:tc>
          <w:tcPr>
            <w:tcW w:w="608" w:type="dxa"/>
            <w:vAlign w:val="center"/>
          </w:tcPr>
          <w:p>
            <w:pPr>
              <w:spacing w:line="380" w:lineRule="exact"/>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8分</w:t>
            </w:r>
          </w:p>
        </w:tc>
        <w:tc>
          <w:tcPr>
            <w:tcW w:w="5467" w:type="dxa"/>
            <w:gridSpan w:val="3"/>
            <w:vAlign w:val="center"/>
          </w:tcPr>
          <w:p>
            <w:pPr>
              <w:spacing w:line="380" w:lineRule="exact"/>
              <w:jc w:val="both"/>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（1）满足本项目专用条款要求免费系统运维2年及免费数据分析2年得2分。</w:t>
            </w:r>
          </w:p>
          <w:p>
            <w:pPr>
              <w:spacing w:line="380" w:lineRule="exact"/>
              <w:jc w:val="both"/>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（2）每增加1年免费系统运维得1分，最高得3分；</w:t>
            </w:r>
          </w:p>
          <w:p>
            <w:pPr>
              <w:spacing w:line="380" w:lineRule="exact"/>
              <w:jc w:val="both"/>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（3）每增加1年免费数据分析得1分，最高得3分。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3" w:type="dxa"/>
            <w:gridSpan w:val="7"/>
            <w:vAlign w:val="center"/>
          </w:tcPr>
          <w:p>
            <w:pPr>
              <w:spacing w:line="380" w:lineRule="exact"/>
              <w:jc w:val="both"/>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需要补充的其他内容：</w:t>
            </w:r>
          </w:p>
          <w:p>
            <w:pPr>
              <w:spacing w:line="380" w:lineRule="exact"/>
              <w:jc w:val="both"/>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评标委员会成员应当按照评标办法的规定，独立评分并署名，各评审因素（投标人的信誉、投标价除外）得分均不应低于其评分满分值的60%，且各评审因素得分应以评标委员会各成员的打分平均值确定，评标委员会成员总数为7人或7人以上时，该平均值应去掉一个最高分和一个最低分后计算。评标委员会成员对某一项评分因素的评分低于权重分值60%的，应在评标报告中作出说明。</w:t>
            </w:r>
          </w:p>
          <w:p>
            <w:pPr>
              <w:pStyle w:val="11"/>
              <w:spacing w:line="380" w:lineRule="exact"/>
              <w:ind w:firstLine="0" w:firstLineChars="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2.无效标条件：投标人或投标文件有下列情形之一的，其投标作无效标处理：</w:t>
            </w:r>
          </w:p>
          <w:p>
            <w:pPr>
              <w:pStyle w:val="11"/>
              <w:spacing w:line="380" w:lineRule="exact"/>
              <w:ind w:firstLine="0" w:firstLineChars="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(1)第二章“投标人须知正文部分”及“投标人须知前附表”规定的任何一种情形的；</w:t>
            </w:r>
          </w:p>
          <w:p>
            <w:pPr>
              <w:pStyle w:val="11"/>
              <w:spacing w:line="380" w:lineRule="exact"/>
              <w:ind w:firstLine="0" w:firstLineChars="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(2)在形式评审与响应性评审和资格评审中，评标委员会认定投标人的投标不符合评标办法前附表中规定的任何一项评审标准的；</w:t>
            </w:r>
          </w:p>
          <w:p>
            <w:pPr>
              <w:pStyle w:val="11"/>
              <w:spacing w:line="380" w:lineRule="exact"/>
              <w:ind w:firstLine="0" w:firstLineChars="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(3)不按评标委员会要求澄清、说明或补正的；</w:t>
            </w:r>
          </w:p>
          <w:p>
            <w:pPr>
              <w:pStyle w:val="11"/>
              <w:spacing w:line="380" w:lineRule="exact"/>
              <w:ind w:firstLine="0" w:firstLineChars="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(4)不接受评标委员会按招标文件要求对投标报价进行修正的；</w:t>
            </w:r>
          </w:p>
          <w:p>
            <w:pPr>
              <w:pStyle w:val="11"/>
              <w:spacing w:line="380" w:lineRule="exact"/>
              <w:ind w:firstLine="0" w:firstLineChars="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(5)投标人的最终投标报价超过招标人设置的投标控制限价的；</w:t>
            </w:r>
          </w:p>
          <w:p>
            <w:pPr>
              <w:pStyle w:val="11"/>
              <w:spacing w:line="380" w:lineRule="exact"/>
              <w:ind w:firstLine="0" w:firstLineChars="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(6)评标委员会认定投标人以低于成本报价竞标的；</w:t>
            </w:r>
          </w:p>
          <w:p>
            <w:pPr>
              <w:pStyle w:val="11"/>
              <w:spacing w:line="380" w:lineRule="exact"/>
              <w:ind w:firstLine="0" w:firstLineChars="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(7)投标文件对本招标文件需承诺内容未作出承诺的；</w:t>
            </w:r>
          </w:p>
          <w:p>
            <w:pPr>
              <w:pStyle w:val="11"/>
              <w:spacing w:line="380" w:lineRule="exact"/>
              <w:ind w:firstLine="0" w:firstLineChars="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(8)评标委员会根据评标办法正文3.6.2条规定认定投标人存在串通投标、弄虚作假、行贿等违法行为的。</w:t>
            </w:r>
          </w:p>
          <w:p>
            <w:pPr>
              <w:pStyle w:val="11"/>
              <w:spacing w:line="380" w:lineRule="exact"/>
              <w:ind w:firstLine="0" w:firstLineChars="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在评标过程中，如通过形式评审与响应性评审及资格评审的投标人不足3个的，评标委员会应当对有效投标是否仍具有竞争性进行评审。评标委员会一致认为有效投标仍具有竞争性的，应当继续推荐中标候选人，并在评标报告中予以说明。评标委员会对有效投标是否仍具有竞争性无法达成一致意见的，应当否决全部投标。</w:t>
            </w:r>
          </w:p>
        </w:tc>
      </w:tr>
    </w:tbl>
    <w:p>
      <w:pPr>
        <w:rPr>
          <w:rFonts w:hint="eastAsia" w:eastAsiaTheme="minorEastAsia"/>
          <w:lang w:val="en-US" w:eastAsia="zh-CN"/>
        </w:rPr>
      </w:pPr>
      <w:bookmarkStart w:id="29" w:name="_GoBack"/>
      <w:bookmarkEnd w:id="2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3NzAxYTM1ZTg3MmUyZWU3MjVjMjAzODlhZTY5MzcifQ=="/>
  </w:docVars>
  <w:rsids>
    <w:rsidRoot w:val="29A4022A"/>
    <w:rsid w:val="29A4022A"/>
    <w:rsid w:val="39495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qFormat/>
    <w:uiPriority w:val="0"/>
    <w:pPr>
      <w:keepNext/>
      <w:keepLines/>
      <w:autoSpaceDE/>
      <w:autoSpaceDN/>
      <w:adjustRightInd/>
      <w:spacing w:before="260" w:after="260" w:line="416" w:lineRule="auto"/>
      <w:jc w:val="both"/>
      <w:textAlignment w:val="auto"/>
      <w:outlineLvl w:val="1"/>
    </w:pPr>
    <w:rPr>
      <w:rFonts w:eastAsia="黑体"/>
      <w:b/>
      <w:bCs/>
      <w:kern w:val="2"/>
      <w:sz w:val="32"/>
      <w:szCs w:val="32"/>
    </w:rPr>
  </w:style>
  <w:style w:type="paragraph" w:styleId="5">
    <w:name w:val="heading 3"/>
    <w:basedOn w:val="1"/>
    <w:next w:val="6"/>
    <w:qFormat/>
    <w:uiPriority w:val="0"/>
    <w:pPr>
      <w:keepNext/>
      <w:keepLines/>
      <w:widowControl/>
      <w:spacing w:before="120" w:after="120" w:line="360" w:lineRule="auto"/>
      <w:jc w:val="left"/>
      <w:outlineLvl w:val="2"/>
    </w:pPr>
    <w:rPr>
      <w:b/>
      <w:kern w:val="0"/>
      <w:sz w:val="32"/>
      <w:szCs w:val="20"/>
    </w:rPr>
  </w:style>
  <w:style w:type="paragraph" w:styleId="7">
    <w:name w:val="heading 4"/>
    <w:basedOn w:val="1"/>
    <w:next w:val="6"/>
    <w:qFormat/>
    <w:uiPriority w:val="0"/>
    <w:pPr>
      <w:keepNext/>
      <w:adjustRightInd w:val="0"/>
      <w:spacing w:line="420" w:lineRule="atLeast"/>
      <w:jc w:val="left"/>
      <w:textAlignment w:val="baseline"/>
      <w:outlineLvl w:val="3"/>
    </w:pPr>
    <w:rPr>
      <w:kern w:val="0"/>
      <w:szCs w:val="20"/>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99"/>
    <w:pPr>
      <w:tabs>
        <w:tab w:val="center" w:pos="4153"/>
        <w:tab w:val="right" w:pos="8306"/>
      </w:tabs>
      <w:snapToGrid w:val="0"/>
      <w:jc w:val="left"/>
    </w:pPr>
    <w:rPr>
      <w:kern w:val="0"/>
      <w:sz w:val="18"/>
      <w:szCs w:val="18"/>
    </w:rPr>
  </w:style>
  <w:style w:type="paragraph" w:customStyle="1" w:styleId="3">
    <w:name w:val="彩色列表 - 强调文字颜色 11"/>
    <w:basedOn w:val="1"/>
    <w:next w:val="1"/>
    <w:qFormat/>
    <w:uiPriority w:val="0"/>
    <w:pPr>
      <w:ind w:firstLine="420" w:firstLineChars="200"/>
    </w:pPr>
    <w:rPr>
      <w:rFonts w:ascii="Calibri" w:hAnsi="Calibri"/>
      <w:szCs w:val="22"/>
    </w:rPr>
  </w:style>
  <w:style w:type="paragraph" w:styleId="6">
    <w:name w:val="Normal Indent"/>
    <w:basedOn w:val="1"/>
    <w:qFormat/>
    <w:uiPriority w:val="0"/>
    <w:pPr>
      <w:ind w:firstLine="420" w:firstLineChars="200"/>
    </w:pPr>
  </w:style>
  <w:style w:type="paragraph" w:styleId="8">
    <w:name w:val="table of authorities"/>
    <w:basedOn w:val="1"/>
    <w:next w:val="1"/>
    <w:qFormat/>
    <w:uiPriority w:val="0"/>
    <w:pPr>
      <w:adjustRightInd w:val="0"/>
      <w:spacing w:line="400" w:lineRule="atLeast"/>
      <w:ind w:left="420" w:leftChars="200" w:firstLine="200" w:firstLineChars="200"/>
      <w:jc w:val="left"/>
      <w:textAlignment w:val="baseline"/>
    </w:pPr>
    <w:rPr>
      <w:kern w:val="0"/>
      <w:sz w:val="24"/>
    </w:rPr>
  </w:style>
  <w:style w:type="paragraph" w:styleId="9">
    <w:name w:val="index 8"/>
    <w:basedOn w:val="1"/>
    <w:next w:val="1"/>
    <w:qFormat/>
    <w:uiPriority w:val="0"/>
    <w:pPr>
      <w:ind w:left="1400" w:leftChars="1400"/>
    </w:pPr>
  </w:style>
  <w:style w:type="paragraph" w:styleId="10">
    <w:name w:val="annotation text"/>
    <w:basedOn w:val="1"/>
    <w:semiHidden/>
    <w:qFormat/>
    <w:uiPriority w:val="0"/>
  </w:style>
  <w:style w:type="paragraph" w:styleId="11">
    <w:name w:val="Body Text Indent 2"/>
    <w:basedOn w:val="1"/>
    <w:qFormat/>
    <w:uiPriority w:val="0"/>
    <w:pPr>
      <w:ind w:firstLine="480" w:firstLineChars="200"/>
      <w:jc w:val="both"/>
    </w:pPr>
    <w:rPr>
      <w:rFonts w:ascii="仿宋_GB2312" w:eastAsia="仿宋_GB2312"/>
      <w:sz w:val="24"/>
    </w:rPr>
  </w:style>
  <w:style w:type="paragraph" w:customStyle="1" w:styleId="1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5306</Words>
  <Characters>5631</Characters>
  <Lines>0</Lines>
  <Paragraphs>0</Paragraphs>
  <TotalTime>0</TotalTime>
  <ScaleCrop>false</ScaleCrop>
  <LinksUpToDate>false</LinksUpToDate>
  <CharactersWithSpaces>5653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2023-03-20T02:53:00Z</dcterms:created>
  <dc:creator>嘻嘻嘻</dc:creator>
  <cp:lastModifiedBy>嘻嘻嘻</cp:lastModifiedBy>
  <dcterms:modified xsi:type="dcterms:W3CDTF">2023-05-11T08:57:32Z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6D59CCAAAB214F1AACB49C6E88811FC7_13</vt:lpwstr>
  </property>
</Properties>
</file>