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bidi w:val="0"/>
        <w:spacing w:line="360" w:lineRule="auto"/>
        <w:jc w:val="center"/>
        <w:outlineLvl w:val="3"/>
        <w:rPr>
          <w:rFonts w:hint="eastAsia" w:ascii="宋体" w:hAnsi="宋体" w:eastAsia="宋体" w:cs="Times New Roman"/>
          <w:b w:val="0"/>
          <w:bCs w:val="0"/>
          <w:color w:val="auto"/>
          <w:sz w:val="24"/>
          <w:szCs w:val="24"/>
          <w:highlight w:val="none"/>
          <w:lang w:val="en-US" w:eastAsia="zh-CN" w:bidi="ar-SA"/>
        </w:rPr>
      </w:pPr>
      <w:r>
        <w:rPr>
          <w:rFonts w:hint="eastAsia" w:ascii="宋体" w:hAnsi="宋体"/>
          <w:b/>
          <w:bCs/>
          <w:color w:val="auto"/>
          <w:sz w:val="27"/>
          <w:szCs w:val="27"/>
          <w:highlight w:val="none"/>
        </w:rPr>
        <w:t>附录1</w:t>
      </w:r>
      <w:r>
        <w:rPr>
          <w:rFonts w:hint="eastAsia" w:ascii="宋体" w:hAnsi="宋体"/>
          <w:b/>
          <w:bCs/>
          <w:color w:val="auto"/>
          <w:sz w:val="27"/>
          <w:szCs w:val="27"/>
          <w:highlight w:val="none"/>
          <w:lang w:val="en-US" w:eastAsia="zh-CN"/>
        </w:rPr>
        <w:t xml:space="preserve">  </w:t>
      </w:r>
      <w:r>
        <w:rPr>
          <w:rFonts w:hint="eastAsia" w:ascii="宋体" w:hAnsi="宋体"/>
          <w:b/>
          <w:bCs/>
          <w:color w:val="auto"/>
          <w:sz w:val="27"/>
          <w:szCs w:val="27"/>
          <w:highlight w:val="none"/>
        </w:rPr>
        <w:t>资格审查条件（资质最低要求）</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040" w:type="dxa"/>
            <w:tcBorders>
              <w:tl2br w:val="nil"/>
              <w:tr2bl w:val="nil"/>
            </w:tcBorders>
            <w:noWrap w:val="0"/>
            <w:vAlign w:val="center"/>
          </w:tcPr>
          <w:p>
            <w:pPr>
              <w:pageBreakBefore w:val="0"/>
              <w:bidi w:val="0"/>
              <w:spacing w:line="360" w:lineRule="auto"/>
              <w:jc w:val="center"/>
              <w:rPr>
                <w:rFonts w:hint="eastAsia" w:ascii="黑体" w:hAnsi="黑体" w:eastAsia="黑体" w:cs="黑体"/>
                <w:color w:val="auto"/>
                <w:sz w:val="24"/>
                <w:highlight w:val="none"/>
              </w:rPr>
            </w:pPr>
            <w:r>
              <w:rPr>
                <w:rFonts w:hint="eastAsia" w:ascii="黑体" w:hAnsi="黑体" w:eastAsia="黑体" w:cs="黑体"/>
                <w:color w:val="auto"/>
                <w:sz w:val="24"/>
                <w:highlight w:val="none"/>
              </w:rPr>
              <w:t>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72" w:hRule="atLeast"/>
          <w:jc w:val="center"/>
        </w:trPr>
        <w:tc>
          <w:tcPr>
            <w:tcW w:w="9040" w:type="dxa"/>
            <w:tcBorders>
              <w:tl2br w:val="nil"/>
              <w:tr2bl w:val="nil"/>
            </w:tcBorders>
            <w:noWrap w:val="0"/>
            <w:vAlign w:val="center"/>
          </w:tcPr>
          <w:p>
            <w:pPr>
              <w:keepNext w:val="0"/>
              <w:keepLines w:val="0"/>
              <w:pageBreakBefore w:val="0"/>
              <w:widowControl w:val="0"/>
              <w:kinsoku/>
              <w:wordWrap/>
              <w:topLinePunct w:val="0"/>
              <w:autoSpaceDE/>
              <w:autoSpaceDN/>
              <w:bidi w:val="0"/>
              <w:adjustRightInd w:val="0"/>
              <w:spacing w:line="360" w:lineRule="auto"/>
              <w:ind w:firstLine="480" w:firstLineChars="20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1、</w:t>
            </w:r>
            <w:r>
              <w:rPr>
                <w:rFonts w:hint="eastAsia" w:ascii="黑体" w:hAnsi="黑体" w:eastAsia="黑体" w:cs="黑体"/>
                <w:color w:val="auto"/>
                <w:sz w:val="24"/>
                <w:highlight w:val="none"/>
              </w:rPr>
              <w:t>具有独立法人资格的试验检测机构，持有有效的营业执照或事业单位法人证书；</w:t>
            </w:r>
          </w:p>
          <w:p>
            <w:pPr>
              <w:keepNext w:val="0"/>
              <w:keepLines w:val="0"/>
              <w:pageBreakBefore w:val="0"/>
              <w:widowControl w:val="0"/>
              <w:kinsoku/>
              <w:wordWrap/>
              <w:topLinePunct w:val="0"/>
              <w:autoSpaceDE/>
              <w:autoSpaceDN/>
              <w:bidi w:val="0"/>
              <w:adjustRightInd w:val="0"/>
              <w:spacing w:line="360" w:lineRule="auto"/>
              <w:ind w:firstLine="480" w:firstLineChars="200"/>
              <w:jc w:val="both"/>
              <w:rPr>
                <w:rFonts w:hint="eastAsia" w:ascii="黑体" w:hAnsi="黑体" w:eastAsia="黑体" w:cs="黑体"/>
                <w:color w:val="auto"/>
                <w:sz w:val="24"/>
                <w:highlight w:val="none"/>
              </w:rPr>
            </w:pPr>
            <w:r>
              <w:rPr>
                <w:rFonts w:hint="eastAsia" w:ascii="黑体" w:hAnsi="黑体" w:eastAsia="黑体" w:cs="黑体"/>
                <w:color w:val="auto"/>
                <w:sz w:val="24"/>
                <w:highlight w:val="none"/>
                <w:lang w:val="en-US" w:eastAsia="zh-CN"/>
              </w:rPr>
              <w:t>2、</w:t>
            </w:r>
            <w:r>
              <w:rPr>
                <w:rFonts w:hint="eastAsia" w:ascii="黑体" w:hAnsi="黑体" w:eastAsia="黑体" w:cs="黑体"/>
                <w:color w:val="auto"/>
                <w:sz w:val="24"/>
                <w:highlight w:val="none"/>
              </w:rPr>
              <w:t>持有公路工程试验检测综合甲级资质</w:t>
            </w:r>
            <w:r>
              <w:rPr>
                <w:rFonts w:hint="eastAsia" w:ascii="黑体" w:hAnsi="黑体" w:eastAsia="黑体" w:cs="黑体"/>
                <w:color w:val="auto"/>
                <w:sz w:val="24"/>
                <w:highlight w:val="none"/>
                <w:lang w:eastAsia="zh-CN"/>
              </w:rPr>
              <w:t>或</w:t>
            </w:r>
            <w:r>
              <w:rPr>
                <w:rFonts w:hint="eastAsia" w:ascii="黑体" w:hAnsi="黑体" w:eastAsia="黑体" w:cs="黑体"/>
                <w:color w:val="auto"/>
                <w:sz w:val="24"/>
                <w:highlight w:val="none"/>
              </w:rPr>
              <w:t>桥梁隧道工程专项资质</w:t>
            </w:r>
            <w:r>
              <w:rPr>
                <w:rFonts w:hint="eastAsia" w:ascii="黑体" w:hAnsi="黑体" w:eastAsia="黑体" w:cs="黑体"/>
                <w:color w:val="auto"/>
                <w:sz w:val="24"/>
                <w:highlight w:val="none"/>
                <w:lang w:eastAsia="zh-CN"/>
              </w:rPr>
              <w:t>；</w:t>
            </w:r>
            <w:r>
              <w:rPr>
                <w:rFonts w:hint="eastAsia" w:ascii="黑体" w:hAnsi="黑体" w:eastAsia="黑体" w:cs="黑体"/>
                <w:color w:val="auto"/>
                <w:sz w:val="24"/>
                <w:highlight w:val="none"/>
              </w:rPr>
              <w:t>具有</w:t>
            </w:r>
            <w:r>
              <w:rPr>
                <w:rFonts w:hint="eastAsia" w:ascii="黑体" w:hAnsi="黑体" w:eastAsia="黑体" w:cs="黑体"/>
                <w:color w:val="auto"/>
                <w:sz w:val="24"/>
                <w:highlight w:val="none"/>
                <w:lang w:val="en-US" w:eastAsia="zh-CN"/>
              </w:rPr>
              <w:t>质量技术监督部门或行政部门颁发的</w:t>
            </w:r>
            <w:r>
              <w:rPr>
                <w:rFonts w:hint="eastAsia" w:ascii="黑体" w:hAnsi="黑体" w:eastAsia="黑体" w:cs="黑体"/>
                <w:color w:val="auto"/>
                <w:sz w:val="24"/>
                <w:highlight w:val="none"/>
              </w:rPr>
              <w:t>有效的计量认证证书</w:t>
            </w:r>
            <w:r>
              <w:rPr>
                <w:rFonts w:hint="eastAsia" w:ascii="黑体" w:hAnsi="黑体" w:eastAsia="黑体" w:cs="黑体"/>
                <w:color w:val="auto"/>
                <w:sz w:val="24"/>
                <w:highlight w:val="none"/>
                <w:lang w:eastAsia="zh-CN"/>
              </w:rPr>
              <w:t>（或资质认定证书</w:t>
            </w:r>
            <w:r>
              <w:rPr>
                <w:rFonts w:hint="default" w:ascii="黑体" w:hAnsi="黑体" w:eastAsia="黑体" w:cs="黑体"/>
                <w:color w:val="auto"/>
                <w:sz w:val="24"/>
                <w:highlight w:val="none"/>
                <w:lang w:eastAsia="zh-CN"/>
              </w:rPr>
              <w:t>）（</w:t>
            </w:r>
            <w:r>
              <w:rPr>
                <w:rFonts w:hint="eastAsia" w:ascii="黑体" w:hAnsi="黑体" w:eastAsia="黑体" w:cs="黑体"/>
                <w:color w:val="auto"/>
                <w:sz w:val="24"/>
                <w:highlight w:val="none"/>
                <w:lang w:val="en-US" w:eastAsia="zh-CN"/>
              </w:rPr>
              <w:t>CMA)</w:t>
            </w:r>
            <w:r>
              <w:rPr>
                <w:rFonts w:hint="eastAsia" w:ascii="黑体" w:hAnsi="黑体" w:eastAsia="黑体" w:cs="黑体"/>
                <w:color w:val="auto"/>
                <w:sz w:val="24"/>
                <w:highlight w:val="none"/>
              </w:rPr>
              <w:t>，附表所列计量认证参数</w:t>
            </w:r>
            <w:r>
              <w:rPr>
                <w:rFonts w:hint="eastAsia" w:ascii="黑体" w:hAnsi="黑体" w:eastAsia="黑体" w:cs="黑体"/>
                <w:color w:val="auto"/>
                <w:sz w:val="24"/>
                <w:highlight w:val="none"/>
                <w:lang w:val="en-US" w:eastAsia="zh-CN"/>
              </w:rPr>
              <w:t>至少</w:t>
            </w:r>
            <w:r>
              <w:rPr>
                <w:rFonts w:hint="eastAsia" w:ascii="黑体" w:hAnsi="黑体" w:eastAsia="黑体" w:cs="黑体"/>
                <w:color w:val="auto"/>
                <w:sz w:val="24"/>
                <w:highlight w:val="none"/>
              </w:rPr>
              <w:t>涵盖</w:t>
            </w:r>
            <w:r>
              <w:rPr>
                <w:rFonts w:hint="eastAsia" w:ascii="黑体" w:hAnsi="黑体" w:eastAsia="黑体" w:cs="黑体"/>
                <w:color w:val="auto"/>
                <w:sz w:val="24"/>
                <w:highlight w:val="none"/>
                <w:lang w:val="en-US" w:eastAsia="zh-CN"/>
              </w:rPr>
              <w:t>高强螺栓、焊缝超声波、射线、磁粉无损探伤检测、涂装粗糙度、厚度、附着力等检测</w:t>
            </w:r>
            <w:r>
              <w:rPr>
                <w:rFonts w:hint="eastAsia" w:ascii="黑体" w:hAnsi="黑体" w:eastAsia="黑体" w:cs="黑体"/>
                <w:color w:val="auto"/>
                <w:sz w:val="24"/>
                <w:highlight w:val="none"/>
              </w:rPr>
              <w:t>内容。</w:t>
            </w:r>
          </w:p>
        </w:tc>
      </w:tr>
    </w:tbl>
    <w:p>
      <w:pPr>
        <w:pageBreakBefore w:val="0"/>
        <w:bidi w:val="0"/>
        <w:spacing w:line="360" w:lineRule="auto"/>
        <w:jc w:val="center"/>
        <w:rPr>
          <w:rFonts w:hint="eastAsia" w:ascii="宋体" w:hAnsi="宋体"/>
          <w:iCs/>
          <w:snapToGrid w:val="0"/>
          <w:color w:val="auto"/>
          <w:kern w:val="0"/>
          <w:szCs w:val="21"/>
          <w:highlight w:val="none"/>
        </w:rPr>
      </w:pPr>
    </w:p>
    <w:p>
      <w:pPr>
        <w:pStyle w:val="24"/>
        <w:pageBreakBefore w:val="0"/>
        <w:bidi w:val="0"/>
        <w:spacing w:line="360" w:lineRule="auto"/>
        <w:outlineLvl w:val="9"/>
        <w:rPr>
          <w:color w:val="auto"/>
          <w:highlight w:val="none"/>
        </w:rPr>
      </w:pPr>
    </w:p>
    <w:p>
      <w:pPr>
        <w:pageBreakBefore w:val="0"/>
        <w:bidi w:val="0"/>
        <w:spacing w:line="360" w:lineRule="auto"/>
        <w:jc w:val="center"/>
        <w:outlineLvl w:val="3"/>
        <w:rPr>
          <w:rFonts w:hint="eastAsia" w:ascii="宋体" w:hAnsi="宋体"/>
          <w:b/>
          <w:bCs/>
          <w:color w:val="auto"/>
          <w:sz w:val="27"/>
          <w:szCs w:val="27"/>
          <w:highlight w:val="none"/>
        </w:rPr>
      </w:pPr>
      <w:r>
        <w:rPr>
          <w:rFonts w:hint="eastAsia" w:ascii="宋体" w:hAnsi="宋体"/>
          <w:b/>
          <w:bCs/>
          <w:color w:val="auto"/>
          <w:sz w:val="27"/>
          <w:szCs w:val="27"/>
          <w:highlight w:val="none"/>
          <w:lang w:val="en-US" w:eastAsia="zh-CN"/>
        </w:rPr>
        <w:br w:type="page"/>
      </w:r>
      <w:r>
        <w:rPr>
          <w:rFonts w:hint="eastAsia" w:ascii="宋体" w:hAnsi="宋体"/>
          <w:b/>
          <w:bCs/>
          <w:color w:val="auto"/>
          <w:sz w:val="27"/>
          <w:szCs w:val="27"/>
          <w:highlight w:val="none"/>
          <w:lang w:val="en-US" w:eastAsia="zh-CN"/>
        </w:rPr>
        <w:t xml:space="preserve">附录2  </w:t>
      </w:r>
      <w:r>
        <w:rPr>
          <w:rFonts w:hint="eastAsia" w:ascii="宋体" w:hAnsi="宋体"/>
          <w:b/>
          <w:bCs/>
          <w:color w:val="auto"/>
          <w:sz w:val="27"/>
          <w:szCs w:val="27"/>
          <w:highlight w:val="none"/>
        </w:rPr>
        <w:t>资格审查条件（业绩要求）</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2" w:hRule="atLeast"/>
          <w:jc w:val="center"/>
        </w:trPr>
        <w:tc>
          <w:tcPr>
            <w:tcW w:w="9120" w:type="dxa"/>
            <w:tcBorders>
              <w:tl2br w:val="nil"/>
              <w:tr2bl w:val="nil"/>
            </w:tcBorders>
            <w:noWrap w:val="0"/>
            <w:vAlign w:val="center"/>
          </w:tcPr>
          <w:p>
            <w:pPr>
              <w:pageBreakBefore w:val="0"/>
              <w:bidi w:val="0"/>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4" w:hRule="atLeast"/>
          <w:jc w:val="center"/>
        </w:trPr>
        <w:tc>
          <w:tcPr>
            <w:tcW w:w="9120" w:type="dxa"/>
            <w:tcBorders>
              <w:tl2br w:val="nil"/>
              <w:tr2bl w:val="nil"/>
            </w:tcBorders>
            <w:noWrap w:val="0"/>
            <w:vAlign w:val="center"/>
          </w:tcPr>
          <w:p>
            <w:pPr>
              <w:pageBreakBefore w:val="0"/>
              <w:bidi w:val="0"/>
              <w:adjustRightInd w:val="0"/>
              <w:snapToGrid w:val="0"/>
              <w:spacing w:line="360" w:lineRule="auto"/>
              <w:ind w:firstLine="550" w:firstLineChars="250"/>
              <w:jc w:val="both"/>
              <w:rPr>
                <w:rFonts w:hint="eastAsia" w:ascii="黑体" w:hAnsi="黑体" w:eastAsia="黑体" w:cs="黑体"/>
                <w:color w:val="auto"/>
                <w:szCs w:val="21"/>
                <w:highlight w:val="none"/>
              </w:rPr>
            </w:pPr>
            <w:r>
              <w:rPr>
                <w:rFonts w:hint="eastAsia" w:ascii="黑体" w:hAnsi="黑体" w:eastAsia="黑体" w:cs="黑体"/>
                <w:color w:val="auto"/>
                <w:sz w:val="22"/>
                <w:highlight w:val="none"/>
              </w:rPr>
              <w:t>本项目对</w:t>
            </w:r>
            <w:r>
              <w:rPr>
                <w:rFonts w:hint="eastAsia" w:ascii="黑体" w:hAnsi="黑体" w:eastAsia="黑体" w:cs="黑体"/>
                <w:color w:val="auto"/>
                <w:sz w:val="22"/>
                <w:highlight w:val="none"/>
                <w:lang w:eastAsia="zh-CN"/>
              </w:rPr>
              <w:t>投标人的单位</w:t>
            </w:r>
            <w:r>
              <w:rPr>
                <w:rFonts w:hint="eastAsia" w:ascii="黑体" w:hAnsi="黑体" w:eastAsia="黑体" w:cs="黑体"/>
                <w:color w:val="auto"/>
                <w:sz w:val="22"/>
                <w:highlight w:val="none"/>
              </w:rPr>
              <w:t>业绩不作为资格审查条件。</w:t>
            </w:r>
          </w:p>
        </w:tc>
      </w:tr>
    </w:tbl>
    <w:p>
      <w:pPr>
        <w:pStyle w:val="24"/>
        <w:pageBreakBefore w:val="0"/>
        <w:bidi w:val="0"/>
        <w:spacing w:line="360" w:lineRule="auto"/>
        <w:outlineLvl w:val="9"/>
        <w:rPr>
          <w:color w:val="auto"/>
          <w:highlight w:val="none"/>
        </w:rPr>
      </w:pPr>
    </w:p>
    <w:p>
      <w:pPr>
        <w:pStyle w:val="6"/>
        <w:pageBreakBefore w:val="0"/>
        <w:bidi w:val="0"/>
        <w:spacing w:line="360" w:lineRule="auto"/>
        <w:jc w:val="center"/>
        <w:outlineLvl w:val="3"/>
        <w:rPr>
          <w:rFonts w:hint="eastAsia" w:ascii="宋体" w:hAnsi="宋体"/>
          <w:b/>
          <w:bCs/>
          <w:color w:val="auto"/>
          <w:sz w:val="27"/>
          <w:szCs w:val="27"/>
          <w:highlight w:val="none"/>
        </w:rPr>
      </w:pPr>
      <w:r>
        <w:rPr>
          <w:rFonts w:hint="eastAsia" w:ascii="宋体" w:hAnsi="宋体"/>
          <w:b/>
          <w:bCs/>
          <w:color w:val="auto"/>
          <w:sz w:val="27"/>
          <w:szCs w:val="27"/>
          <w:highlight w:val="none"/>
        </w:rPr>
        <w:br w:type="page"/>
      </w:r>
      <w:r>
        <w:rPr>
          <w:rFonts w:hint="eastAsia" w:ascii="宋体" w:hAnsi="宋体"/>
          <w:b/>
          <w:bCs/>
          <w:color w:val="auto"/>
          <w:sz w:val="27"/>
          <w:szCs w:val="27"/>
          <w:highlight w:val="none"/>
        </w:rPr>
        <w:t>附录</w:t>
      </w:r>
      <w:r>
        <w:rPr>
          <w:rFonts w:hint="eastAsia" w:ascii="宋体" w:hAnsi="宋体"/>
          <w:b/>
          <w:bCs/>
          <w:color w:val="auto"/>
          <w:sz w:val="27"/>
          <w:szCs w:val="27"/>
          <w:highlight w:val="none"/>
          <w:lang w:val="en-US" w:eastAsia="zh-CN"/>
        </w:rPr>
        <w:t xml:space="preserve">3 </w:t>
      </w:r>
      <w:r>
        <w:rPr>
          <w:rFonts w:hint="eastAsia" w:ascii="宋体" w:hAnsi="宋体"/>
          <w:b/>
          <w:bCs/>
          <w:color w:val="auto"/>
          <w:sz w:val="27"/>
          <w:szCs w:val="27"/>
          <w:highlight w:val="none"/>
        </w:rPr>
        <w:t>资格审查条件（信誉最低要求）</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8730" w:type="dxa"/>
            <w:tcBorders>
              <w:tl2br w:val="nil"/>
              <w:tr2bl w:val="nil"/>
            </w:tcBorders>
            <w:noWrap w:val="0"/>
            <w:vAlign w:val="center"/>
          </w:tcPr>
          <w:p>
            <w:pPr>
              <w:pageBreakBefore w:val="0"/>
              <w:bidi w:val="0"/>
              <w:spacing w:line="360" w:lineRule="auto"/>
              <w:jc w:val="center"/>
              <w:rPr>
                <w:rFonts w:hint="eastAsia" w:ascii="黑体" w:hAnsi="黑体" w:eastAsia="黑体" w:cs="黑体"/>
                <w:b/>
                <w:color w:val="auto"/>
                <w:sz w:val="24"/>
                <w:highlight w:val="none"/>
              </w:rPr>
            </w:pPr>
            <w:r>
              <w:rPr>
                <w:rFonts w:hint="eastAsia" w:ascii="黑体" w:hAnsi="黑体" w:eastAsia="黑体" w:cs="黑体"/>
                <w:b/>
                <w:color w:val="auto"/>
                <w:sz w:val="24"/>
                <w:highlight w:val="none"/>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25" w:hRule="atLeast"/>
          <w:jc w:val="center"/>
        </w:trPr>
        <w:tc>
          <w:tcPr>
            <w:tcW w:w="8730" w:type="dxa"/>
            <w:tcBorders>
              <w:tl2br w:val="nil"/>
              <w:tr2bl w:val="nil"/>
            </w:tcBorders>
            <w:noWrap w:val="0"/>
            <w:vAlign w:val="center"/>
          </w:tcPr>
          <w:p>
            <w:pPr>
              <w:pageBreakBefore w:val="0"/>
              <w:bidi w:val="0"/>
              <w:snapToGrid w:val="0"/>
              <w:spacing w:before="120" w:beforeLines="50" w:line="360" w:lineRule="auto"/>
              <w:ind w:firstLine="0"/>
              <w:rPr>
                <w:rFonts w:hint="eastAsia"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投标</w:t>
            </w:r>
            <w:r>
              <w:rPr>
                <w:rFonts w:hint="eastAsia" w:ascii="黑体" w:hAnsi="黑体" w:eastAsia="黑体" w:cs="黑体"/>
                <w:b/>
                <w:bCs/>
                <w:color w:val="auto"/>
                <w:sz w:val="24"/>
                <w:szCs w:val="27"/>
                <w:highlight w:val="none"/>
              </w:rPr>
              <w:t>人不得存在下列不良状况或不良信用记录：</w:t>
            </w:r>
          </w:p>
          <w:p>
            <w:pPr>
              <w:pageBreakBefore w:val="0"/>
              <w:bidi w:val="0"/>
              <w:snapToGrid w:val="0"/>
              <w:spacing w:before="120" w:beforeLines="50"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（1）被省级及以上交通运输主管部门取消招标项目所在地的投标资格且处于有效期内；</w:t>
            </w:r>
          </w:p>
          <w:p>
            <w:pPr>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（2）被责令停业，暂扣或吊销执照，或吊销资质证书；</w:t>
            </w:r>
          </w:p>
          <w:p>
            <w:pPr>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（3）进入清算程序，或被宣告破产，或其他丧失履约能力的情形；</w:t>
            </w:r>
          </w:p>
          <w:p>
            <w:pPr>
              <w:pageBreakBefore w:val="0"/>
              <w:bidi w:val="0"/>
              <w:snapToGrid w:val="0"/>
              <w:spacing w:line="360" w:lineRule="auto"/>
              <w:ind w:firstLine="440" w:firstLineChars="200"/>
              <w:rPr>
                <w:rFonts w:hint="eastAsia" w:ascii="黑体" w:hAnsi="黑体" w:eastAsia="黑体" w:cs="黑体"/>
                <w:bCs/>
                <w:color w:val="auto"/>
                <w:sz w:val="22"/>
                <w:highlight w:val="none"/>
                <w:lang w:val="en-US" w:eastAsia="zh-CN"/>
              </w:rPr>
            </w:pPr>
            <w:r>
              <w:rPr>
                <w:rFonts w:hint="eastAsia" w:ascii="黑体" w:hAnsi="黑体" w:eastAsia="黑体" w:cs="黑体"/>
                <w:bCs/>
                <w:color w:val="auto"/>
                <w:sz w:val="22"/>
                <w:highlight w:val="none"/>
              </w:rPr>
              <w:t>（4）在国家企业信用信息公示系统（http：//www.gsxt.gov.cn/）中被列入严重违法失信企业名单；</w:t>
            </w:r>
            <w:r>
              <w:rPr>
                <w:rFonts w:hint="eastAsia" w:ascii="黑体" w:hAnsi="黑体" w:eastAsia="黑体" w:cs="黑体"/>
                <w:bCs/>
                <w:color w:val="auto"/>
                <w:sz w:val="22"/>
                <w:highlight w:val="none"/>
                <w:lang w:eastAsia="zh-CN"/>
              </w:rPr>
              <w:t>（</w:t>
            </w:r>
            <w:r>
              <w:rPr>
                <w:rFonts w:hint="eastAsia" w:ascii="黑体" w:hAnsi="黑体" w:eastAsia="黑体" w:cs="黑体"/>
                <w:bCs/>
                <w:color w:val="auto"/>
                <w:sz w:val="22"/>
                <w:highlight w:val="none"/>
                <w:lang w:val="en-US" w:eastAsia="zh-CN"/>
              </w:rPr>
              <w:t>提供网页截图，事业单位可不提供）</w:t>
            </w:r>
          </w:p>
          <w:p>
            <w:pPr>
              <w:pageBreakBefore w:val="0"/>
              <w:bidi w:val="0"/>
              <w:snapToGrid w:val="0"/>
              <w:spacing w:line="360" w:lineRule="auto"/>
              <w:ind w:firstLine="440" w:firstLineChars="200"/>
              <w:rPr>
                <w:rFonts w:hint="eastAsia" w:ascii="黑体" w:hAnsi="黑体" w:eastAsia="黑体" w:cs="黑体"/>
                <w:bCs/>
                <w:color w:val="auto"/>
                <w:sz w:val="22"/>
                <w:highlight w:val="none"/>
                <w:lang w:val="en-US" w:eastAsia="zh-CN"/>
              </w:rPr>
            </w:pPr>
            <w:r>
              <w:rPr>
                <w:rFonts w:hint="eastAsia" w:ascii="黑体" w:hAnsi="黑体" w:eastAsia="黑体" w:cs="黑体"/>
                <w:bCs/>
                <w:color w:val="auto"/>
                <w:sz w:val="22"/>
                <w:highlight w:val="none"/>
              </w:rPr>
              <w:t>（5）在“信用中国”网站（http：//www.creditchina.gov.cn/）中被列入失信被执行人名单；</w:t>
            </w:r>
            <w:r>
              <w:rPr>
                <w:rFonts w:hint="eastAsia" w:ascii="黑体" w:hAnsi="黑体" w:eastAsia="黑体" w:cs="黑体"/>
                <w:bCs/>
                <w:color w:val="auto"/>
                <w:sz w:val="22"/>
                <w:highlight w:val="none"/>
                <w:lang w:eastAsia="zh-CN"/>
              </w:rPr>
              <w:t>（</w:t>
            </w:r>
            <w:r>
              <w:rPr>
                <w:rFonts w:hint="eastAsia" w:ascii="黑体" w:hAnsi="黑体" w:eastAsia="黑体" w:cs="黑体"/>
                <w:bCs/>
                <w:color w:val="auto"/>
                <w:sz w:val="22"/>
                <w:highlight w:val="none"/>
                <w:lang w:val="en-US" w:eastAsia="zh-CN"/>
              </w:rPr>
              <w:t>提供网页截图）</w:t>
            </w:r>
          </w:p>
          <w:p>
            <w:pPr>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（6）投标人</w:t>
            </w:r>
            <w:r>
              <w:rPr>
                <w:rFonts w:hint="eastAsia" w:ascii="黑体" w:hAnsi="黑体" w:eastAsia="黑体" w:cs="黑体"/>
                <w:bCs/>
                <w:color w:val="auto"/>
                <w:sz w:val="22"/>
                <w:highlight w:val="none"/>
                <w:lang w:eastAsia="zh-CN"/>
              </w:rPr>
              <w:t>、</w:t>
            </w:r>
            <w:r>
              <w:rPr>
                <w:rFonts w:hint="eastAsia" w:ascii="黑体" w:hAnsi="黑体" w:eastAsia="黑体" w:cs="黑体"/>
                <w:bCs/>
                <w:color w:val="auto"/>
                <w:sz w:val="22"/>
                <w:highlight w:val="none"/>
              </w:rPr>
              <w:t>其法定代表人、拟委任的</w:t>
            </w:r>
            <w:r>
              <w:rPr>
                <w:rFonts w:hint="eastAsia" w:ascii="黑体" w:hAnsi="黑体" w:eastAsia="黑体" w:cs="黑体"/>
                <w:bCs/>
                <w:color w:val="auto"/>
                <w:sz w:val="22"/>
                <w:highlight w:val="none"/>
                <w:lang w:val="en-US" w:eastAsia="zh-CN"/>
              </w:rPr>
              <w:t>项目负责人</w:t>
            </w:r>
            <w:r>
              <w:rPr>
                <w:rFonts w:hint="eastAsia" w:ascii="黑体" w:hAnsi="黑体" w:eastAsia="黑体" w:cs="黑体"/>
                <w:bCs/>
                <w:color w:val="auto"/>
                <w:sz w:val="22"/>
                <w:highlight w:val="none"/>
              </w:rPr>
              <w:t>在近三年内有行贿犯罪行为的；（</w:t>
            </w:r>
            <w:r>
              <w:rPr>
                <w:rFonts w:hint="eastAsia" w:ascii="黑体" w:hAnsi="黑体" w:eastAsia="黑体" w:cs="黑体"/>
                <w:bCs/>
                <w:color w:val="auto"/>
                <w:sz w:val="22"/>
                <w:highlight w:val="none"/>
                <w:lang w:val="en-US" w:eastAsia="zh-CN"/>
              </w:rPr>
              <w:t>提供书面承诺</w:t>
            </w:r>
            <w:r>
              <w:rPr>
                <w:rFonts w:hint="eastAsia" w:ascii="黑体" w:hAnsi="黑体" w:eastAsia="黑体" w:cs="黑体"/>
                <w:bCs/>
                <w:color w:val="auto"/>
                <w:sz w:val="22"/>
                <w:highlight w:val="none"/>
              </w:rPr>
              <w:t>）</w:t>
            </w:r>
          </w:p>
          <w:p>
            <w:pPr>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（7）投标人最近三年内在工程建设领域发生过重大或特别重大安全事故；</w:t>
            </w:r>
          </w:p>
          <w:p>
            <w:pPr>
              <w:pageBreakBefore w:val="0"/>
              <w:bidi w:val="0"/>
              <w:snapToGrid w:val="0"/>
              <w:spacing w:line="360" w:lineRule="auto"/>
              <w:ind w:firstLine="440" w:firstLineChars="200"/>
              <w:rPr>
                <w:rFonts w:hint="eastAsia" w:ascii="黑体" w:hAnsi="黑体" w:eastAsia="黑体" w:cs="黑体"/>
                <w:bCs/>
                <w:color w:val="auto"/>
                <w:sz w:val="22"/>
                <w:highlight w:val="none"/>
              </w:rPr>
            </w:pPr>
            <w:r>
              <w:rPr>
                <w:rFonts w:hint="eastAsia" w:ascii="黑体" w:hAnsi="黑体" w:eastAsia="黑体" w:cs="黑体"/>
                <w:bCs/>
                <w:color w:val="auto"/>
                <w:sz w:val="22"/>
                <w:highlight w:val="none"/>
              </w:rPr>
              <w:t>（8）投标人在贵州省建设市场发生过重大违约问题；</w:t>
            </w:r>
          </w:p>
          <w:p>
            <w:pPr>
              <w:pageBreakBefore w:val="0"/>
              <w:bidi w:val="0"/>
              <w:adjustRightInd w:val="0"/>
              <w:snapToGrid w:val="0"/>
              <w:spacing w:line="360" w:lineRule="auto"/>
              <w:ind w:firstLine="440" w:firstLineChars="200"/>
              <w:rPr>
                <w:rFonts w:hint="eastAsia" w:ascii="黑体" w:hAnsi="黑体" w:eastAsia="黑体" w:cs="黑体"/>
                <w:color w:val="auto"/>
                <w:szCs w:val="21"/>
                <w:highlight w:val="none"/>
              </w:rPr>
            </w:pPr>
            <w:r>
              <w:rPr>
                <w:rFonts w:hint="eastAsia" w:ascii="黑体" w:hAnsi="黑体" w:eastAsia="黑体" w:cs="黑体"/>
                <w:bCs/>
                <w:color w:val="auto"/>
                <w:sz w:val="22"/>
                <w:highlight w:val="none"/>
              </w:rPr>
              <w:t>（9）投标人最新公布的信用评价结果为</w:t>
            </w:r>
            <w:r>
              <w:rPr>
                <w:rFonts w:hint="eastAsia" w:ascii="黑体" w:hAnsi="黑体" w:eastAsia="黑体" w:cs="黑体"/>
                <w:bCs/>
                <w:color w:val="auto"/>
                <w:sz w:val="22"/>
                <w:highlight w:val="none"/>
                <w:lang w:val="en-US" w:eastAsia="zh-CN"/>
              </w:rPr>
              <w:t>D级及以下</w:t>
            </w:r>
            <w:r>
              <w:rPr>
                <w:rFonts w:hint="eastAsia" w:ascii="黑体" w:hAnsi="黑体" w:eastAsia="黑体" w:cs="黑体"/>
                <w:bCs/>
                <w:color w:val="auto"/>
                <w:sz w:val="22"/>
                <w:highlight w:val="none"/>
              </w:rPr>
              <w:t>。</w:t>
            </w:r>
          </w:p>
        </w:tc>
      </w:tr>
    </w:tbl>
    <w:p>
      <w:pPr>
        <w:pageBreakBefore w:val="0"/>
        <w:bidi w:val="0"/>
        <w:spacing w:line="360" w:lineRule="auto"/>
        <w:jc w:val="center"/>
        <w:outlineLvl w:val="9"/>
        <w:rPr>
          <w:rFonts w:ascii="宋体" w:hAnsi="宋体"/>
          <w:color w:val="auto"/>
          <w:kern w:val="10"/>
          <w:sz w:val="18"/>
          <w:szCs w:val="18"/>
          <w:highlight w:val="none"/>
        </w:rPr>
      </w:pPr>
    </w:p>
    <w:p>
      <w:pPr>
        <w:pageBreakBefore w:val="0"/>
        <w:bidi w:val="0"/>
        <w:spacing w:line="360" w:lineRule="auto"/>
        <w:jc w:val="center"/>
        <w:outlineLvl w:val="9"/>
        <w:rPr>
          <w:rFonts w:ascii="宋体" w:hAnsi="宋体"/>
          <w:color w:val="auto"/>
          <w:kern w:val="10"/>
          <w:sz w:val="18"/>
          <w:szCs w:val="18"/>
          <w:highlight w:val="none"/>
        </w:rPr>
      </w:pPr>
      <w:r>
        <w:rPr>
          <w:rFonts w:ascii="宋体" w:hAnsi="宋体"/>
          <w:color w:val="auto"/>
          <w:kern w:val="10"/>
          <w:sz w:val="18"/>
          <w:szCs w:val="18"/>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3"/>
        <w:rPr>
          <w:rFonts w:ascii="宋体" w:hAnsi="宋体"/>
          <w:b/>
          <w:bCs/>
          <w:color w:val="auto"/>
          <w:highlight w:val="none"/>
        </w:rPr>
      </w:pPr>
      <w:r>
        <w:rPr>
          <w:rFonts w:hint="eastAsia" w:ascii="宋体" w:hAnsi="宋体"/>
          <w:b/>
          <w:bCs/>
          <w:color w:val="auto"/>
          <w:sz w:val="27"/>
          <w:szCs w:val="27"/>
          <w:highlight w:val="none"/>
        </w:rPr>
        <w:t>附录</w:t>
      </w:r>
      <w:r>
        <w:rPr>
          <w:rFonts w:hint="eastAsia" w:ascii="宋体" w:hAnsi="宋体"/>
          <w:b/>
          <w:bCs/>
          <w:color w:val="auto"/>
          <w:sz w:val="27"/>
          <w:szCs w:val="27"/>
          <w:highlight w:val="none"/>
          <w:lang w:val="en-US" w:eastAsia="zh-CN"/>
        </w:rPr>
        <w:t>4</w:t>
      </w:r>
      <w:r>
        <w:rPr>
          <w:rFonts w:hint="eastAsia" w:ascii="宋体" w:hAnsi="宋体"/>
          <w:b/>
          <w:bCs/>
          <w:color w:val="auto"/>
          <w:sz w:val="27"/>
          <w:szCs w:val="27"/>
          <w:highlight w:val="none"/>
        </w:rPr>
        <w:t>资格审查条件（检测人员最低要求）</w:t>
      </w:r>
    </w:p>
    <w:tbl>
      <w:tblPr>
        <w:tblStyle w:val="16"/>
        <w:tblW w:w="98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118"/>
        <w:gridCol w:w="5384"/>
        <w:gridCol w:w="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56" w:type="dxa"/>
            <w:tcBorders>
              <w:tl2br w:val="nil"/>
              <w:tr2bl w:val="nil"/>
            </w:tcBorders>
            <w:noWrap w:val="0"/>
            <w:vAlign w:val="center"/>
          </w:tcPr>
          <w:p>
            <w:pPr>
              <w:pStyle w:val="26"/>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人员</w:t>
            </w:r>
          </w:p>
        </w:tc>
        <w:tc>
          <w:tcPr>
            <w:tcW w:w="1118" w:type="dxa"/>
            <w:tcBorders>
              <w:tl2br w:val="nil"/>
              <w:tr2bl w:val="nil"/>
            </w:tcBorders>
            <w:noWrap w:val="0"/>
            <w:vAlign w:val="center"/>
          </w:tcPr>
          <w:p>
            <w:pPr>
              <w:pStyle w:val="26"/>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最低数量</w:t>
            </w:r>
          </w:p>
          <w:p>
            <w:pPr>
              <w:pStyle w:val="26"/>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要求</w:t>
            </w:r>
          </w:p>
        </w:tc>
        <w:tc>
          <w:tcPr>
            <w:tcW w:w="5384" w:type="dxa"/>
            <w:tcBorders>
              <w:tl2br w:val="nil"/>
              <w:tr2bl w:val="nil"/>
            </w:tcBorders>
            <w:noWrap w:val="0"/>
            <w:vAlign w:val="center"/>
          </w:tcPr>
          <w:p>
            <w:pPr>
              <w:pStyle w:val="26"/>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rPr>
              <w:t>强制性要求</w:t>
            </w:r>
          </w:p>
        </w:tc>
        <w:tc>
          <w:tcPr>
            <w:tcW w:w="939" w:type="dxa"/>
            <w:tcBorders>
              <w:tl2br w:val="nil"/>
              <w:tr2bl w:val="nil"/>
            </w:tcBorders>
            <w:noWrap w:val="0"/>
            <w:vAlign w:val="center"/>
          </w:tcPr>
          <w:p>
            <w:pPr>
              <w:pStyle w:val="26"/>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黑体" w:hAnsi="黑体" w:eastAsia="黑体" w:cs="黑体"/>
                <w:b/>
                <w:bCs/>
                <w:color w:val="auto"/>
                <w:kern w:val="2"/>
                <w:sz w:val="21"/>
                <w:szCs w:val="21"/>
                <w:highlight w:val="none"/>
              </w:rPr>
            </w:pPr>
            <w:r>
              <w:rPr>
                <w:rFonts w:hint="eastAsia" w:ascii="黑体" w:hAnsi="黑体" w:eastAsia="黑体" w:cs="黑体"/>
                <w:b/>
                <w:bCs/>
                <w:color w:val="auto"/>
                <w:kern w:val="2"/>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2456"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项目负责人</w:t>
            </w:r>
          </w:p>
        </w:tc>
        <w:tc>
          <w:tcPr>
            <w:tcW w:w="1118"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1</w:t>
            </w:r>
          </w:p>
        </w:tc>
        <w:tc>
          <w:tcPr>
            <w:tcW w:w="53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公路工程相关专业中级及以上职称，持有交通运输部公路工程检测工程师资格证书（涵盖桥梁专业），具有5年及以上试验检测工作经验。</w:t>
            </w:r>
          </w:p>
        </w:tc>
        <w:tc>
          <w:tcPr>
            <w:tcW w:w="939" w:type="dxa"/>
            <w:vMerge w:val="restart"/>
            <w:tcBorders>
              <w:tl2br w:val="nil"/>
              <w:tr2bl w:val="nil"/>
            </w:tcBorders>
            <w:noWrap w:val="0"/>
            <w:vAlign w:val="center"/>
          </w:tcPr>
          <w:p>
            <w:pPr>
              <w:keepNext w:val="0"/>
              <w:keepLines w:val="0"/>
              <w:pageBreakBefore w:val="0"/>
              <w:kinsoku/>
              <w:wordWrap/>
              <w:overflowPunct/>
              <w:topLinePunct w:val="0"/>
              <w:bidi w:val="0"/>
              <w:snapToGrid/>
              <w:spacing w:line="360" w:lineRule="auto"/>
              <w:ind w:left="0" w:leftChars="0" w:firstLine="0" w:firstLineChars="0"/>
              <w:jc w:val="center"/>
              <w:rPr>
                <w:rFonts w:hint="eastAsia" w:ascii="黑体" w:hAnsi="黑体" w:eastAsia="黑体" w:cs="黑体"/>
                <w:b/>
                <w:bCs/>
                <w:color w:val="auto"/>
                <w:sz w:val="21"/>
                <w:szCs w:val="21"/>
                <w:highlight w:val="none"/>
                <w:lang w:val="en-US" w:eastAsia="zh-CN"/>
              </w:rPr>
            </w:pPr>
            <w:r>
              <w:rPr>
                <w:rFonts w:hint="eastAsia" w:ascii="黑体" w:hAnsi="黑体" w:eastAsia="黑体" w:cs="黑体"/>
                <w:b/>
                <w:bCs/>
                <w:color w:val="auto"/>
                <w:sz w:val="21"/>
                <w:szCs w:val="21"/>
                <w:highlight w:val="none"/>
                <w:lang w:val="en-US" w:eastAsia="zh-CN"/>
              </w:rPr>
              <w:t>投标时须填报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2456"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技术负责人</w:t>
            </w:r>
          </w:p>
        </w:tc>
        <w:tc>
          <w:tcPr>
            <w:tcW w:w="1118"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1</w:t>
            </w:r>
          </w:p>
        </w:tc>
        <w:tc>
          <w:tcPr>
            <w:tcW w:w="5384" w:type="dxa"/>
            <w:tcBorders>
              <w:tl2br w:val="nil"/>
              <w:tr2bl w:val="nil"/>
            </w:tcBorders>
            <w:noWrap w:val="0"/>
            <w:vAlign w:val="center"/>
          </w:tcPr>
          <w:p>
            <w:pPr>
              <w:pageBreakBefore w:val="0"/>
              <w:bidi w:val="0"/>
              <w:spacing w:line="360" w:lineRule="auto"/>
              <w:ind w:left="0" w:leftChars="0" w:firstLine="0" w:firstLineChars="0"/>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公路工程相关专业中级及以上职称，持有交通运输部公路工程检测工程师资格证书（涵盖桥梁专业），具有5年及以上试验检测工作经验。</w:t>
            </w:r>
          </w:p>
        </w:tc>
        <w:tc>
          <w:tcPr>
            <w:tcW w:w="939" w:type="dxa"/>
            <w:vMerge w:val="continue"/>
            <w:tcBorders>
              <w:tl2br w:val="nil"/>
              <w:tr2bl w:val="nil"/>
            </w:tcBorders>
            <w:noWrap w:val="0"/>
            <w:vAlign w:val="center"/>
          </w:tcPr>
          <w:p>
            <w:pPr>
              <w:keepNext w:val="0"/>
              <w:keepLines w:val="0"/>
              <w:pageBreakBefore w:val="0"/>
              <w:widowControl/>
              <w:kinsoku/>
              <w:wordWrap/>
              <w:overflowPunct/>
              <w:topLinePunct w:val="0"/>
              <w:bidi w:val="0"/>
              <w:snapToGrid/>
              <w:spacing w:line="360" w:lineRule="auto"/>
              <w:ind w:left="0" w:leftChars="0" w:firstLine="0" w:firstLineChars="0"/>
              <w:jc w:val="center"/>
              <w:rPr>
                <w:rFonts w:hint="eastAsia" w:ascii="黑体" w:hAnsi="黑体" w:eastAsia="黑体" w:cs="黑体"/>
                <w:b/>
                <w:bCs/>
                <w:color w:val="auto"/>
                <w:sz w:val="21"/>
                <w:szCs w:val="21"/>
                <w:highlight w:val="none"/>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456"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rPr>
            </w:pPr>
            <w:r>
              <w:rPr>
                <w:rFonts w:hint="eastAsia" w:ascii="黑体" w:hAnsi="黑体" w:eastAsia="黑体" w:cs="黑体"/>
                <w:color w:val="auto"/>
                <w:kern w:val="2"/>
                <w:sz w:val="21"/>
                <w:szCs w:val="21"/>
                <w:highlight w:val="none"/>
              </w:rPr>
              <w:t>检测员</w:t>
            </w:r>
          </w:p>
          <w:p>
            <w:pPr>
              <w:pStyle w:val="26"/>
              <w:keepNext w:val="0"/>
              <w:keepLines w:val="0"/>
              <w:pageBreakBefore w:val="0"/>
              <w:kinsoku/>
              <w:wordWrap/>
              <w:overflowPunct/>
              <w:topLinePunct w:val="0"/>
              <w:bidi w:val="0"/>
              <w:adjustRightInd/>
              <w:snapToGrid/>
              <w:spacing w:line="360" w:lineRule="auto"/>
              <w:jc w:val="center"/>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eastAsia="zh-CN"/>
              </w:rPr>
              <w:t>（或助理试验检测师）</w:t>
            </w:r>
          </w:p>
        </w:tc>
        <w:tc>
          <w:tcPr>
            <w:tcW w:w="1118"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center"/>
              <w:rPr>
                <w:rFonts w:hint="default" w:ascii="黑体" w:hAnsi="黑体" w:eastAsia="黑体" w:cs="黑体"/>
                <w:color w:val="auto"/>
                <w:kern w:val="2"/>
                <w:sz w:val="21"/>
                <w:szCs w:val="21"/>
                <w:highlight w:val="none"/>
                <w:lang w:val="en-US" w:eastAsia="zh-CN"/>
              </w:rPr>
            </w:pPr>
            <w:r>
              <w:rPr>
                <w:rFonts w:hint="eastAsia" w:ascii="黑体" w:hAnsi="黑体" w:eastAsia="黑体" w:cs="黑体"/>
                <w:color w:val="auto"/>
                <w:kern w:val="2"/>
                <w:sz w:val="21"/>
                <w:szCs w:val="21"/>
                <w:highlight w:val="none"/>
                <w:lang w:val="en-US" w:eastAsia="zh-CN" w:bidi="ar-SA"/>
              </w:rPr>
              <w:t>4</w:t>
            </w:r>
          </w:p>
        </w:tc>
        <w:tc>
          <w:tcPr>
            <w:tcW w:w="5384" w:type="dxa"/>
            <w:tcBorders>
              <w:tl2br w:val="nil"/>
              <w:tr2bl w:val="nil"/>
            </w:tcBorders>
            <w:noWrap w:val="0"/>
            <w:vAlign w:val="center"/>
          </w:tcPr>
          <w:p>
            <w:pPr>
              <w:pStyle w:val="26"/>
              <w:keepNext w:val="0"/>
              <w:keepLines w:val="0"/>
              <w:pageBreakBefore w:val="0"/>
              <w:kinsoku/>
              <w:wordWrap/>
              <w:overflowPunct/>
              <w:topLinePunct w:val="0"/>
              <w:bidi w:val="0"/>
              <w:adjustRightInd/>
              <w:snapToGrid/>
              <w:spacing w:line="360" w:lineRule="auto"/>
              <w:jc w:val="left"/>
              <w:rPr>
                <w:rFonts w:hint="eastAsia" w:ascii="黑体" w:hAnsi="黑体" w:eastAsia="黑体" w:cs="黑体"/>
                <w:color w:val="auto"/>
                <w:kern w:val="2"/>
                <w:sz w:val="21"/>
                <w:szCs w:val="21"/>
                <w:highlight w:val="none"/>
                <w:lang w:val="en-US" w:eastAsia="zh-CN"/>
              </w:rPr>
            </w:pPr>
            <w:r>
              <w:rPr>
                <w:rFonts w:hint="eastAsia" w:ascii="黑体" w:hAnsi="黑体" w:eastAsia="黑体" w:cs="黑体"/>
                <w:color w:val="auto"/>
                <w:kern w:val="2"/>
                <w:sz w:val="21"/>
                <w:szCs w:val="21"/>
                <w:highlight w:val="none"/>
                <w:lang w:val="en-US" w:eastAsia="zh-CN"/>
              </w:rPr>
              <w:t>公路工程相关专业助理工程师及以上职称，持有检测员（或助理试验检测师）证书（含桥梁专业），或通过现行国家标准进行相应级别的培训、考核，并持有相应考核机构颁发的证书。至少有2年及以上试验检测工作经验。</w:t>
            </w:r>
          </w:p>
          <w:p>
            <w:pPr>
              <w:pStyle w:val="26"/>
              <w:keepNext w:val="0"/>
              <w:keepLines w:val="0"/>
              <w:pageBreakBefore w:val="0"/>
              <w:kinsoku/>
              <w:wordWrap/>
              <w:overflowPunct/>
              <w:topLinePunct w:val="0"/>
              <w:bidi w:val="0"/>
              <w:adjustRightInd/>
              <w:snapToGrid/>
              <w:spacing w:line="360" w:lineRule="auto"/>
              <w:jc w:val="left"/>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rPr>
              <w:t>注：</w:t>
            </w:r>
            <w:r>
              <w:rPr>
                <w:rFonts w:hint="eastAsia" w:ascii="黑体" w:hAnsi="黑体" w:eastAsia="黑体" w:cs="黑体"/>
                <w:color w:val="auto"/>
                <w:kern w:val="2"/>
                <w:sz w:val="21"/>
                <w:szCs w:val="21"/>
                <w:highlight w:val="none"/>
                <w:lang w:eastAsia="zh-CN"/>
              </w:rPr>
              <w:t>试验检测人员应经过培训取得上岗资格:从事钢结构无损检测的人员应按现行国家标准进行相应级别的培训、考核，并持有相应考核机构颁发的证书。从事射线检测的人员上岗前应进行辐射安全知识的培训，并应取得放射工作人员证。</w:t>
            </w:r>
          </w:p>
        </w:tc>
        <w:tc>
          <w:tcPr>
            <w:tcW w:w="939" w:type="dxa"/>
            <w:tcBorders>
              <w:tl2br w:val="nil"/>
              <w:tr2bl w:val="nil"/>
            </w:tcBorders>
            <w:noWrap w:val="0"/>
            <w:vAlign w:val="center"/>
          </w:tcPr>
          <w:p>
            <w:pPr>
              <w:keepNext w:val="0"/>
              <w:keepLines w:val="0"/>
              <w:pageBreakBefore w:val="0"/>
              <w:widowControl/>
              <w:kinsoku/>
              <w:wordWrap/>
              <w:overflowPunct/>
              <w:topLinePunct w:val="0"/>
              <w:bidi w:val="0"/>
              <w:snapToGrid/>
              <w:spacing w:line="360" w:lineRule="auto"/>
              <w:ind w:left="0" w:leftChars="0" w:firstLine="0" w:firstLineChars="0"/>
              <w:jc w:val="center"/>
              <w:rPr>
                <w:rFonts w:hint="eastAsia" w:ascii="黑体" w:hAnsi="黑体" w:eastAsia="黑体" w:cs="黑体"/>
                <w:b/>
                <w:bCs/>
                <w:color w:val="auto"/>
                <w:sz w:val="21"/>
                <w:szCs w:val="21"/>
                <w:highlight w:val="none"/>
                <w:lang w:bidi="ar"/>
              </w:rPr>
            </w:pPr>
            <w:r>
              <w:rPr>
                <w:rFonts w:hint="eastAsia" w:ascii="黑体" w:hAnsi="黑体" w:eastAsia="黑体" w:cs="黑体"/>
                <w:b/>
                <w:bCs/>
                <w:color w:val="auto"/>
                <w:sz w:val="21"/>
                <w:szCs w:val="21"/>
                <w:highlight w:val="none"/>
                <w:lang w:val="en-US" w:eastAsia="zh-CN"/>
              </w:rPr>
              <w:t>投标时无须填报</w:t>
            </w:r>
          </w:p>
        </w:tc>
      </w:tr>
    </w:tbl>
    <w:p>
      <w:pPr>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s="宋体"/>
          <w:b/>
          <w:bCs/>
          <w:iCs/>
          <w:snapToGrid w:val="0"/>
          <w:color w:val="auto"/>
          <w:kern w:val="0"/>
          <w:sz w:val="21"/>
          <w:szCs w:val="21"/>
          <w:highlight w:val="none"/>
        </w:rPr>
      </w:pPr>
      <w:r>
        <w:rPr>
          <w:rFonts w:hint="eastAsia" w:ascii="宋体" w:hAnsi="宋体" w:eastAsia="宋体" w:cs="宋体"/>
          <w:b/>
          <w:bCs/>
          <w:iCs/>
          <w:snapToGrid w:val="0"/>
          <w:color w:val="auto"/>
          <w:kern w:val="0"/>
          <w:sz w:val="21"/>
          <w:szCs w:val="21"/>
          <w:highlight w:val="none"/>
        </w:rPr>
        <w:t>注：</w:t>
      </w:r>
    </w:p>
    <w:p>
      <w:pPr>
        <w:keepNext w:val="0"/>
        <w:keepLines w:val="0"/>
        <w:pageBreakBefore w:val="0"/>
        <w:widowControl w:val="0"/>
        <w:kinsoku/>
        <w:wordWrap/>
        <w:overflowPunct/>
        <w:topLinePunct w:val="0"/>
        <w:autoSpaceDE/>
        <w:autoSpaceDN/>
        <w:bidi w:val="0"/>
        <w:adjustRightInd w:val="0"/>
        <w:snapToGrid/>
        <w:spacing w:line="360" w:lineRule="auto"/>
        <w:ind w:firstLine="421" w:firstLineChars="200"/>
        <w:textAlignment w:val="baseline"/>
        <w:rPr>
          <w:rFonts w:hint="eastAsia" w:ascii="宋体" w:hAnsi="宋体" w:eastAsia="宋体" w:cs="宋体"/>
          <w:color w:val="auto"/>
          <w:sz w:val="21"/>
          <w:szCs w:val="21"/>
          <w:highlight w:val="none"/>
        </w:rPr>
      </w:pPr>
      <w:r>
        <w:rPr>
          <w:rFonts w:hint="eastAsia" w:ascii="宋体" w:hAnsi="宋体"/>
          <w:b/>
          <w:color w:val="auto"/>
          <w:sz w:val="21"/>
          <w:szCs w:val="21"/>
          <w:highlight w:val="none"/>
        </w:rPr>
        <w:t>1</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本次招标仅审查项目负责人、技术负责人</w:t>
      </w:r>
      <w:r>
        <w:rPr>
          <w:rFonts w:hint="eastAsia" w:ascii="宋体" w:hAnsi="宋体"/>
          <w:b/>
          <w:color w:val="auto"/>
          <w:sz w:val="21"/>
          <w:szCs w:val="21"/>
          <w:highlight w:val="none"/>
          <w:lang w:eastAsia="zh-CN"/>
        </w:rPr>
        <w:t>，不审查</w:t>
      </w:r>
      <w:r>
        <w:rPr>
          <w:rFonts w:hint="eastAsia" w:hAnsi="宋体"/>
          <w:b/>
          <w:color w:val="auto"/>
          <w:sz w:val="21"/>
          <w:szCs w:val="21"/>
          <w:highlight w:val="none"/>
          <w:lang w:eastAsia="zh-CN"/>
        </w:rPr>
        <w:t>除</w:t>
      </w:r>
      <w:r>
        <w:rPr>
          <w:rFonts w:hint="eastAsia" w:ascii="宋体" w:hAnsi="宋体"/>
          <w:b/>
          <w:color w:val="auto"/>
          <w:sz w:val="21"/>
          <w:szCs w:val="21"/>
          <w:highlight w:val="none"/>
        </w:rPr>
        <w:t>项目负责人、技术负责人</w:t>
      </w:r>
      <w:r>
        <w:rPr>
          <w:rFonts w:hint="eastAsia" w:hAnsi="宋体"/>
          <w:b/>
          <w:color w:val="auto"/>
          <w:sz w:val="21"/>
          <w:szCs w:val="21"/>
          <w:highlight w:val="none"/>
          <w:lang w:eastAsia="zh-CN"/>
        </w:rPr>
        <w:t>以外的</w:t>
      </w:r>
      <w:r>
        <w:rPr>
          <w:rFonts w:hint="eastAsia" w:ascii="宋体" w:hAnsi="宋体"/>
          <w:b/>
          <w:color w:val="auto"/>
          <w:sz w:val="21"/>
          <w:szCs w:val="21"/>
          <w:highlight w:val="none"/>
          <w:lang w:eastAsia="zh-CN"/>
        </w:rPr>
        <w:t>其他主要</w:t>
      </w:r>
      <w:r>
        <w:rPr>
          <w:rFonts w:hint="eastAsia" w:hAnsi="宋体"/>
          <w:b/>
          <w:color w:val="auto"/>
          <w:sz w:val="21"/>
          <w:szCs w:val="21"/>
          <w:highlight w:val="none"/>
          <w:lang w:eastAsia="zh-CN"/>
        </w:rPr>
        <w:t>检测</w:t>
      </w:r>
      <w:r>
        <w:rPr>
          <w:rFonts w:hint="eastAsia" w:ascii="宋体" w:hAnsi="宋体"/>
          <w:b/>
          <w:color w:val="auto"/>
          <w:sz w:val="21"/>
          <w:szCs w:val="21"/>
          <w:highlight w:val="none"/>
          <w:lang w:eastAsia="zh-CN"/>
        </w:rPr>
        <w:t>人员</w:t>
      </w:r>
      <w:r>
        <w:rPr>
          <w:rFonts w:hint="eastAsia" w:ascii="宋体" w:hAnsi="宋体"/>
          <w:b/>
          <w:color w:val="auto"/>
          <w:sz w:val="21"/>
          <w:szCs w:val="21"/>
          <w:highlight w:val="none"/>
        </w:rPr>
        <w:t>。在合同谈判时，中标人应提供其他主要</w:t>
      </w:r>
      <w:r>
        <w:rPr>
          <w:rFonts w:hint="eastAsia" w:hAnsi="宋体"/>
          <w:b/>
          <w:color w:val="auto"/>
          <w:sz w:val="21"/>
          <w:szCs w:val="21"/>
          <w:highlight w:val="none"/>
          <w:lang w:eastAsia="zh-CN"/>
        </w:rPr>
        <w:t>检测</w:t>
      </w:r>
      <w:r>
        <w:rPr>
          <w:rFonts w:hint="eastAsia" w:ascii="宋体" w:hAnsi="宋体"/>
          <w:b/>
          <w:color w:val="auto"/>
          <w:sz w:val="21"/>
          <w:szCs w:val="21"/>
          <w:highlight w:val="none"/>
        </w:rPr>
        <w:t>人员的资料进行审查。</w:t>
      </w:r>
    </w:p>
    <w:p>
      <w:pPr>
        <w:pStyle w:val="2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1" w:firstLineChars="200"/>
        <w:textAlignment w:val="baseline"/>
        <w:rPr>
          <w:rFonts w:hint="default" w:ascii="宋体" w:hAnsi="宋体" w:eastAsia="宋体" w:cs="宋体"/>
          <w:b/>
          <w:bCs/>
          <w:color w:val="auto"/>
          <w:kern w:val="0"/>
          <w:sz w:val="21"/>
          <w:szCs w:val="21"/>
          <w:highlight w:val="none"/>
          <w:u w:val="none"/>
          <w:lang w:val="en-US"/>
        </w:rPr>
      </w:pPr>
      <w:r>
        <w:rPr>
          <w:rFonts w:hint="eastAsia" w:hAnsi="宋体" w:eastAsia="宋体" w:cs="宋体"/>
          <w:b/>
          <w:bCs/>
          <w:color w:val="auto"/>
          <w:kern w:val="0"/>
          <w:sz w:val="21"/>
          <w:szCs w:val="21"/>
          <w:highlight w:val="none"/>
          <w:u w:val="none"/>
          <w:lang w:val="en-US" w:eastAsia="zh-CN"/>
        </w:rPr>
        <w:t>2</w:t>
      </w:r>
      <w:r>
        <w:rPr>
          <w:rFonts w:hint="eastAsia" w:hAnsi="宋体" w:cs="宋体"/>
          <w:b/>
          <w:bCs/>
          <w:color w:val="auto"/>
          <w:kern w:val="0"/>
          <w:sz w:val="21"/>
          <w:szCs w:val="21"/>
          <w:highlight w:val="none"/>
          <w:u w:val="none"/>
          <w:lang w:val="en-US" w:eastAsia="zh-CN"/>
        </w:rPr>
        <w:t>.</w:t>
      </w:r>
      <w:r>
        <w:rPr>
          <w:rFonts w:hint="eastAsia" w:ascii="宋体" w:hAnsi="宋体" w:eastAsia="宋体" w:cs="宋体"/>
          <w:b/>
          <w:bCs/>
          <w:color w:val="auto"/>
          <w:kern w:val="0"/>
          <w:sz w:val="21"/>
          <w:szCs w:val="21"/>
          <w:highlight w:val="none"/>
          <w:u w:val="none"/>
        </w:rPr>
        <w:t>拟投入的“</w:t>
      </w:r>
      <w:r>
        <w:rPr>
          <w:rFonts w:hint="eastAsia" w:ascii="宋体" w:hAnsi="宋体" w:eastAsia="宋体" w:cs="宋体"/>
          <w:b/>
          <w:bCs/>
          <w:color w:val="auto"/>
          <w:sz w:val="21"/>
          <w:szCs w:val="21"/>
          <w:highlight w:val="none"/>
          <w:u w:val="none"/>
        </w:rPr>
        <w:t>项目负责人、技术负责人</w:t>
      </w: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应按投标人须知3.5.4条的要求附相关资格审查资料。</w:t>
      </w:r>
    </w:p>
    <w:p>
      <w:pPr>
        <w:pStyle w:val="27"/>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firstLine="421" w:firstLineChars="200"/>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w:t>
      </w:r>
      <w:r>
        <w:rPr>
          <w:rFonts w:hint="eastAsia" w:hAnsi="宋体" w:cs="宋体"/>
          <w:b/>
          <w:bCs/>
          <w:color w:val="auto"/>
          <w:kern w:val="0"/>
          <w:sz w:val="21"/>
          <w:szCs w:val="21"/>
          <w:highlight w:val="none"/>
          <w:lang w:val="en-US" w:eastAsia="zh-CN"/>
        </w:rPr>
        <w:t>.</w:t>
      </w:r>
      <w:r>
        <w:rPr>
          <w:rFonts w:hint="eastAsia" w:ascii="宋体" w:hAnsi="宋体" w:eastAsia="宋体" w:cs="宋体"/>
          <w:b/>
          <w:bCs/>
          <w:color w:val="auto"/>
          <w:kern w:val="0"/>
          <w:sz w:val="21"/>
          <w:szCs w:val="21"/>
          <w:highlight w:val="none"/>
        </w:rPr>
        <w:t>在项目实施过程中，</w:t>
      </w:r>
      <w:r>
        <w:rPr>
          <w:rFonts w:hint="eastAsia" w:hAnsi="宋体" w:cs="宋体"/>
          <w:b/>
          <w:bCs/>
          <w:color w:val="auto"/>
          <w:kern w:val="0"/>
          <w:sz w:val="21"/>
          <w:szCs w:val="21"/>
          <w:highlight w:val="none"/>
          <w:lang w:eastAsia="zh-CN"/>
        </w:rPr>
        <w:t>检测单位还应根据工作需要配备适当的后勤和辅助人员，以满足正常的检测服务工作开展。</w:t>
      </w:r>
      <w:r>
        <w:rPr>
          <w:rFonts w:hint="eastAsia" w:ascii="宋体" w:hAnsi="宋体" w:eastAsia="宋体" w:cs="宋体"/>
          <w:b/>
          <w:bCs/>
          <w:color w:val="auto"/>
          <w:kern w:val="0"/>
          <w:sz w:val="21"/>
          <w:szCs w:val="21"/>
          <w:highlight w:val="none"/>
        </w:rPr>
        <w:t>即使中标人按照本表要求配备了其他主要试验检测人员，若中标人配备的试验检测人员仍不能满足合同进度计划和（或）质量要求时，发包人有权要求中标人继续增配试验检测人员，中标人在接到通知要求后应立即执行，不得无故拖延，由此增加的费用和（或）</w:t>
      </w:r>
      <w:r>
        <w:rPr>
          <w:rFonts w:hint="eastAsia" w:ascii="宋体" w:hAnsi="宋体" w:eastAsia="宋体" w:cs="宋体"/>
          <w:b/>
          <w:bCs/>
          <w:color w:val="auto"/>
          <w:kern w:val="0"/>
          <w:sz w:val="21"/>
          <w:szCs w:val="21"/>
          <w:highlight w:val="none"/>
          <w:lang w:val="en-US" w:eastAsia="zh-CN"/>
        </w:rPr>
        <w:t>由此造成的工期延误由中标人承担。</w:t>
      </w:r>
    </w:p>
    <w:p>
      <w:pPr>
        <w:pStyle w:val="13"/>
        <w:pageBreakBefore w:val="0"/>
        <w:bidi w:val="0"/>
        <w:spacing w:line="360" w:lineRule="auto"/>
        <w:ind w:firstLine="421"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4.公路工程相关专业是指职称证上的专业，包括：</w:t>
      </w:r>
      <w:r>
        <w:rPr>
          <w:rFonts w:hint="eastAsia" w:ascii="宋体" w:hAnsi="宋体" w:cs="宋体"/>
          <w:b/>
          <w:bCs/>
          <w:color w:val="auto"/>
          <w:kern w:val="0"/>
          <w:sz w:val="21"/>
          <w:szCs w:val="21"/>
          <w:highlight w:val="none"/>
          <w:lang w:val="en-US" w:eastAsia="zh-CN" w:bidi="ar-SA"/>
        </w:rPr>
        <w:t>土木工程、</w:t>
      </w:r>
      <w:r>
        <w:rPr>
          <w:rFonts w:hint="eastAsia" w:ascii="宋体" w:hAnsi="宋体" w:eastAsia="宋体" w:cs="宋体"/>
          <w:b/>
          <w:bCs/>
          <w:color w:val="auto"/>
          <w:kern w:val="0"/>
          <w:sz w:val="21"/>
          <w:szCs w:val="21"/>
          <w:highlight w:val="none"/>
          <w:lang w:val="en-US" w:eastAsia="zh-CN" w:bidi="ar-SA"/>
        </w:rPr>
        <w:t>公路工程、桥梁工程、公路与桥梁工程、交通土建、隧道（地下结构）工程、交通工程、岩土工程、工程咨询等。</w:t>
      </w:r>
    </w:p>
    <w:p>
      <w:pPr>
        <w:pageBreakBefore w:val="0"/>
        <w:bidi w:val="0"/>
        <w:spacing w:line="360" w:lineRule="auto"/>
        <w:jc w:val="center"/>
        <w:outlineLvl w:val="9"/>
        <w:rPr>
          <w:rFonts w:hint="eastAsia" w:ascii="宋体" w:hAnsi="宋体" w:eastAsia="宋体" w:cs="宋体"/>
          <w:b/>
          <w:bCs/>
          <w:color w:val="auto"/>
          <w:kern w:val="0"/>
          <w:sz w:val="21"/>
          <w:szCs w:val="21"/>
          <w:highlight w:val="none"/>
          <w:lang w:val="en-US" w:eastAsia="zh-CN"/>
        </w:rPr>
      </w:pPr>
    </w:p>
    <w:p>
      <w:pPr>
        <w:pStyle w:val="2"/>
        <w:pageBreakBefore w:val="0"/>
        <w:bidi w:val="0"/>
        <w:spacing w:line="360" w:lineRule="auto"/>
        <w:rPr>
          <w:rFonts w:hint="eastAsia"/>
          <w:color w:val="auto"/>
          <w:highlight w:val="none"/>
          <w:lang w:val="en-US" w:eastAsia="zh-CN"/>
        </w:rPr>
      </w:pPr>
    </w:p>
    <w:p>
      <w:pPr>
        <w:pStyle w:val="2"/>
        <w:pageBreakBefore w:val="0"/>
        <w:bidi w:val="0"/>
        <w:spacing w:line="360" w:lineRule="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outlineLvl w:val="3"/>
        <w:rPr>
          <w:rFonts w:hint="eastAsia" w:ascii="宋体" w:hAnsi="宋体"/>
          <w:b/>
          <w:bCs/>
          <w:color w:val="auto"/>
          <w:sz w:val="28"/>
          <w:szCs w:val="28"/>
          <w:highlight w:val="none"/>
        </w:rPr>
      </w:pPr>
      <w:r>
        <w:rPr>
          <w:rFonts w:hint="eastAsia" w:ascii="宋体" w:hAnsi="宋体"/>
          <w:b/>
          <w:bCs/>
          <w:color w:val="auto"/>
          <w:sz w:val="28"/>
          <w:szCs w:val="28"/>
          <w:highlight w:val="none"/>
        </w:rPr>
        <w:t>附录</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 xml:space="preserve"> 资格审查条件（主要仪器、设备、设施最低要求）</w:t>
      </w:r>
    </w:p>
    <w:tbl>
      <w:tblPr>
        <w:tblStyle w:val="16"/>
        <w:tblW w:w="87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3683"/>
        <w:gridCol w:w="1130"/>
        <w:gridCol w:w="24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368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要求标准</w:t>
            </w:r>
          </w:p>
        </w:tc>
        <w:tc>
          <w:tcPr>
            <w:tcW w:w="113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248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最低数量要求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超声波探伤仪</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0"/>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Cs w:val="21"/>
                <w:highlight w:val="none"/>
              </w:rPr>
              <w:t>磁粉探伤仪</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0"/>
                <w:szCs w:val="20"/>
                <w:highlight w:val="none"/>
                <w:lang w:eastAsia="zh-CN"/>
              </w:rPr>
            </w:pPr>
            <w:r>
              <w:rPr>
                <w:rFonts w:hint="default" w:ascii="宋体" w:hAnsi="宋体" w:eastAsia="宋体" w:cs="宋体"/>
                <w:color w:val="auto"/>
                <w:sz w:val="20"/>
                <w:szCs w:val="20"/>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szCs w:val="21"/>
                <w:highlight w:val="none"/>
              </w:rPr>
              <w:t>射线探伤仪</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0"/>
                <w:szCs w:val="20"/>
                <w:highlight w:val="none"/>
                <w:lang w:eastAsia="zh-CN"/>
              </w:rPr>
            </w:pPr>
            <w:r>
              <w:rPr>
                <w:rFonts w:hint="default" w:ascii="宋体" w:hAnsi="宋体" w:eastAsia="宋体" w:cs="宋体"/>
                <w:color w:val="auto"/>
                <w:sz w:val="20"/>
                <w:szCs w:val="20"/>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涂层测厚仪</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0"/>
                <w:szCs w:val="20"/>
                <w:highlight w:val="none"/>
                <w:lang w:eastAsia="zh-CN"/>
              </w:rPr>
            </w:pPr>
            <w:r>
              <w:rPr>
                <w:rFonts w:hint="default" w:ascii="宋体" w:hAnsi="宋体" w:eastAsia="宋体" w:cs="宋体"/>
                <w:color w:val="auto"/>
                <w:sz w:val="20"/>
                <w:szCs w:val="20"/>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涂层附着力拉拔仪</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eastAsia="zh-CN"/>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0"/>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螺栓检测仪（螺栓理化、拧紧、扭矩、抗滑移、楔形试验）</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套</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0"/>
                <w:szCs w:val="20"/>
                <w:highlight w:val="none"/>
                <w:lang w:eastAsia="zh-CN"/>
              </w:rPr>
            </w:pPr>
            <w:r>
              <w:rPr>
                <w:rFonts w:hint="default" w:ascii="宋体" w:hAnsi="宋体" w:eastAsia="宋体" w:cs="宋体"/>
                <w:color w:val="auto"/>
                <w:sz w:val="20"/>
                <w:szCs w:val="20"/>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原材料检测（焊材、钢材理化试验）</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Hans"/>
              </w:rPr>
            </w:pPr>
            <w:r>
              <w:rPr>
                <w:rFonts w:hint="eastAsia" w:ascii="宋体" w:hAnsi="宋体" w:eastAsia="宋体" w:cs="宋体"/>
                <w:color w:val="auto"/>
                <w:highlight w:val="none"/>
                <w:lang w:val="en-US" w:eastAsia="zh-Hans"/>
              </w:rPr>
              <w:t>套</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0"/>
                <w:szCs w:val="20"/>
                <w:highlight w:val="none"/>
                <w:lang w:eastAsia="zh-CN"/>
              </w:rPr>
            </w:pPr>
            <w:r>
              <w:rPr>
                <w:rFonts w:hint="default" w:ascii="宋体" w:hAnsi="宋体" w:eastAsia="宋体" w:cs="宋体"/>
                <w:color w:val="auto"/>
                <w:sz w:val="20"/>
                <w:szCs w:val="20"/>
                <w:highlight w:val="none"/>
                <w:lang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游标卡尺</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eastAsia="zh-CN"/>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静态应变测试仪</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eastAsia="zh-CN"/>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0"/>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rPr>
              <w:t>10</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应变片</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eastAsia="zh-CN"/>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0"/>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rPr>
              <w:t>11</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位移计</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eastAsia="zh-CN"/>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0"/>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rPr>
              <w:t>12</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电脑</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13</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彩色打印机</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rPr>
              <w:t>台</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2"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pacing w:line="360" w:lineRule="auto"/>
              <w:ind w:left="0" w:leftChars="0" w:firstLine="0" w:firstLineChars="0"/>
              <w:jc w:val="center"/>
              <w:textAlignment w:val="baseline"/>
              <w:outlineLvl w:val="9"/>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14</w:t>
            </w:r>
          </w:p>
        </w:tc>
        <w:tc>
          <w:tcPr>
            <w:tcW w:w="36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越野车</w:t>
            </w:r>
          </w:p>
        </w:tc>
        <w:tc>
          <w:tcPr>
            <w:tcW w:w="11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rPr>
              <w:t>辆</w:t>
            </w:r>
          </w:p>
        </w:tc>
        <w:tc>
          <w:tcPr>
            <w:tcW w:w="24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highlight w:val="none"/>
                <w:lang w:val="en-US" w:eastAsia="zh-CN"/>
              </w:rPr>
              <w:t>1</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outlineLvl w:val="9"/>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1.</w:t>
      </w:r>
      <w:r>
        <w:rPr>
          <w:rFonts w:hint="eastAsia" w:ascii="宋体" w:hAnsi="宋体" w:eastAsia="宋体" w:cs="宋体"/>
          <w:color w:val="auto"/>
          <w:sz w:val="21"/>
          <w:szCs w:val="21"/>
          <w:highlight w:val="none"/>
        </w:rPr>
        <w:t>本表中试验、检测设备为投标人派驻到现场的最低要求，投标时无须提供相关</w:t>
      </w:r>
      <w:r>
        <w:rPr>
          <w:rFonts w:hint="eastAsia" w:hAnsi="宋体" w:eastAsia="宋体" w:cs="宋体"/>
          <w:color w:val="auto"/>
          <w:sz w:val="21"/>
          <w:szCs w:val="21"/>
          <w:highlight w:val="none"/>
          <w:lang w:eastAsia="zh-CN"/>
        </w:rPr>
        <w:t>证明</w:t>
      </w:r>
      <w:r>
        <w:rPr>
          <w:rFonts w:hint="eastAsia" w:ascii="宋体" w:hAnsi="宋体" w:eastAsia="宋体" w:cs="宋体"/>
          <w:color w:val="auto"/>
          <w:sz w:val="21"/>
          <w:szCs w:val="21"/>
          <w:highlight w:val="none"/>
        </w:rPr>
        <w:t>资料，评标时不作为考核条件。投标人一旦中标，中标人与招标人签订合同时，该表要求试验、检测设备作为签订合同的必要前置条件。若中标人未能按本表要求配置试验、检测设备，招标人有权终止合同。</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中标人还应按照贵州省交通建设工程质量监督局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《贵州省高速公路现场监控检测项目标准化建设及管理指导意见（试行）》（黔交质〔2020〕42号）”</w:t>
      </w:r>
      <w:r>
        <w:rPr>
          <w:rFonts w:hint="eastAsia" w:ascii="宋体" w:hAnsi="宋体" w:cs="宋体"/>
          <w:color w:val="auto"/>
          <w:sz w:val="21"/>
          <w:szCs w:val="21"/>
          <w:highlight w:val="none"/>
          <w:lang w:val="en-US" w:eastAsia="zh-CN"/>
        </w:rPr>
        <w:t>，省交通运输厅关于印发《贵州省高速公路钢结构桥梁建设管理规定（试行）》的通知（黔交质监（2021）6号）</w:t>
      </w:r>
      <w:r>
        <w:rPr>
          <w:rFonts w:hint="eastAsia" w:ascii="宋体" w:hAnsi="宋体" w:eastAsia="宋体" w:cs="宋体"/>
          <w:color w:val="auto"/>
          <w:sz w:val="21"/>
          <w:szCs w:val="21"/>
          <w:highlight w:val="none"/>
          <w:lang w:val="en-US" w:eastAsia="zh-CN"/>
        </w:rPr>
        <w:t>进行标准化建设和管理，以及</w:t>
      </w:r>
      <w:r>
        <w:rPr>
          <w:rFonts w:hint="eastAsia" w:ascii="宋体" w:hAnsi="宋体" w:eastAsia="宋体" w:cs="宋体"/>
          <w:color w:val="auto"/>
          <w:sz w:val="21"/>
          <w:szCs w:val="21"/>
          <w:highlight w:val="none"/>
        </w:rPr>
        <w:t>“关于实施《贵州省公路水运工程工地试验检测项目部管理细则》的通知（黔交质〔</w:t>
      </w:r>
      <w:r>
        <w:rPr>
          <w:rFonts w:hint="eastAsia" w:ascii="宋体" w:hAnsi="宋体" w:eastAsia="宋体" w:cs="宋体"/>
          <w:color w:val="auto"/>
          <w:sz w:val="21"/>
          <w:szCs w:val="21"/>
          <w:highlight w:val="none"/>
          <w:lang w:val="en-US" w:eastAsia="zh-CN"/>
        </w:rPr>
        <w:t>2015〕</w:t>
      </w:r>
      <w:r>
        <w:rPr>
          <w:rFonts w:hint="eastAsia" w:ascii="宋体" w:hAnsi="宋体" w:eastAsia="宋体" w:cs="宋体"/>
          <w:color w:val="auto"/>
          <w:sz w:val="21"/>
          <w:szCs w:val="21"/>
          <w:highlight w:val="none"/>
        </w:rPr>
        <w:t>111号）”</w:t>
      </w:r>
      <w:r>
        <w:rPr>
          <w:rFonts w:hint="eastAsia" w:ascii="宋体" w:hAnsi="宋体" w:eastAsia="宋体" w:cs="宋体"/>
          <w:color w:val="auto"/>
          <w:sz w:val="21"/>
          <w:szCs w:val="21"/>
          <w:highlight w:val="none"/>
          <w:lang w:eastAsia="zh-CN"/>
        </w:rPr>
        <w:t>的规定，</w:t>
      </w:r>
      <w:r>
        <w:rPr>
          <w:rFonts w:hint="eastAsia" w:ascii="宋体" w:hAnsi="宋体" w:eastAsia="宋体" w:cs="宋体"/>
          <w:color w:val="auto"/>
          <w:sz w:val="21"/>
          <w:szCs w:val="21"/>
          <w:highlight w:val="none"/>
        </w:rPr>
        <w:t>以工程实际需求出发，投入的仪器设备应满足本项目工程试验检测的需要，并在投标报价时充分考虑，招标人不再对此另行支付</w:t>
      </w:r>
      <w:r>
        <w:rPr>
          <w:rFonts w:hint="eastAsia" w:ascii="宋体" w:hAnsi="宋体" w:eastAsia="宋体" w:cs="宋体"/>
          <w:color w:val="auto"/>
          <w:sz w:val="21"/>
          <w:szCs w:val="21"/>
          <w:highlight w:val="none"/>
          <w:lang w:eastAsia="zh-CN"/>
        </w:rPr>
        <w:t>费用</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项目实施过程中，即使中标人按照本表及《贵州省公路水运工程工地试验检测项目部管理细则》要求配备了试验、检测设备，若中标人配备的试验、检测设备不能满足合同进度计划和（或）质量要求时，发包人有权要求中标人继续增配或更换试验、检测设备，中标人在接到通知要求后应立即执行，不得无故拖延，由此增加的费用和（或）由此造成的工期延误由中标人承担。</w:t>
      </w:r>
    </w:p>
    <w:p>
      <w:pPr>
        <w:rPr>
          <w:rFonts w:hint="eastAsia" w:ascii="宋体" w:hAnsi="宋体" w:eastAsia="宋体" w:cs="宋体"/>
          <w:b/>
          <w:bCs w:val="0"/>
          <w:color w:val="auto"/>
          <w:kern w:val="0"/>
          <w:sz w:val="32"/>
          <w:szCs w:val="32"/>
          <w:highlight w:val="none"/>
          <w:lang w:eastAsia="zh-CN"/>
        </w:rPr>
      </w:pPr>
      <w:r>
        <w:rPr>
          <w:rFonts w:hint="eastAsia" w:ascii="宋体" w:hAnsi="宋体" w:eastAsia="宋体" w:cs="宋体"/>
          <w:b/>
          <w:bCs w:val="0"/>
          <w:color w:val="auto"/>
          <w:kern w:val="0"/>
          <w:sz w:val="32"/>
          <w:szCs w:val="32"/>
          <w:highlight w:val="none"/>
          <w:lang w:eastAsia="zh-CN"/>
        </w:rPr>
        <w:br w:type="page"/>
      </w:r>
    </w:p>
    <w:p>
      <w:pPr>
        <w:pageBreakBefore w:val="0"/>
        <w:numPr>
          <w:ilvl w:val="0"/>
          <w:numId w:val="0"/>
        </w:numPr>
        <w:bidi w:val="0"/>
        <w:spacing w:line="360" w:lineRule="auto"/>
        <w:jc w:val="center"/>
        <w:outlineLvl w:val="0"/>
        <w:rPr>
          <w:rFonts w:hint="eastAsia" w:ascii="宋体" w:hAnsi="宋体" w:eastAsia="宋体" w:cs="宋体"/>
          <w:b/>
          <w:bCs w:val="0"/>
          <w:color w:val="auto"/>
          <w:kern w:val="0"/>
          <w:sz w:val="32"/>
          <w:szCs w:val="32"/>
          <w:highlight w:val="none"/>
          <w:lang w:eastAsia="zh-CN"/>
        </w:rPr>
      </w:pPr>
      <w:r>
        <w:rPr>
          <w:rFonts w:hint="eastAsia" w:ascii="宋体" w:hAnsi="宋体" w:eastAsia="宋体" w:cs="宋体"/>
          <w:b/>
          <w:bCs w:val="0"/>
          <w:color w:val="auto"/>
          <w:kern w:val="0"/>
          <w:sz w:val="32"/>
          <w:szCs w:val="32"/>
          <w:highlight w:val="none"/>
          <w:lang w:eastAsia="zh-CN"/>
        </w:rPr>
        <w:t>第三章</w:t>
      </w:r>
      <w:r>
        <w:rPr>
          <w:rFonts w:hint="eastAsia" w:ascii="宋体" w:hAnsi="宋体" w:eastAsia="宋体" w:cs="宋体"/>
          <w:b/>
          <w:bCs w:val="0"/>
          <w:color w:val="auto"/>
          <w:kern w:val="0"/>
          <w:sz w:val="32"/>
          <w:szCs w:val="32"/>
          <w:highlight w:val="none"/>
          <w:lang w:val="en-US" w:eastAsia="zh-CN"/>
        </w:rPr>
        <w:t xml:space="preserve">  </w:t>
      </w:r>
      <w:r>
        <w:rPr>
          <w:rFonts w:hint="eastAsia" w:ascii="宋体" w:hAnsi="宋体" w:eastAsia="宋体" w:cs="宋体"/>
          <w:b/>
          <w:bCs w:val="0"/>
          <w:color w:val="auto"/>
          <w:kern w:val="0"/>
          <w:sz w:val="32"/>
          <w:szCs w:val="32"/>
          <w:highlight w:val="none"/>
        </w:rPr>
        <w:t>评标办法（综合评估法）</w:t>
      </w:r>
    </w:p>
    <w:p>
      <w:pPr>
        <w:pStyle w:val="6"/>
        <w:pageBreakBefore w:val="0"/>
        <w:bidi w:val="0"/>
        <w:spacing w:before="0" w:after="0" w:line="360" w:lineRule="auto"/>
        <w:ind w:left="0" w:leftChars="0" w:firstLine="0" w:firstLineChars="0"/>
        <w:jc w:val="left"/>
        <w:outlineLvl w:val="3"/>
        <w:rPr>
          <w:rFonts w:hint="eastAsia" w:ascii="宋体" w:hAnsi="宋体" w:eastAsia="宋体" w:cs="宋体"/>
          <w:b/>
          <w:bCs w:val="0"/>
          <w:color w:val="auto"/>
          <w:sz w:val="28"/>
          <w:szCs w:val="28"/>
          <w:highlight w:val="none"/>
        </w:rPr>
      </w:pPr>
      <w:bookmarkStart w:id="0" w:name="_Toc451524585"/>
      <w:bookmarkStart w:id="1" w:name="_Toc234382663"/>
      <w:bookmarkStart w:id="2" w:name="_Toc47864252"/>
      <w:bookmarkStart w:id="3" w:name="_Toc285184739"/>
      <w:bookmarkStart w:id="4" w:name="_Toc292784423"/>
      <w:bookmarkStart w:id="5" w:name="_Toc315853962"/>
      <w:r>
        <w:rPr>
          <w:rFonts w:hint="eastAsia" w:ascii="宋体" w:hAnsi="宋体" w:eastAsia="宋体" w:cs="宋体"/>
          <w:b/>
          <w:bCs w:val="0"/>
          <w:color w:val="auto"/>
          <w:sz w:val="28"/>
          <w:szCs w:val="28"/>
          <w:highlight w:val="none"/>
        </w:rPr>
        <w:t>评标办法前附表</w:t>
      </w:r>
      <w:bookmarkEnd w:id="0"/>
      <w:bookmarkEnd w:id="1"/>
      <w:bookmarkEnd w:id="2"/>
      <w:bookmarkEnd w:id="3"/>
      <w:bookmarkEnd w:id="4"/>
      <w:bookmarkEnd w:id="5"/>
    </w:p>
    <w:tbl>
      <w:tblPr>
        <w:tblStyle w:val="16"/>
        <w:tblW w:w="1015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53"/>
        <w:gridCol w:w="985"/>
        <w:gridCol w:w="83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1838" w:type="dxa"/>
            <w:gridSpan w:val="2"/>
            <w:tcBorders>
              <w:bottom w:val="single" w:color="auto" w:sz="4" w:space="0"/>
              <w:right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8316" w:type="dxa"/>
            <w:tcBorders>
              <w:left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853" w:type="dxa"/>
            <w:tcBorders>
              <w:bottom w:val="single" w:color="auto" w:sz="4" w:space="0"/>
              <w:right w:val="single" w:color="auto" w:sz="6"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85" w:type="dxa"/>
            <w:tcBorders>
              <w:left w:val="single" w:color="auto" w:sz="6" w:space="0"/>
              <w:bottom w:val="single" w:color="auto" w:sz="4" w:space="0"/>
              <w:right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评标办法</w:t>
            </w:r>
          </w:p>
        </w:tc>
        <w:tc>
          <w:tcPr>
            <w:tcW w:w="8316"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综合评分相等时，评标委员会依次按照以下优先顺序推荐中标候选人或确定中标人：</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（1）评标价低的投标人优先；</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（2）以评标时采用的信用等级较高的优先；</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（3）商务和技术得分较高的投标人优先；</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（4）较早购买招标文件的投标人优先。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853" w:type="dxa"/>
            <w:tcBorders>
              <w:bottom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985" w:type="dxa"/>
            <w:tcBorders>
              <w:bottom w:val="single" w:color="auto" w:sz="4" w:space="0"/>
            </w:tcBorders>
            <w:noWrap w:val="0"/>
            <w:vAlign w:val="center"/>
          </w:tcPr>
          <w:p>
            <w:pPr>
              <w:keepNext w:val="0"/>
              <w:keepLines w:val="0"/>
              <w:pageBreakBefore w:val="0"/>
              <w:kinsoku/>
              <w:wordWrap/>
              <w:bidi w:val="0"/>
              <w:snapToGrid w:val="0"/>
              <w:spacing w:line="360" w:lineRule="auto"/>
              <w:ind w:left="105" w:leftChars="50" w:right="105" w:rightChars="5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8316" w:type="dxa"/>
            <w:tcBorders>
              <w:bottom w:val="single" w:color="auto" w:sz="4" w:space="0"/>
            </w:tcBorders>
            <w:noWrap w:val="0"/>
            <w:vAlign w:val="center"/>
          </w:tcPr>
          <w:p>
            <w:pPr>
              <w:keepNext w:val="0"/>
              <w:keepLines w:val="0"/>
              <w:pageBreakBefore w:val="0"/>
              <w:widowControl/>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电子招标的遵其规定</w:t>
            </w:r>
            <w:r>
              <w:rPr>
                <w:rFonts w:hint="eastAsia" w:ascii="宋体" w:hAnsi="宋体" w:cs="宋体"/>
                <w:b/>
                <w:color w:val="auto"/>
                <w:sz w:val="21"/>
                <w:szCs w:val="21"/>
                <w:highlight w:val="none"/>
                <w:lang w:eastAsia="zh-CN"/>
              </w:rPr>
              <w:t>）</w:t>
            </w:r>
            <w:r>
              <w:rPr>
                <w:rFonts w:hint="eastAsia" w:ascii="宋体" w:hAnsi="宋体" w:eastAsia="宋体" w:cs="宋体"/>
                <w:b/>
                <w:color w:val="auto"/>
                <w:sz w:val="21"/>
                <w:szCs w:val="21"/>
                <w:highlight w:val="none"/>
              </w:rPr>
              <w:t>：</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（1）投标文件按照招标文件规定的格式、内容和要求编制，字迹清晰可辨；</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a.投标函按招标文件规定填写，且有法定代表人或其授权代理人亲笔签字，盖有</w:t>
            </w:r>
            <w:r>
              <w:rPr>
                <w:rFonts w:hint="eastAsia" w:ascii="宋体" w:hAnsi="宋体" w:eastAsia="宋体" w:cs="宋体"/>
                <w:color w:val="auto"/>
                <w:sz w:val="21"/>
                <w:szCs w:val="21"/>
                <w:highlight w:val="none"/>
                <w:lang w:eastAsia="zh-CN"/>
              </w:rPr>
              <w:t>投标单位公</w:t>
            </w:r>
            <w:r>
              <w:rPr>
                <w:rFonts w:hint="eastAsia" w:ascii="宋体" w:hAnsi="宋体" w:eastAsia="宋体" w:cs="宋体"/>
                <w:color w:val="auto"/>
                <w:sz w:val="21"/>
                <w:szCs w:val="21"/>
                <w:highlight w:val="none"/>
              </w:rPr>
              <w:t>章；</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b.投标文件</w:t>
            </w:r>
            <w:r>
              <w:rPr>
                <w:rFonts w:hint="eastAsia" w:ascii="宋体" w:hAnsi="宋体" w:eastAsia="宋体" w:cs="宋体"/>
                <w:color w:val="auto"/>
                <w:sz w:val="21"/>
                <w:szCs w:val="21"/>
                <w:highlight w:val="none"/>
                <w:lang w:eastAsia="zh-CN"/>
              </w:rPr>
              <w:t>组成</w:t>
            </w:r>
            <w:r>
              <w:rPr>
                <w:rFonts w:hint="eastAsia" w:ascii="宋体" w:hAnsi="宋体" w:eastAsia="宋体" w:cs="宋体"/>
                <w:color w:val="auto"/>
                <w:sz w:val="21"/>
                <w:szCs w:val="21"/>
                <w:highlight w:val="none"/>
              </w:rPr>
              <w:t>齐全完整，内容清晰可辨；</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c.投标文件按招标文件规定的形式装订；</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d．投标文件标明了正、副本，数量满足要求。</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（2）投标文件上法定代表人或其委托代理人的签字、投标人的单位章盖章齐全，符合招标文件规定。</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）投标人按照招标文件规定的金额、形式、时效和内容提供了投标担保：</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a.投标保证金金额符合招标文件规定的金额，且投标保证金有效期不少于投标有效期；</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b.若投标保证金采用现金或支票形式提交，投标人应在递交投标文件截止时间之前，将投标保证金由投标人的基本账户转入招标人指定账户，并按照要求在投标文件中附汇款单据（或银行进帐单）；</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若投标保证金采用银行保函形式提交，银行保函的格式、开具保函的银行均满足招标文件要求，且在递交投标文件截止时间之前向招标人提交了银行保函原件。</w:t>
            </w:r>
          </w:p>
          <w:p>
            <w:pPr>
              <w:keepNext w:val="0"/>
              <w:keepLines w:val="0"/>
              <w:pageBreakBefore w:val="0"/>
              <w:kinsoku/>
              <w:wordWrap/>
              <w:bidi w:val="0"/>
              <w:adjustRightInd w:val="0"/>
              <w:snapToGrid/>
              <w:spacing w:line="360" w:lineRule="auto"/>
              <w:ind w:left="0" w:leftChars="0" w:right="105" w:rightChars="50" w:firstLine="218" w:firstLineChars="104"/>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d.若投标保证金采用保证保险形式提交，保证保险相关要求符合招标文件要求。</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）投标人法定代表人授权委托代理人签署投标文件的，须提交授权委托书，且授权人和被授权人均在授权委托书上签名，未使用印章、签名章或其他电子制版签名代替。</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法定代表人亲自签署投标文件的，提供了法定代表人身份证明，且法定代表人在法定代表人身份证明上签名，未使用印章、签名章或其他电子制版签名代替。</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同一投标人未提交两个以上不同的投标文件，但招标文件要求提交备选投标的除外；</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）投标文件未出现有关投标报价的内容；</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）投标文件载明的招标项目完成期限符合招标文件规定。</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）投标文件对招标文件的实质性要求和条件作出响应。</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）权利义务符合招标文件规定：</w:t>
            </w:r>
          </w:p>
          <w:p>
            <w:pPr>
              <w:pStyle w:val="22"/>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pStyle w:val="22"/>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b.投标人未增加委托人的责任范围，或减少投标人义务；</w:t>
            </w:r>
          </w:p>
          <w:p>
            <w:pPr>
              <w:pStyle w:val="22"/>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pStyle w:val="22"/>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pStyle w:val="22"/>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pStyle w:val="22"/>
              <w:keepNext w:val="0"/>
              <w:keepLines w:val="0"/>
              <w:pageBreakBefore w:val="0"/>
              <w:widowControl/>
              <w:kinsoku/>
              <w:wordWrap/>
              <w:overflowPunct/>
              <w:topLinePunct w:val="0"/>
              <w:autoSpaceDE/>
              <w:autoSpaceDN/>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）投标文件正、副本份数符合招标文件第二章“投标人须知”第3.7.4项规定。</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）投标文件未附有招标人不能接受的条件</w:t>
            </w:r>
            <w:r>
              <w:rPr>
                <w:rFonts w:hint="eastAsia" w:ascii="宋体" w:hAnsi="宋体" w:eastAsia="宋体" w:cs="宋体"/>
                <w:color w:val="auto"/>
                <w:sz w:val="21"/>
                <w:szCs w:val="21"/>
                <w:highlight w:val="none"/>
                <w:lang w:eastAsia="zh-CN"/>
              </w:rPr>
              <w:t>。</w:t>
            </w:r>
          </w:p>
          <w:p>
            <w:pPr>
              <w:pStyle w:val="23"/>
              <w:keepNext w:val="0"/>
              <w:keepLines w:val="0"/>
              <w:pageBreakBefore w:val="0"/>
              <w:kinsoku/>
              <w:wordWrap/>
              <w:overflowPunct w:val="0"/>
              <w:topLinePunct/>
              <w:bidi w:val="0"/>
              <w:adjustRightInd w:val="0"/>
              <w:snapToGrid/>
              <w:spacing w:line="360" w:lineRule="auto"/>
              <w:ind w:left="105" w:leftChars="50" w:right="105" w:rightChars="50" w:firstLine="0" w:firstLineChars="0"/>
              <w:jc w:val="both"/>
              <w:textAlignment w:val="baseline"/>
              <w:rPr>
                <w:rFonts w:hint="eastAsia" w:ascii="宋体" w:hAnsi="宋体" w:eastAsia="宋体" w:cs="宋体"/>
                <w:b/>
                <w:color w:val="auto"/>
                <w:sz w:val="21"/>
                <w:szCs w:val="21"/>
                <w:highlight w:val="none"/>
              </w:rPr>
            </w:pP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第二个信封（报价文件）评审标准</w:t>
            </w:r>
            <w:r>
              <w:rPr>
                <w:rFonts w:hint="eastAsia" w:ascii="宋体" w:hAnsi="宋体" w:eastAsia="宋体" w:cs="宋体"/>
                <w:b/>
                <w:bCs/>
                <w:color w:val="auto"/>
                <w:sz w:val="21"/>
                <w:szCs w:val="21"/>
                <w:highlight w:val="none"/>
                <w:lang w:eastAsia="zh-CN"/>
              </w:rPr>
              <w:t>：</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（1）投标文件按招标文件规定的格式、内容填写，字迹清晰可辨，内容齐全完整；</w:t>
            </w:r>
          </w:p>
          <w:p>
            <w:pPr>
              <w:keepNext w:val="0"/>
              <w:keepLines w:val="0"/>
              <w:pageBreakBefore w:val="0"/>
              <w:kinsoku/>
              <w:wordWrap/>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a.投标函按招标文件规定填报了项目名称、投标价（包括大写金额和小写金额）；</w:t>
            </w:r>
          </w:p>
          <w:p>
            <w:pPr>
              <w:keepNext w:val="0"/>
              <w:keepLines w:val="0"/>
              <w:pageBreakBefore w:val="0"/>
              <w:kinsoku/>
              <w:wordWrap/>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b.已标价报价清单说明文字与招标文件规定一致，未进行实质性修改和删减；</w:t>
            </w:r>
          </w:p>
          <w:p>
            <w:pPr>
              <w:keepNext w:val="0"/>
              <w:keepLines w:val="0"/>
              <w:pageBreakBefore w:val="0"/>
              <w:kinsoku/>
              <w:wordWrap/>
              <w:bidi w:val="0"/>
              <w:adjustRightInd w:val="0"/>
              <w:snapToGrid/>
              <w:spacing w:line="360" w:lineRule="auto"/>
              <w:ind w:right="105" w:rightChars="5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c.投标文件组成齐全完整，内容均按规定填写。</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（2）投标文件上法定代表人或其授权代理人的签字、投标人的单位章齐全，符合招标文件规定</w:t>
            </w:r>
            <w:r>
              <w:rPr>
                <w:rFonts w:hint="eastAsia" w:ascii="宋体" w:hAnsi="宋体" w:eastAsia="宋体" w:cs="宋体"/>
                <w:color w:val="auto"/>
                <w:sz w:val="21"/>
                <w:szCs w:val="21"/>
                <w:highlight w:val="none"/>
                <w:lang w:eastAsia="zh-CN"/>
              </w:rPr>
              <w:t>；</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（3）在报价函上填写了投标总价（包括大写金额和小写金额）。投标总价</w:t>
            </w:r>
            <w:r>
              <w:rPr>
                <w:rFonts w:hint="eastAsia" w:ascii="宋体" w:hAnsi="宋体" w:eastAsia="宋体" w:cs="宋体"/>
                <w:b/>
                <w:bCs/>
                <w:color w:val="auto"/>
                <w:sz w:val="21"/>
                <w:szCs w:val="21"/>
                <w:highlight w:val="none"/>
                <w:lang w:val="en-US" w:eastAsia="zh-CN"/>
              </w:rPr>
              <w:t>报</w:t>
            </w:r>
            <w:r>
              <w:rPr>
                <w:rFonts w:hint="eastAsia" w:ascii="宋体" w:hAnsi="宋体" w:eastAsia="宋体" w:cs="宋体"/>
                <w:b/>
                <w:bCs/>
                <w:color w:val="auto"/>
                <w:sz w:val="21"/>
                <w:szCs w:val="21"/>
                <w:highlight w:val="none"/>
              </w:rPr>
              <w:t>价不高于招标人公布的最高投标限价，且报价唯一；</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（4）投标报价的大写金额能够确定具体数值。</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（5）同一投标人未提交两个以上不同的投标报价，但招标文件要求提交备选投标的除外。</w:t>
            </w:r>
          </w:p>
          <w:p>
            <w:pPr>
              <w:keepNext w:val="0"/>
              <w:keepLines w:val="0"/>
              <w:pageBreakBefore w:val="0"/>
              <w:kinsoku/>
              <w:wordWrap/>
              <w:bidi w:val="0"/>
              <w:adjustRightInd w:val="0"/>
              <w:snapToGrid/>
              <w:spacing w:line="360" w:lineRule="auto"/>
              <w:ind w:left="105" w:leftChars="50" w:right="105" w:rightChars="50" w:firstLine="0" w:firstLineChars="0"/>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（6）投标文件正、副本份数符合招标文件第二章“投标人须知”第3.7.4项规定。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0" w:hRule="atLeast"/>
          <w:jc w:val="center"/>
        </w:trPr>
        <w:tc>
          <w:tcPr>
            <w:tcW w:w="853" w:type="dxa"/>
            <w:tcBorders>
              <w:top w:val="single" w:color="auto" w:sz="4" w:space="0"/>
            </w:tcBorders>
            <w:noWrap w:val="0"/>
            <w:vAlign w:val="center"/>
          </w:tcPr>
          <w:p>
            <w:pPr>
              <w:keepNext w:val="0"/>
              <w:keepLines w:val="0"/>
              <w:pageBreakBefore w:val="0"/>
              <w:kinsoku/>
              <w:wordWrap/>
              <w:bidi w:val="0"/>
              <w:spacing w:line="360" w:lineRule="auto"/>
              <w:ind w:left="105" w:leftChars="5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985" w:type="dxa"/>
            <w:tcBorders>
              <w:top w:val="single" w:color="auto" w:sz="4" w:space="0"/>
            </w:tcBorders>
            <w:noWrap w:val="0"/>
            <w:vAlign w:val="center"/>
          </w:tcPr>
          <w:p>
            <w:pPr>
              <w:keepNext w:val="0"/>
              <w:keepLines w:val="0"/>
              <w:pageBreakBefore w:val="0"/>
              <w:kinsoku/>
              <w:wordWrap/>
              <w:bidi w:val="0"/>
              <w:snapToGrid w:val="0"/>
              <w:spacing w:line="360" w:lineRule="auto"/>
              <w:ind w:left="105" w:leftChars="50" w:right="105" w:rightChars="50" w:firstLine="0" w:firstLineChars="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831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05" w:leftChars="50" w:right="105" w:rightChars="5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（1）投标人具备</w:t>
            </w:r>
            <w:r>
              <w:rPr>
                <w:rFonts w:hint="eastAsia" w:ascii="宋体" w:hAnsi="宋体" w:eastAsia="宋体" w:cs="宋体"/>
                <w:color w:val="auto"/>
                <w:sz w:val="21"/>
                <w:szCs w:val="21"/>
                <w:highlight w:val="none"/>
                <w:lang w:eastAsia="zh-CN"/>
              </w:rPr>
              <w:t>有效的事业单位法人证书（或</w:t>
            </w:r>
            <w:r>
              <w:rPr>
                <w:rFonts w:hint="eastAsia" w:ascii="宋体" w:hAnsi="宋体" w:eastAsia="宋体" w:cs="宋体"/>
                <w:color w:val="auto"/>
                <w:sz w:val="21"/>
                <w:szCs w:val="21"/>
                <w:highlight w:val="none"/>
              </w:rPr>
              <w:t>营业执照、组织机构代码证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基本账户开户许可证</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基本存款帐户信息</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）投标人的资质等级符合招标文件规定；</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）投标人的信誉符合招标文件规定；</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）投标人的主要人员资格、在岗情况符合招标文件规定；</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）投标人的其他要求符合招标文件的规定；</w:t>
            </w:r>
          </w:p>
          <w:p>
            <w:pPr>
              <w:pStyle w:val="22"/>
              <w:keepNext w:val="0"/>
              <w:keepLines w:val="0"/>
              <w:pageBreakBefore w:val="0"/>
              <w:widowControl/>
              <w:kinsoku/>
              <w:wordWrap/>
              <w:overflowPunct/>
              <w:topLinePunct w:val="0"/>
              <w:autoSpaceDE/>
              <w:autoSpaceDN/>
              <w:bidi w:val="0"/>
              <w:adjustRightInd w:val="0"/>
              <w:snapToGrid/>
              <w:spacing w:line="360" w:lineRule="auto"/>
              <w:ind w:left="105" w:leftChars="50" w:right="105" w:rightChars="5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）投标人不存在第二章“投标人须知”第1.4.3项或第1.4.4项规定的任何一种情形。</w:t>
            </w:r>
          </w:p>
        </w:tc>
      </w:tr>
    </w:tbl>
    <w:p>
      <w:pPr>
        <w:pageBreakBefore w:val="0"/>
        <w:bidi w:val="0"/>
        <w:spacing w:line="360" w:lineRule="auto"/>
        <w:jc w:val="right"/>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续上表</w:t>
      </w:r>
    </w:p>
    <w:tbl>
      <w:tblPr>
        <w:tblStyle w:val="16"/>
        <w:tblW w:w="9837"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878"/>
        <w:gridCol w:w="1387"/>
        <w:gridCol w:w="389"/>
        <w:gridCol w:w="789"/>
        <w:gridCol w:w="1363"/>
        <w:gridCol w:w="846"/>
        <w:gridCol w:w="418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right="105" w:right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7183" w:type="dxa"/>
            <w:gridSpan w:val="4"/>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 列 内 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35"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分值构成</w:t>
            </w:r>
          </w:p>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（总分100分）</w:t>
            </w:r>
          </w:p>
        </w:tc>
        <w:tc>
          <w:tcPr>
            <w:tcW w:w="718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投标文件评分分值构成：</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一、技术</w:t>
            </w:r>
            <w:r>
              <w:rPr>
                <w:rFonts w:hint="eastAsia" w:ascii="宋体" w:hAnsi="宋体" w:eastAsia="宋体" w:cs="宋体"/>
                <w:b/>
                <w:bCs/>
                <w:color w:val="auto"/>
                <w:sz w:val="21"/>
                <w:szCs w:val="21"/>
                <w:highlight w:val="none"/>
                <w:lang w:eastAsia="zh-CN"/>
              </w:rPr>
              <w:t>建议书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40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eastAsia="zh-CN"/>
              </w:rPr>
              <w:t>资信业绩</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lang w:eastAsia="zh-CN"/>
              </w:rPr>
              <w:t>50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，其中：</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632" w:firstLineChars="3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主要人员：</w:t>
            </w:r>
            <w:r>
              <w:rPr>
                <w:rFonts w:hint="eastAsia" w:ascii="宋体" w:hAnsi="宋体" w:eastAsia="宋体" w:cs="宋体"/>
                <w:b/>
                <w:bCs/>
                <w:color w:val="auto"/>
                <w:sz w:val="21"/>
                <w:szCs w:val="21"/>
                <w:highlight w:val="none"/>
                <w:u w:val="single"/>
                <w:lang w:val="en-US" w:eastAsia="zh-CN"/>
              </w:rPr>
              <w:t xml:space="preserve"> 2</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632" w:firstLineChars="3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业绩</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lang w:val="en-US" w:eastAsia="zh-CN"/>
              </w:rPr>
              <w:t xml:space="preserve"> 20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632" w:firstLineChars="3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信誉</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lang w:val="en-US" w:eastAsia="zh-CN"/>
              </w:rPr>
              <w:t xml:space="preserve"> 3 </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三、投标报价得分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10</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59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评标基准价计算方法</w:t>
            </w:r>
          </w:p>
        </w:tc>
        <w:tc>
          <w:tcPr>
            <w:tcW w:w="718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评标基准价的计算：</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（1）评标价的确定：</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评标价=投标函文字报价</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（2）评标价平均值的计算：</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除按第二章“投标人须知”第5.2.4项规定开标现场被宣布为不进入评标基准价计算的投标报价之外，所有通过第一信封初步评审的投标人且价格在招标控制价的</w:t>
            </w:r>
            <w:r>
              <w:rPr>
                <w:rFonts w:hint="eastAsia" w:ascii="宋体" w:hAnsi="宋体" w:eastAsia="宋体" w:cs="宋体"/>
                <w:b/>
                <w:bCs/>
                <w:color w:val="auto"/>
                <w:sz w:val="21"/>
                <w:szCs w:val="21"/>
                <w:highlight w:val="none"/>
              </w:rPr>
              <w:t>85%与100%之间（含85%和100%）</w:t>
            </w:r>
            <w:r>
              <w:rPr>
                <w:rFonts w:hint="eastAsia" w:ascii="宋体" w:hAnsi="宋体" w:eastAsia="宋体" w:cs="宋体"/>
                <w:color w:val="auto"/>
                <w:sz w:val="21"/>
                <w:szCs w:val="21"/>
                <w:highlight w:val="none"/>
              </w:rPr>
              <w:t>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（3）评标基准价的确定：</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将评标价平均值直接作为评标基准价。</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65"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776"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firstLine="0" w:firstLineChars="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7183"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312"/>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偏差率保留两位小数。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52" w:hRule="atLeast"/>
          <w:jc w:val="center"/>
        </w:trPr>
        <w:tc>
          <w:tcPr>
            <w:tcW w:w="9837" w:type="dxa"/>
            <w:gridSpan w:val="7"/>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firstLine="210" w:firstLineChars="1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评分因素与权重分值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条款号</w:t>
            </w:r>
          </w:p>
        </w:tc>
        <w:tc>
          <w:tcPr>
            <w:tcW w:w="1387"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w:t>
            </w:r>
          </w:p>
        </w:tc>
        <w:tc>
          <w:tcPr>
            <w:tcW w:w="1178"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评分因素权重分植</w:t>
            </w: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各评分因素细分项</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4185"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评标标准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888" w:hRule="atLeast"/>
          <w:jc w:val="center"/>
        </w:trPr>
        <w:tc>
          <w:tcPr>
            <w:tcW w:w="878"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技术建议书（检测大纲）</w:t>
            </w:r>
          </w:p>
        </w:tc>
        <w:tc>
          <w:tcPr>
            <w:tcW w:w="1178" w:type="dxa"/>
            <w:gridSpan w:val="2"/>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default"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分</w:t>
            </w: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检测工作计划及人员、设备进场计划</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根据检测工作计划安全及人员、设备进场计划的科学、合理性进行评分。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236"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方法、频率及质量安全保证措施</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rPr>
              <w:t>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根据检测方法的准确、内容的全面、质量安全保证措施的有效、合面进行评分。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249"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对本项目检测任务的理解、重难点分析</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rPr>
              <w:t>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根据对本项目检测任务的理解、重难点分析到位、透彻情况进行评分</w:t>
            </w:r>
            <w:r>
              <w:rPr>
                <w:rFonts w:hint="eastAsia" w:ascii="宋体" w:hAnsi="宋体" w:eastAsia="宋体" w:cs="宋体"/>
                <w:color w:val="auto"/>
                <w:sz w:val="21"/>
                <w:szCs w:val="21"/>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对本项目检测工作的建议</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根据对本项目检测工作所提建议的合理性、可实性、项目针对性进行评分。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1387" w:type="dxa"/>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资信业绩</w:t>
            </w:r>
          </w:p>
        </w:tc>
        <w:tc>
          <w:tcPr>
            <w:tcW w:w="1178" w:type="dxa"/>
            <w:gridSpan w:val="2"/>
            <w:vMerge w:val="restart"/>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50</w:t>
            </w:r>
            <w:r>
              <w:rPr>
                <w:rFonts w:hint="eastAsia" w:ascii="宋体" w:hAnsi="宋体" w:eastAsia="宋体" w:cs="宋体"/>
                <w:color w:val="auto"/>
                <w:sz w:val="21"/>
                <w:szCs w:val="21"/>
                <w:highlight w:val="none"/>
              </w:rPr>
              <w:t>分</w:t>
            </w: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a.满足强制性资格条件得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eastAsia="宋体" w:cs="宋体"/>
                <w:color w:val="auto"/>
                <w:sz w:val="21"/>
                <w:szCs w:val="21"/>
                <w:highlight w:val="none"/>
                <w:lang w:val="en-US" w:eastAsia="zh-CN"/>
              </w:rPr>
              <w:t>项目负责人具有副高级职称加2分，正高级职称的加</w:t>
            </w:r>
            <w:r>
              <w:rPr>
                <w:rFonts w:hint="eastAsia" w:ascii="宋体" w:cs="宋体"/>
                <w:color w:val="auto"/>
                <w:sz w:val="21"/>
                <w:szCs w:val="21"/>
                <w:highlight w:val="none"/>
                <w:lang w:val="en-US" w:eastAsia="zh-CN"/>
              </w:rPr>
              <w:t>4</w:t>
            </w:r>
            <w:r>
              <w:rPr>
                <w:rFonts w:hint="eastAsia" w:asci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c</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每增加1个钢结构桥梁试验检测项目的项目负责人（或技术负责人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业绩加3分，最多得6分。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宋体" w:hAnsi="宋体" w:eastAsia="宋体" w:cs="宋体"/>
                <w:color w:val="auto"/>
                <w:sz w:val="21"/>
                <w:szCs w:val="21"/>
                <w:highlight w:val="none"/>
              </w:rPr>
              <w:t>2</w:t>
            </w:r>
            <w:r>
              <w:rPr>
                <w:rFonts w:hint="eastAsia" w:ascii="宋体" w:hAnsi="宋体" w:eastAsia="宋体" w:cs="宋体"/>
                <w:color w:val="auto"/>
                <w:sz w:val="21"/>
                <w:szCs w:val="21"/>
                <w:highlight w:val="none"/>
              </w:rPr>
              <w:t>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a.满足强制性资格条件得</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b.</w:t>
            </w:r>
            <w:r>
              <w:rPr>
                <w:rFonts w:hint="eastAsia" w:ascii="宋体" w:hAnsi="宋体" w:eastAsia="宋体" w:cs="宋体"/>
                <w:color w:val="auto"/>
                <w:sz w:val="21"/>
                <w:szCs w:val="21"/>
                <w:highlight w:val="none"/>
                <w:lang w:val="en-US" w:eastAsia="zh-CN"/>
              </w:rPr>
              <w:t>技术负责人应经过培训取得上岗资格，从事钢结构无损检测的技术负责人应按现行国家标准进行相应级别的培训、考核，并持有相应考核机构颁发的证书。</w:t>
            </w:r>
            <w:r>
              <w:rPr>
                <w:rFonts w:hint="eastAsia" w:ascii="宋体" w:hAnsi="宋体" w:eastAsia="宋体" w:cs="宋体"/>
                <w:b/>
                <w:bCs/>
                <w:color w:val="auto"/>
                <w:sz w:val="21"/>
                <w:szCs w:val="21"/>
                <w:highlight w:val="none"/>
                <w:lang w:val="en-US" w:eastAsia="zh-CN"/>
              </w:rPr>
              <w:t>无损检测证书级别为Ⅱ级或者Ⅱ级以上且检测专业包含磁粉检测、脉冲反射法超声检测、射线胶片照相检测、渗透检测专业中的任意一项，得2分，否则不得分</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c</w:t>
            </w:r>
            <w:r>
              <w:rPr>
                <w:rFonts w:hint="default" w:ascii="宋体" w:hAnsi="宋体" w:eastAsia="宋体" w:cs="宋体"/>
                <w:color w:val="auto"/>
                <w:sz w:val="21"/>
                <w:szCs w:val="21"/>
                <w:highlight w:val="none"/>
              </w:rPr>
              <w:t>.</w:t>
            </w:r>
            <w:r>
              <w:rPr>
                <w:rFonts w:hint="eastAsia" w:ascii="宋体" w:hAnsi="宋体" w:eastAsia="宋体" w:cs="宋体"/>
                <w:color w:val="auto"/>
                <w:highlight w:val="none"/>
              </w:rPr>
              <w:t>每增加1个钢结构桥梁试验检测项目的项目负责人（或技术负责人）业绩加2分，最多得4分。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检测业绩</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近年（20</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年1月1日至投标文件递交截止时间止）</w:t>
            </w:r>
            <w:r>
              <w:rPr>
                <w:rFonts w:hint="eastAsia" w:ascii="宋体" w:hAnsi="宋体" w:eastAsia="宋体" w:cs="宋体"/>
                <w:color w:val="auto"/>
                <w:highlight w:val="none"/>
                <w:lang w:val="en-US" w:eastAsia="zh-CN"/>
              </w:rPr>
              <w:t>每完成1个钢结构桥梁试验检测项目业绩得5分，最多得20分。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878"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87" w:type="dxa"/>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178" w:type="dxa"/>
            <w:gridSpan w:val="2"/>
            <w:vMerge w:val="continue"/>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p>
        </w:tc>
        <w:tc>
          <w:tcPr>
            <w:tcW w:w="1363"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信誉评价</w:t>
            </w:r>
          </w:p>
        </w:tc>
        <w:tc>
          <w:tcPr>
            <w:tcW w:w="846"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3分</w:t>
            </w:r>
          </w:p>
        </w:tc>
        <w:tc>
          <w:tcPr>
            <w:tcW w:w="4185"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0" w:firstLineChars="0"/>
              <w:jc w:val="both"/>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信用等级评价为AA级得3分；A级得1.5分；B级得0分</w:t>
            </w:r>
            <w:r>
              <w:rPr>
                <w:rFonts w:hint="eastAsia" w:ascii="宋体" w:hAnsi="宋体" w:eastAsia="宋体" w:cs="宋体"/>
                <w:color w:val="auto"/>
                <w:sz w:val="21"/>
                <w:szCs w:val="21"/>
                <w:highlight w:val="none"/>
                <w:lang w:val="en-US" w:eastAsia="zh-CN"/>
              </w:rPr>
              <w:t>；C级得-3分。</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210" w:firstLineChars="100"/>
              <w:textAlignment w:val="baseline"/>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lang w:eastAsia="zh-CN"/>
              </w:rPr>
              <w:t>注：信用评价的引用详见招标公告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581" w:hRule="atLeast"/>
          <w:jc w:val="center"/>
        </w:trPr>
        <w:tc>
          <w:tcPr>
            <w:tcW w:w="878"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2.2.4（3）</w:t>
            </w:r>
          </w:p>
        </w:tc>
        <w:tc>
          <w:tcPr>
            <w:tcW w:w="1387" w:type="dxa"/>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评标价</w:t>
            </w:r>
          </w:p>
        </w:tc>
        <w:tc>
          <w:tcPr>
            <w:tcW w:w="1178" w:type="dxa"/>
            <w:gridSpan w:val="2"/>
            <w:noWrap w:val="0"/>
            <w:vAlign w:val="center"/>
          </w:tcPr>
          <w:p>
            <w:pPr>
              <w:keepNext w:val="0"/>
              <w:keepLines w:val="0"/>
              <w:pageBreakBefore w:val="0"/>
              <w:widowControl w:val="0"/>
              <w:kinsoku/>
              <w:wordWrap/>
              <w:overflowPunct/>
              <w:topLinePunct w:val="0"/>
              <w:autoSpaceDE/>
              <w:autoSpaceDN/>
              <w:bidi w:val="0"/>
              <w:spacing w:line="360" w:lineRule="auto"/>
              <w:ind w:left="0" w:leftChars="0" w:right="105" w:rightChars="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39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（1）如果投标人的评标价＞评标基准价，则评标价得分=F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偏差率×100×E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（2）如果投标人的评标价≤评标基准价，则评标价得分=F</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偏差率×100×E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其中：F是评标价所占的权重分值，F=</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是评标价每高于评标基准价一个百分点的扣分值，E</w:t>
            </w:r>
            <w:r>
              <w:rPr>
                <w:rFonts w:hint="eastAsia" w:ascii="宋体" w:hAnsi="宋体" w:eastAsia="宋体" w:cs="宋体"/>
                <w:color w:val="auto"/>
                <w:sz w:val="21"/>
                <w:szCs w:val="21"/>
                <w:highlight w:val="none"/>
                <w:vertAlign w:val="subscript"/>
              </w:rPr>
              <w:t>1</w:t>
            </w:r>
            <w:r>
              <w:rPr>
                <w:rFonts w:hint="eastAsia" w:ascii="宋体" w:hAnsi="宋体" w:eastAsia="宋体" w:cs="宋体"/>
                <w:color w:val="auto"/>
                <w:sz w:val="21"/>
                <w:szCs w:val="21"/>
                <w:highlight w:val="none"/>
              </w:rPr>
              <w:t>=0.</w:t>
            </w:r>
            <w:r>
              <w:rPr>
                <w:rFonts w:hint="default" w:ascii="宋体" w:hAnsi="宋体" w:eastAsia="宋体" w:cs="宋体"/>
                <w:color w:val="auto"/>
                <w:sz w:val="21"/>
                <w:szCs w:val="21"/>
                <w:highlight w:val="none"/>
              </w:rPr>
              <w:t>15</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是评标价每低于评标基准价一个百分点的扣分值，E</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评标价</w:t>
            </w:r>
            <w:r>
              <w:rPr>
                <w:rFonts w:hint="eastAsia" w:ascii="宋体" w:hAnsi="宋体" w:eastAsia="宋体" w:cs="宋体"/>
                <w:color w:val="auto"/>
                <w:sz w:val="21"/>
                <w:szCs w:val="21"/>
                <w:highlight w:val="none"/>
              </w:rPr>
              <w:t>得分最低为0分。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837" w:type="dxa"/>
            <w:gridSpan w:val="7"/>
            <w:noWrap w:val="0"/>
            <w:vAlign w:val="center"/>
          </w:tcPr>
          <w:p>
            <w:pPr>
              <w:keepNext w:val="0"/>
              <w:keepLines w:val="0"/>
              <w:pageBreakBefore w:val="0"/>
              <w:widowControl w:val="0"/>
              <w:kinsoku/>
              <w:wordWrap/>
              <w:overflowPunct/>
              <w:topLinePunct w:val="0"/>
              <w:autoSpaceDE/>
              <w:autoSpaceDN/>
              <w:bidi w:val="0"/>
              <w:spacing w:line="360" w:lineRule="auto"/>
              <w:ind w:left="105" w:leftChars="50" w:right="105" w:rightChars="5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0" w:hRule="atLeast"/>
          <w:jc w:val="center"/>
        </w:trPr>
        <w:tc>
          <w:tcPr>
            <w:tcW w:w="9837" w:type="dxa"/>
            <w:gridSpan w:val="7"/>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1"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各评分因素（评标价和履约信誉评分项除外）得分一般不得低于其权重分值的60%，</w:t>
            </w:r>
            <w:r>
              <w:rPr>
                <w:rFonts w:hint="eastAsia" w:ascii="宋体" w:hAnsi="宋体" w:eastAsia="宋体" w:cs="宋体"/>
                <w:color w:val="auto"/>
                <w:sz w:val="21"/>
                <w:szCs w:val="21"/>
                <w:highlight w:val="none"/>
              </w:rPr>
              <w:t>且各评分因素得分以评标委员会各成员的打分平均值确定，评标委员会成员总数为7人以上时，该平均值以去掉一个最高分和一个最低分后计算。</w:t>
            </w:r>
            <w:r>
              <w:rPr>
                <w:rFonts w:hint="eastAsia" w:ascii="宋体" w:hAnsi="宋体" w:eastAsia="宋体" w:cs="宋体"/>
                <w:b/>
                <w:bCs/>
                <w:color w:val="auto"/>
                <w:sz w:val="21"/>
                <w:szCs w:val="21"/>
                <w:highlight w:val="none"/>
              </w:rPr>
              <w:t>评标委员会成员对某一项评分因素的评分低于权重分值60%的，应在评标报告中作出说明。</w:t>
            </w:r>
          </w:p>
          <w:p>
            <w:pPr>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若通过第一信封初步评审的投标人仅2名，经评标委员会一致认为通过第一信封初步评审的投标人具备竞争性，可进入详细评审；若通过第二信封初步评审的投标人仅1名，应否决投标，并按相关规定重新招标。</w:t>
            </w:r>
          </w:p>
          <w:p>
            <w:pPr>
              <w:pStyle w:val="2"/>
              <w:rPr>
                <w:rFonts w:hint="default" w:eastAsia="宋体"/>
                <w:lang w:val="en-US" w:eastAsia="zh-CN"/>
              </w:rPr>
            </w:pPr>
            <w:r>
              <w:rPr>
                <w:rFonts w:hint="eastAsia" w:ascii="宋体" w:hAnsi="宋体" w:cs="宋体"/>
                <w:color w:val="auto"/>
                <w:sz w:val="21"/>
                <w:szCs w:val="21"/>
                <w:highlight w:val="none"/>
                <w:lang w:val="en-US" w:eastAsia="zh-CN"/>
              </w:rPr>
              <w:t>3、若同一投标人参与多个标段投标，当出现在多个标段排名第一中标候选人时，评标委员会将按照标段评审顺序评审，将该投标人列为第一个评审顺序标段的第一中标候选人，在其他标段该投标人将不作为第一中标候选人排序。</w:t>
            </w:r>
          </w:p>
          <w:p>
            <w:pPr>
              <w:pStyle w:val="14"/>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1" w:firstLineChars="200"/>
              <w:textAlignment w:val="baseline"/>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4、无效标条件：投标人或投标文件有下列情形之一的，其投标作无效标处理：</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（1）第二章“投标人须知正文部分”及“投标人须知前附表”第1.4.3项规定的任何一种情形的；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）第二章“投标人须知正文部分”第1.4.</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项规定的任何一种情形的；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eastAsia="zh-CN"/>
              </w:rPr>
              <w:t>）最新公布的信用评价结果为</w:t>
            </w:r>
            <w:r>
              <w:rPr>
                <w:rFonts w:hint="eastAsia" w:ascii="宋体" w:hAnsi="宋体" w:eastAsia="宋体" w:cs="宋体"/>
                <w:b/>
                <w:bCs/>
                <w:color w:val="auto"/>
                <w:sz w:val="21"/>
                <w:szCs w:val="21"/>
                <w:highlight w:val="none"/>
                <w:lang w:val="en-US" w:eastAsia="zh-CN"/>
              </w:rPr>
              <w:t>D</w:t>
            </w:r>
            <w:r>
              <w:rPr>
                <w:rFonts w:hint="eastAsia" w:ascii="宋体" w:hAnsi="宋体" w:eastAsia="宋体" w:cs="宋体"/>
                <w:b/>
                <w:bCs/>
                <w:color w:val="auto"/>
                <w:sz w:val="21"/>
                <w:szCs w:val="21"/>
                <w:highlight w:val="none"/>
                <w:lang w:eastAsia="zh-CN"/>
              </w:rPr>
              <w:t>级及以下的；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）在形式评审与响应性评审和资格评审中，评标委员会认定投标人的投标不符合评标办法前附表中规定的任何一项评审标准的；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）不按评标委员会要求澄清、说明或补正的；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（6）不接受评标委员会按招标文件要求对投标报价进行修正的；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（7）投标人的最终投标报价超过招标人设置的投标控制限价的；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（8）评标委员会认定投标人以低于成本报价竞标的；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eastAsia="zh-CN"/>
              </w:rPr>
              <w:t>）投标文件对本招标文件需承诺内容未作出承诺的；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）评标委员会认定投标文件异常一致或投标报价呈规律性差异的；</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210" w:firstLineChars="100"/>
              <w:jc w:val="both"/>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eastAsia="zh-CN"/>
              </w:rPr>
              <w:t>）评标委员会认定投标人串通投标或弄虚作假或有其他违法行为的。</w:t>
            </w:r>
          </w:p>
          <w:p>
            <w:pPr>
              <w:pStyle w:val="14"/>
              <w:keepNext w:val="0"/>
              <w:keepLines w:val="0"/>
              <w:pageBreakBefore w:val="0"/>
              <w:widowControl w:val="0"/>
              <w:kinsoku/>
              <w:wordWrap/>
              <w:overflowPunct/>
              <w:topLinePunct w:val="0"/>
              <w:autoSpaceDE/>
              <w:autoSpaceDN/>
              <w:bidi w:val="0"/>
              <w:adjustRightInd w:val="0"/>
              <w:snapToGrid/>
              <w:spacing w:line="360" w:lineRule="auto"/>
              <w:ind w:left="105" w:leftChars="50" w:right="105" w:rightChars="50" w:firstLine="421"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、废标条件：有效投标不足3个，且评标委员会对有效投标是否仍具有竞争性无法达成一致意见，否决全部投标的。</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color w:val="auto"/>
          <w:sz w:val="24"/>
          <w:szCs w:val="24"/>
          <w:highlight w:val="none"/>
        </w:rPr>
      </w:pPr>
      <w:r>
        <w:rPr>
          <w:color w:val="auto"/>
          <w:highlight w:val="none"/>
        </w:rPr>
        <w:br w:type="page"/>
      </w:r>
      <w:bookmarkStart w:id="6" w:name="_Toc451524586"/>
      <w:bookmarkStart w:id="7" w:name="_Toc451524351"/>
      <w:r>
        <w:rPr>
          <w:rFonts w:hint="eastAsia" w:ascii="宋体" w:hAnsi="宋体" w:eastAsia="宋体" w:cs="宋体"/>
          <w:b/>
          <w:bCs/>
          <w:color w:val="auto"/>
          <w:sz w:val="28"/>
          <w:szCs w:val="28"/>
          <w:highlight w:val="none"/>
        </w:rPr>
        <w:t>1. 评标方法</w:t>
      </w:r>
      <w:bookmarkEnd w:id="6"/>
      <w:bookmarkEnd w:id="7"/>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本次评标采用</w:t>
      </w:r>
      <w:r>
        <w:rPr>
          <w:rFonts w:hint="eastAsia" w:hAnsi="宋体" w:eastAsia="宋体" w:cs="宋体"/>
          <w:color w:val="auto"/>
          <w:sz w:val="24"/>
          <w:szCs w:val="24"/>
          <w:highlight w:val="none"/>
          <w:lang w:val="en-US" w:eastAsia="zh-CN"/>
        </w:rPr>
        <w:t>综</w:t>
      </w:r>
      <w:r>
        <w:rPr>
          <w:rFonts w:hint="eastAsia" w:ascii="宋体" w:hAnsi="宋体" w:eastAsia="宋体" w:cs="宋体"/>
          <w:color w:val="auto"/>
          <w:sz w:val="24"/>
          <w:szCs w:val="24"/>
          <w:highlight w:val="none"/>
        </w:rPr>
        <w:t>合评估法。评标委员会对满足招标文件实质性要求的投标文件，按照本章第 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款规定的评分标准进行打分，并按得分由高到低顺序推荐中标候选人，或根据招标人授权直接确定中标人。综合评分相等时，评标委员会应按照评标办法前附表规定的优先次序推荐中标候选人或确定中标人。</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w:t>
      </w:r>
      <w:r>
        <w:rPr>
          <w:rFonts w:hint="eastAsia"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初步评审标准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形式评审标准：见评标办法前附表。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资格评审标准：见评标办法前附表。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响应性评审标准：见评标办法前附表。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分值构成与评分标准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w:t>
      </w:r>
      <w:r>
        <w:rPr>
          <w:rFonts w:hint="eastAsia"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分值构成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hAnsi="宋体" w:eastAsia="宋体" w:cs="宋体"/>
          <w:color w:val="auto"/>
          <w:sz w:val="24"/>
          <w:szCs w:val="24"/>
          <w:highlight w:val="none"/>
          <w:lang w:eastAsia="zh-CN"/>
        </w:rPr>
        <w:t>建议书</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资信业绩</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见评标办法前附表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 评标基准价计算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2.2.3 投标报价的偏差率计算</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评标价偏差率计算公式：见评标办法前附表。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w:t>
      </w:r>
      <w:r>
        <w:rPr>
          <w:rFonts w:hint="eastAsia" w:ascii="宋体" w:hAnsi="宋体" w:eastAsia="宋体" w:cs="宋体"/>
          <w:b/>
          <w:bCs/>
          <w:color w:val="auto"/>
          <w:sz w:val="24"/>
          <w:szCs w:val="24"/>
          <w:highlight w:val="none"/>
          <w:lang w:val="en-US" w:eastAsia="zh-CN"/>
        </w:rPr>
        <w:t>4</w:t>
      </w:r>
      <w:r>
        <w:rPr>
          <w:rFonts w:hint="eastAsia"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（1）技术建议书</w:t>
      </w:r>
      <w:r>
        <w:rPr>
          <w:rFonts w:hint="eastAsia" w:hAnsi="宋体" w:eastAsia="宋体" w:cs="宋体"/>
          <w:color w:val="auto"/>
          <w:sz w:val="24"/>
          <w:szCs w:val="24"/>
          <w:highlight w:val="none"/>
          <w:lang w:eastAsia="zh-CN"/>
        </w:rPr>
        <w:t>评分标准</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eastAsia="宋体" w:cs="宋体"/>
          <w:color w:val="auto"/>
          <w:sz w:val="24"/>
          <w:szCs w:val="24"/>
          <w:highlight w:val="none"/>
          <w:lang w:eastAsia="zh-CN"/>
        </w:rPr>
        <w:t>资信业绩评分标准</w:t>
      </w:r>
      <w:r>
        <w:rPr>
          <w:rFonts w:hint="eastAsia" w:ascii="宋体" w:hAnsi="宋体" w:eastAsia="宋体" w:cs="宋体"/>
          <w:color w:val="auto"/>
          <w:sz w:val="24"/>
          <w:szCs w:val="24"/>
          <w:highlight w:val="none"/>
        </w:rPr>
        <w:t>：见评标办法前附表；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报价</w:t>
      </w:r>
      <w:r>
        <w:rPr>
          <w:rFonts w:hint="eastAsia" w:hAnsi="宋体" w:eastAsia="宋体" w:cs="宋体"/>
          <w:color w:val="auto"/>
          <w:sz w:val="24"/>
          <w:szCs w:val="24"/>
          <w:highlight w:val="none"/>
          <w:lang w:eastAsia="zh-CN"/>
        </w:rPr>
        <w:t>评分标准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见评标办法前附表</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3.</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评标程序</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baseline"/>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 第一个信封初步评审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3.1.1</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评标委员会可以要求投标人提交第二章“投标人须知”第3.5.1项至第3.5.5项规定的有关证明和证件的原件，以便核验。</w:t>
      </w:r>
      <w:r>
        <w:rPr>
          <w:rFonts w:hint="eastAsia" w:ascii="宋体" w:hAnsi="宋体" w:eastAsia="宋体" w:cs="宋体"/>
          <w:b/>
          <w:bCs/>
          <w:color w:val="auto"/>
          <w:sz w:val="24"/>
          <w:szCs w:val="24"/>
          <w:highlight w:val="none"/>
        </w:rPr>
        <w:t>评标委员会依据本章第2.1款规定的标准对投标文件第一个信封（商务及技术文件）进行初步评审。有一项不符合评审标准的，评标委员会应否决其投标。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 第一个信封详细评审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评标委员会按本章第2.2款规定的量化因素和分值进行打分，并计算出各投标人的商务和技术得分。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（1）按本章第 2.2.4 (1）目规定的评审因素和分值对技术建议书部分计算出得分A</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（2）按本章第 2.2.4 (2）目规定的评审因素和分值对</w:t>
      </w:r>
      <w:r>
        <w:rPr>
          <w:rFonts w:hint="eastAsia" w:ascii="宋体" w:hAnsi="宋体" w:eastAsia="宋体" w:cs="宋体"/>
          <w:color w:val="auto"/>
          <w:sz w:val="24"/>
          <w:szCs w:val="24"/>
          <w:highlight w:val="none"/>
          <w:lang w:eastAsia="zh-CN"/>
        </w:rPr>
        <w:t>商务评审</w:t>
      </w:r>
      <w:r>
        <w:rPr>
          <w:rFonts w:hint="eastAsia" w:ascii="宋体" w:hAnsi="宋体" w:eastAsia="宋体" w:cs="宋体"/>
          <w:color w:val="auto"/>
          <w:sz w:val="24"/>
          <w:szCs w:val="24"/>
          <w:highlight w:val="none"/>
        </w:rPr>
        <w:t>计算出得分B</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投标人的商务和技术得分分值计算保留小数点后两位，小数点后第三位“四舍五入”。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投标人的商务和技术得分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A+B。</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第二个信封开标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 第二个信封初步评审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评标委员会依据本章第</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2.1.1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项、第</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2.1.3</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项规定的评审标准对投标文件第二个信封（报价文件）进行初步评审。有一项不符合评审标准的，评标委员会应否决其投标。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3.4.2 </w:t>
      </w:r>
      <w:r>
        <w:rPr>
          <w:rFonts w:hint="eastAsia" w:ascii="宋体" w:hAnsi="宋体" w:eastAsia="宋体" w:cs="宋体"/>
          <w:b/>
          <w:bCs/>
          <w:color w:val="auto"/>
          <w:sz w:val="24"/>
          <w:szCs w:val="24"/>
          <w:highlight w:val="none"/>
        </w:rPr>
        <w:t>投标报价有算术错误的，评标委员会按以下原则对投标报价进行修正，修正的价格经投标人书面确认后具有约束力。投标人不接受修正价格的，评标委员会应否决其投标。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1</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3</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当单价与数量相乘不等于合价时，以单价计算为准，如果单价有明显的小数点位置差错，应以标出的合价为准，同时对单价予以修正；</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4</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当各子目的合价累计不等于总价时，应以各子目合价累计数为准，修正总价。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3.4.3 </w:t>
      </w:r>
      <w:r>
        <w:rPr>
          <w:rFonts w:hint="eastAsia" w:ascii="宋体" w:hAnsi="宋体" w:eastAsia="宋体" w:cs="宋体"/>
          <w:b/>
          <w:bCs/>
          <w:color w:val="auto"/>
          <w:sz w:val="24"/>
          <w:szCs w:val="24"/>
          <w:highlight w:val="none"/>
        </w:rPr>
        <w:t>修正后的最终投标报价若超过最高投标限价（如有），评标委员会应否决其投标。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修正后的最终投标报价仅作为签订合同的一个依据，不参与评标价得分的计算。</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 第二信封详细评审</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评标委员会按本章第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2.2.4 (3）目规定的评审因素和分值对投标报价计算出得分C。投标报价得分分值计算保留小数点后两位，小数点后第</w:t>
      </w:r>
      <w:r>
        <w:rPr>
          <w:rFonts w:hint="eastAsia"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位“四舍五入”。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投标人得分=投标人的商务和技术得分＋C</w:t>
      </w:r>
      <w:r>
        <w:rPr>
          <w:rFonts w:hint="eastAsia" w:hAnsi="宋体" w:eastAsia="宋体" w:cs="宋体"/>
          <w:color w:val="auto"/>
          <w:sz w:val="24"/>
          <w:szCs w:val="24"/>
          <w:highlight w:val="none"/>
          <w:lang w:val="en-US" w:eastAsia="zh-CN"/>
        </w:rPr>
        <w:t>=A+B+C</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3.5.3 </w:t>
      </w:r>
      <w:r>
        <w:rPr>
          <w:rFonts w:hint="eastAsia" w:ascii="宋体" w:hAnsi="宋体" w:eastAsia="宋体" w:cs="宋体"/>
          <w:b/>
          <w:bCs/>
          <w:color w:val="auto"/>
          <w:sz w:val="24"/>
          <w:szCs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 投标文件相关信息的核查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3.6.1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评标委员会应对在评标过程中发现的投标人与投标人之间、投标人与招标人之间存在的串通投标情形进行评审和认定。投标人存在串通投标、弄虚作假、行贿等违法行为的，评标委员会应否决其投标。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（1）有下列情形之一的，属于投标人相互串通投标：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a.投标人之间协商投标报价等投标文件的实质性内容；</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b.投标人之间约定中标人；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c.投标人之间预定部分投标人放弃投标或中标；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e.投标人之间为谋取中标或排斥特定投标人而采取的其他联合行动。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（2）有下列情形之一的，视为投标人相互串通投标：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a.不同投标人的投标文件由同一单位或个人编制；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b.不同投标人委托同一单位或个人办理投标事宜；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c.不同投标人的投标文件载明的项目管理成员为同一人；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d.不同投标人的投标文件异常一致或投标报价呈规律性差异；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e.不同投标人的投标文件相互混装；</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f.不同投标人的投标保证金从同一单位或个人的账户转出。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（3）有下列情形之一的，属于招标人与投标人相互串通投标：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a.招标人在开标前开启投标文件并将有关信息泄漏给其他投标人；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b.招标人直接或间接向投标人泄漏标底、评标委员会成员等信息；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c.招标人明示或暗示投标人压低或抬高投标报价；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d.招标人授意投标人撤换、修改投标文件；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e.招标人明示或暗示投标人为特定投标人中标提供方便；</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（4）投标人有下列情形之一的，属于弄虚作假的行为：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a.使用通过受让或租借等方式获取的资格、资质证书投标；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b.使用伪造、变造的许可证件；</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c.提供虚假的财务状况或业绩；</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d.提供虚假的项目负责人或主要技术人员简历、劳动关系证明；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e.提供虚假的信用状况；</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f.其他弄虚作假的行为。</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 投标文件的澄清和说明</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3.7.1 在评标过程中，评标委员会可以书面形式要求投标人对所提交投标文件中不明确的内容、明显文字或计算错误进行书面澄清或说明。评标委员会不接受投标人主动提出的澄清、说明。</w:t>
      </w:r>
      <w:r>
        <w:rPr>
          <w:rFonts w:hint="eastAsia" w:ascii="宋体" w:hAnsi="宋体" w:eastAsia="宋体" w:cs="宋体"/>
          <w:b/>
          <w:bCs/>
          <w:color w:val="auto"/>
          <w:sz w:val="24"/>
          <w:szCs w:val="24"/>
          <w:highlight w:val="none"/>
        </w:rPr>
        <w:t>投标人不按评标委员会要求澄清或说明的，评标委员会应否决其投标。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 澄清和说明不得超出投标文件的范围或改变投标文件的实质性内容（算术性错误修正的除外）。投标人的书面澄清、说明属于投标文件的组成部分。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 评标委员会不得暗示或诱导投标人作出澄清、说明，对投标人提交的澄清、说明有疑问的，可以要求投标人进一步澄清或说明，直至满足评标委员会的要求。</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凡超出招标文件规定的或给发包人带来未曾要求的利益的变化、偏差或其他因素在评标时不予考虑。</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 不得否决投标的情形</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投标文件存在第二章“投标人须知”第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项所列情形的，均视为细微偏差，评标委员会不得否决投标人的投标，应按照第二章“投标人须知”第</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1.12.4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项规定的原则处理。</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 评标结果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3.9.1 除第二章“投标人须知”前附表授权直接确定中标人外，评标委员会按照得分由高到低的顺序推荐中标候选人，并标明排序。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pPr>
      <w:r>
        <w:rPr>
          <w:rFonts w:hint="eastAsia" w:ascii="宋体" w:hAnsi="宋体" w:eastAsia="宋体" w:cs="宋体"/>
          <w:color w:val="auto"/>
          <w:sz w:val="24"/>
          <w:szCs w:val="24"/>
          <w:highlight w:val="none"/>
        </w:rPr>
        <w:t>3.9.2 评标委员会完成评标后，应当向招标人提交书面评标报告。</w:t>
      </w:r>
      <w:bookmarkStart w:id="8" w:name="_GoBack"/>
      <w:bookmarkEnd w:id="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CFAD8"/>
    <w:multiLevelType w:val="multilevel"/>
    <w:tmpl w:val="73ACFAD8"/>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pStyle w:val="8"/>
      <w:lvlText w:val="%5)"/>
      <w:lvlJc w:val="left"/>
      <w:pPr>
        <w:tabs>
          <w:tab w:val="left" w:pos="1008"/>
        </w:tabs>
        <w:ind w:left="1008" w:hanging="432"/>
      </w:pPr>
    </w:lvl>
    <w:lvl w:ilvl="5" w:tentative="0">
      <w:start w:val="1"/>
      <w:numFmt w:val="lowerLetter"/>
      <w:pStyle w:val="9"/>
      <w:lvlText w:val="%6)"/>
      <w:lvlJc w:val="left"/>
      <w:pPr>
        <w:tabs>
          <w:tab w:val="left" w:pos="1152"/>
        </w:tabs>
        <w:ind w:left="1152" w:hanging="432"/>
      </w:pPr>
    </w:lvl>
    <w:lvl w:ilvl="6" w:tentative="0">
      <w:start w:val="1"/>
      <w:numFmt w:val="lowerRoman"/>
      <w:pStyle w:val="10"/>
      <w:lvlText w:val="%7)"/>
      <w:lvlJc w:val="right"/>
      <w:pPr>
        <w:tabs>
          <w:tab w:val="left" w:pos="1296"/>
        </w:tabs>
        <w:ind w:left="1296" w:hanging="288"/>
      </w:pPr>
    </w:lvl>
    <w:lvl w:ilvl="7" w:tentative="0">
      <w:start w:val="1"/>
      <w:numFmt w:val="lowerLetter"/>
      <w:pStyle w:val="11"/>
      <w:lvlText w:val="%8."/>
      <w:lvlJc w:val="left"/>
      <w:pPr>
        <w:tabs>
          <w:tab w:val="left" w:pos="1440"/>
        </w:tabs>
        <w:ind w:left="1440" w:hanging="432"/>
      </w:pPr>
    </w:lvl>
    <w:lvl w:ilvl="8" w:tentative="0">
      <w:start w:val="1"/>
      <w:numFmt w:val="lowerRoman"/>
      <w:pStyle w:val="12"/>
      <w:lvlText w:val="%9."/>
      <w:lvlJc w:val="right"/>
      <w:pPr>
        <w:tabs>
          <w:tab w:val="left"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zI0OWU1YTNhYzg5NGIwMjFkN2U1MzVhZjVmNzUifQ=="/>
  </w:docVars>
  <w:rsids>
    <w:rsidRoot w:val="7BBC15D0"/>
    <w:rsid w:val="052C6A8B"/>
    <w:rsid w:val="07480DA2"/>
    <w:rsid w:val="0F8D39DE"/>
    <w:rsid w:val="1B21475B"/>
    <w:rsid w:val="1D7F782C"/>
    <w:rsid w:val="26AD55EE"/>
    <w:rsid w:val="28374DB3"/>
    <w:rsid w:val="2D5D1A8A"/>
    <w:rsid w:val="3327119C"/>
    <w:rsid w:val="413835C5"/>
    <w:rsid w:val="43F42913"/>
    <w:rsid w:val="662F356D"/>
    <w:rsid w:val="67BFB1A7"/>
    <w:rsid w:val="6B2F53F9"/>
    <w:rsid w:val="6E191310"/>
    <w:rsid w:val="700D3938"/>
    <w:rsid w:val="717D13ED"/>
    <w:rsid w:val="7BBC15D0"/>
    <w:rsid w:val="7E487E75"/>
    <w:rsid w:val="BFCFEE77"/>
    <w:rsid w:val="D8ED8EF8"/>
    <w:rsid w:val="EFED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20" w:lineRule="atLeast"/>
      <w:ind w:firstLine="454"/>
      <w:jc w:val="both"/>
      <w:textAlignment w:val="baseline"/>
    </w:pPr>
    <w:rPr>
      <w:rFonts w:ascii="Times New Roman" w:hAnsi="Times New Roman" w:eastAsia="宋体" w:cs="Times New Roman"/>
      <w:sz w:val="21"/>
      <w:szCs w:val="22"/>
      <w:lang w:val="en-US" w:eastAsia="zh-CN" w:bidi="ar-SA"/>
    </w:rPr>
  </w:style>
  <w:style w:type="paragraph" w:styleId="3">
    <w:name w:val="heading 1"/>
    <w:basedOn w:val="1"/>
    <w:next w:val="1"/>
    <w:link w:val="18"/>
    <w:qFormat/>
    <w:uiPriority w:val="0"/>
    <w:pPr>
      <w:keepNext/>
      <w:numPr>
        <w:ilvl w:val="0"/>
        <w:numId w:val="1"/>
      </w:numPr>
      <w:autoSpaceDE w:val="0"/>
      <w:autoSpaceDN w:val="0"/>
      <w:adjustRightInd w:val="0"/>
      <w:jc w:val="left"/>
      <w:textAlignment w:val="baseline"/>
      <w:outlineLvl w:val="0"/>
    </w:pPr>
    <w:rPr>
      <w:rFonts w:ascii="宋体" w:hAnsi="宋体" w:eastAsia="宋体" w:cs="Times New Roman"/>
      <w:color w:val="000000"/>
      <w:kern w:val="0"/>
      <w:sz w:val="30"/>
      <w:szCs w:val="20"/>
    </w:rPr>
  </w:style>
  <w:style w:type="paragraph" w:styleId="4">
    <w:name w:val="heading 2"/>
    <w:basedOn w:val="1"/>
    <w:next w:val="1"/>
    <w:link w:val="19"/>
    <w:semiHidden/>
    <w:unhideWhenUsed/>
    <w:qFormat/>
    <w:uiPriority w:val="0"/>
    <w:pPr>
      <w:keepNext/>
      <w:keepLines/>
      <w:numPr>
        <w:ilvl w:val="1"/>
        <w:numId w:val="1"/>
      </w:numPr>
      <w:autoSpaceDE w:val="0"/>
      <w:autoSpaceDN w:val="0"/>
      <w:adjustRightInd w:val="0"/>
      <w:spacing w:before="260" w:after="260" w:line="415" w:lineRule="auto"/>
      <w:jc w:val="left"/>
      <w:textAlignment w:val="baseline"/>
      <w:outlineLvl w:val="1"/>
    </w:pPr>
    <w:rPr>
      <w:rFonts w:ascii="Arial" w:hAnsi="Arial" w:eastAsia="宋体" w:cs="Times New Roman"/>
      <w:bCs/>
      <w:kern w:val="0"/>
      <w:sz w:val="28"/>
      <w:szCs w:val="32"/>
    </w:rPr>
  </w:style>
  <w:style w:type="paragraph" w:styleId="5">
    <w:name w:val="heading 3"/>
    <w:basedOn w:val="1"/>
    <w:next w:val="1"/>
    <w:link w:val="20"/>
    <w:semiHidden/>
    <w:unhideWhenUsed/>
    <w:qFormat/>
    <w:uiPriority w:val="0"/>
    <w:pPr>
      <w:keepNext/>
      <w:keepLines/>
      <w:spacing w:before="260" w:after="260" w:line="416" w:lineRule="auto"/>
      <w:outlineLvl w:val="2"/>
    </w:pPr>
    <w:rPr>
      <w:rFonts w:ascii="Times New Roman" w:hAnsi="Times New Roman" w:eastAsia="宋体" w:cs="Times New Roman"/>
      <w:b/>
      <w:bCs/>
      <w:sz w:val="24"/>
      <w:szCs w:val="32"/>
    </w:rPr>
  </w:style>
  <w:style w:type="paragraph" w:styleId="6">
    <w:name w:val="heading 4"/>
    <w:basedOn w:val="1"/>
    <w:next w:val="7"/>
    <w:link w:val="21"/>
    <w:semiHidden/>
    <w:unhideWhenUsed/>
    <w:qFormat/>
    <w:uiPriority w:val="0"/>
    <w:pPr>
      <w:keepNext/>
      <w:keepLines/>
      <w:spacing w:before="280" w:after="290" w:line="376" w:lineRule="auto"/>
      <w:outlineLvl w:val="3"/>
    </w:pPr>
    <w:rPr>
      <w:rFonts w:asciiTheme="majorAscii" w:hAnsiTheme="majorAscii" w:eastAsiaTheme="majorEastAsia" w:cstheme="majorBidi"/>
      <w:bCs/>
      <w:sz w:val="24"/>
      <w:szCs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432"/>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43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288"/>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43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44"/>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报告正文1"/>
    <w:basedOn w:val="1"/>
    <w:qFormat/>
    <w:uiPriority w:val="0"/>
    <w:pPr>
      <w:spacing w:line="400" w:lineRule="exact"/>
      <w:ind w:firstLine="200" w:firstLineChars="200"/>
    </w:pPr>
    <w:rPr>
      <w:rFonts w:ascii="宋体" w:hAnsi="宋体"/>
      <w:bCs/>
      <w:szCs w:val="21"/>
    </w:rPr>
  </w:style>
  <w:style w:type="paragraph" w:styleId="7">
    <w:name w:val="Normal Indent"/>
    <w:basedOn w:val="1"/>
    <w:qFormat/>
    <w:uiPriority w:val="0"/>
    <w:pPr>
      <w:ind w:firstLine="420" w:firstLineChars="200"/>
    </w:pPr>
  </w:style>
  <w:style w:type="paragraph" w:styleId="13">
    <w:name w:val="toa heading"/>
    <w:basedOn w:val="1"/>
    <w:next w:val="1"/>
    <w:unhideWhenUsed/>
    <w:qFormat/>
    <w:uiPriority w:val="99"/>
    <w:pPr>
      <w:spacing w:before="120"/>
    </w:pPr>
    <w:rPr>
      <w:rFonts w:ascii="Cambria" w:hAnsi="Cambria"/>
    </w:rPr>
  </w:style>
  <w:style w:type="paragraph" w:styleId="14">
    <w:name w:val="annotation text"/>
    <w:basedOn w:val="1"/>
    <w:qFormat/>
    <w:uiPriority w:val="0"/>
  </w:style>
  <w:style w:type="paragraph" w:styleId="15">
    <w:name w:val="Body Text Indent 2"/>
    <w:basedOn w:val="1"/>
    <w:qFormat/>
    <w:uiPriority w:val="0"/>
    <w:pPr>
      <w:autoSpaceDE w:val="0"/>
      <w:autoSpaceDN w:val="0"/>
      <w:spacing w:line="240" w:lineRule="auto"/>
      <w:ind w:firstLine="480" w:firstLineChars="200"/>
    </w:pPr>
    <w:rPr>
      <w:rFonts w:ascii="仿宋_GB2312" w:eastAsia="仿宋_GB2312"/>
      <w:sz w:val="24"/>
      <w:szCs w:val="20"/>
    </w:rPr>
  </w:style>
  <w:style w:type="character" w:customStyle="1" w:styleId="18">
    <w:name w:val="标题 1 字符"/>
    <w:link w:val="3"/>
    <w:qFormat/>
    <w:locked/>
    <w:uiPriority w:val="99"/>
    <w:rPr>
      <w:rFonts w:ascii="宋体" w:hAnsi="宋体" w:eastAsia="宋体" w:cs="Times New Roman"/>
      <w:color w:val="000000"/>
      <w:sz w:val="30"/>
    </w:rPr>
  </w:style>
  <w:style w:type="character" w:customStyle="1" w:styleId="19">
    <w:name w:val="标题 2 字符"/>
    <w:link w:val="4"/>
    <w:qFormat/>
    <w:locked/>
    <w:uiPriority w:val="99"/>
    <w:rPr>
      <w:rFonts w:ascii="Arial" w:hAnsi="Arial" w:eastAsia="宋体" w:cs="Times New Roman"/>
      <w:b/>
      <w:bCs/>
      <w:sz w:val="28"/>
      <w:szCs w:val="32"/>
    </w:rPr>
  </w:style>
  <w:style w:type="character" w:customStyle="1" w:styleId="20">
    <w:name w:val="标题 3 字符"/>
    <w:link w:val="5"/>
    <w:qFormat/>
    <w:locked/>
    <w:uiPriority w:val="99"/>
    <w:rPr>
      <w:rFonts w:ascii="Times New Roman" w:hAnsi="Times New Roman" w:eastAsia="宋体" w:cs="Times New Roman"/>
      <w:b/>
      <w:bCs/>
      <w:sz w:val="24"/>
      <w:szCs w:val="32"/>
    </w:rPr>
  </w:style>
  <w:style w:type="character" w:customStyle="1" w:styleId="21">
    <w:name w:val="标题 4 字符"/>
    <w:link w:val="6"/>
    <w:qFormat/>
    <w:locked/>
    <w:uiPriority w:val="99"/>
    <w:rPr>
      <w:rFonts w:ascii="Arial" w:hAnsi="Arial" w:eastAsia="宋体" w:cs="Times New Roman"/>
      <w:kern w:val="2"/>
      <w:sz w:val="24"/>
    </w:rPr>
  </w:style>
  <w:style w:type="paragraph" w:styleId="22">
    <w:name w:val="List Paragraph"/>
    <w:basedOn w:val="1"/>
    <w:qFormat/>
    <w:uiPriority w:val="34"/>
    <w:pPr>
      <w:ind w:firstLine="420" w:firstLineChars="200"/>
    </w:pPr>
  </w:style>
  <w:style w:type="paragraph" w:customStyle="1" w:styleId="23">
    <w:name w:val="Table Paragraph"/>
    <w:basedOn w:val="1"/>
    <w:qFormat/>
    <w:uiPriority w:val="0"/>
    <w:pPr>
      <w:autoSpaceDE w:val="0"/>
      <w:autoSpaceDN w:val="0"/>
      <w:adjustRightInd w:val="0"/>
      <w:jc w:val="left"/>
    </w:pPr>
    <w:rPr>
      <w:rFonts w:ascii="宋体" w:cs="宋体"/>
      <w:kern w:val="0"/>
      <w:sz w:val="24"/>
    </w:rPr>
  </w:style>
  <w:style w:type="paragraph" w:customStyle="1" w:styleId="24">
    <w:name w:val="标题 Char Char"/>
    <w:basedOn w:val="25"/>
    <w:qFormat/>
    <w:uiPriority w:val="0"/>
    <w:pPr>
      <w:jc w:val="center"/>
      <w:outlineLvl w:val="0"/>
    </w:pPr>
    <w:rPr>
      <w:rFonts w:ascii="Arial" w:hAnsi="Arial" w:cs="Arial"/>
      <w:b/>
      <w:bCs/>
      <w:sz w:val="32"/>
      <w:szCs w:val="32"/>
    </w:rPr>
  </w:style>
  <w:style w:type="paragraph" w:customStyle="1" w:styleId="25">
    <w:name w:val="正文 New New New New New New New New New New New New New New New New New New New New New New New New New New New New New New New New New New New New New New New New New New New New New New New New New"/>
    <w:next w:val="24"/>
    <w:qFormat/>
    <w:uiPriority w:val="0"/>
    <w:pPr>
      <w:adjustRightInd w:val="0"/>
      <w:snapToGrid w:val="0"/>
      <w:spacing w:after="200"/>
    </w:pPr>
    <w:rPr>
      <w:rFonts w:ascii="Tahoma" w:hAnsi="Tahoma" w:eastAsia="宋体" w:cs="Times New Roman"/>
      <w:sz w:val="22"/>
      <w:szCs w:val="22"/>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7428</Words>
  <Characters>7873</Characters>
  <Lines>0</Lines>
  <Paragraphs>0</Paragraphs>
  <TotalTime>3</TotalTime>
  <ScaleCrop>false</ScaleCrop>
  <LinksUpToDate>false</LinksUpToDate>
  <CharactersWithSpaces>7953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2023-05-10T18:17:00Z</dcterms:created>
  <dc:creator>候凯</dc:creator>
  <cp:lastModifiedBy>ysgz</cp:lastModifiedBy>
  <dcterms:modified xsi:type="dcterms:W3CDTF">2023-05-11T12:18:00Z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71F5E001FB0B43CAA2492B78A9069EE2_11</vt:lpwstr>
  </property>
</Properties>
</file>