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bidi w:val="0"/>
        <w:spacing w:line="360" w:lineRule="auto"/>
        <w:jc w:val="center"/>
        <w:outlineLvl w:val="3"/>
        <w:rPr>
          <w:rFonts w:hint="eastAsia" w:ascii="宋体" w:hAnsi="宋体"/>
          <w:b/>
          <w:bCs/>
          <w:color w:val="auto"/>
          <w:sz w:val="27"/>
          <w:szCs w:val="27"/>
          <w:highlight w:val="none"/>
        </w:rPr>
      </w:pPr>
    </w:p>
    <w:p>
      <w:pPr>
        <w:keepLines w:val="0"/>
        <w:pageBreakBefore w:val="0"/>
        <w:bidi w:val="0"/>
        <w:spacing w:line="360" w:lineRule="auto"/>
        <w:jc w:val="center"/>
        <w:outlineLvl w:val="3"/>
        <w:rPr>
          <w:rFonts w:hint="eastAsia" w:ascii="宋体" w:hAnsi="宋体" w:eastAsia="宋体" w:cs="Times New Roman"/>
          <w:b w:val="0"/>
          <w:bCs w:val="0"/>
          <w:color w:val="auto"/>
          <w:sz w:val="24"/>
          <w:szCs w:val="24"/>
          <w:highlight w:val="none"/>
          <w:lang w:val="en-US" w:eastAsia="zh-CN" w:bidi="ar-SA"/>
        </w:rPr>
      </w:pPr>
      <w:r>
        <w:rPr>
          <w:rFonts w:hint="eastAsia" w:ascii="宋体" w:hAnsi="宋体"/>
          <w:b/>
          <w:bCs/>
          <w:color w:val="auto"/>
          <w:sz w:val="27"/>
          <w:szCs w:val="27"/>
          <w:highlight w:val="none"/>
        </w:rPr>
        <w:t>附录1</w:t>
      </w:r>
      <w:r>
        <w:rPr>
          <w:rFonts w:hint="eastAsia" w:ascii="宋体" w:hAnsi="宋体"/>
          <w:b/>
          <w:bCs/>
          <w:color w:val="auto"/>
          <w:sz w:val="27"/>
          <w:szCs w:val="27"/>
          <w:highlight w:val="none"/>
          <w:lang w:val="en-US" w:eastAsia="zh-CN"/>
        </w:rPr>
        <w:t xml:space="preserve">  </w:t>
      </w:r>
      <w:r>
        <w:rPr>
          <w:rFonts w:hint="eastAsia" w:ascii="宋体" w:hAnsi="宋体"/>
          <w:b/>
          <w:bCs/>
          <w:color w:val="auto"/>
          <w:sz w:val="27"/>
          <w:szCs w:val="27"/>
          <w:highlight w:val="none"/>
        </w:rPr>
        <w:t>资格审查条件（资质最低要求）</w:t>
      </w:r>
    </w:p>
    <w:tbl>
      <w:tblPr>
        <w:tblStyle w:val="1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0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040" w:type="dxa"/>
            <w:tcBorders>
              <w:tl2br w:val="nil"/>
              <w:tr2bl w:val="nil"/>
            </w:tcBorders>
            <w:noWrap w:val="0"/>
            <w:vAlign w:val="center"/>
          </w:tcPr>
          <w:p>
            <w:pPr>
              <w:keepLines w:val="0"/>
              <w:pageBreakBefore w:val="0"/>
              <w:bidi w:val="0"/>
              <w:spacing w:line="360" w:lineRule="auto"/>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资质等级要求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72" w:hRule="atLeast"/>
          <w:jc w:val="center"/>
        </w:trPr>
        <w:tc>
          <w:tcPr>
            <w:tcW w:w="9040" w:type="dxa"/>
            <w:tcBorders>
              <w:tl2br w:val="nil"/>
              <w:tr2bl w:val="nil"/>
            </w:tcBorders>
            <w:noWrap w:val="0"/>
            <w:vAlign w:val="center"/>
          </w:tcPr>
          <w:p>
            <w:pPr>
              <w:keepNext w:val="0"/>
              <w:keepLines w:val="0"/>
              <w:pageBreakBefore w:val="0"/>
              <w:widowControl w:val="0"/>
              <w:numPr>
                <w:ilvl w:val="0"/>
                <w:numId w:val="2"/>
              </w:numPr>
              <w:kinsoku/>
              <w:wordWrap/>
              <w:topLinePunct w:val="0"/>
              <w:autoSpaceDE/>
              <w:autoSpaceDN/>
              <w:bidi w:val="0"/>
              <w:adjustRightInd w:val="0"/>
              <w:spacing w:line="360" w:lineRule="auto"/>
              <w:ind w:firstLine="480" w:firstLineChars="200"/>
              <w:jc w:val="both"/>
              <w:rPr>
                <w:rFonts w:hint="eastAsia"/>
                <w:color w:val="auto"/>
                <w:sz w:val="24"/>
                <w:szCs w:val="27"/>
                <w:highlight w:val="none"/>
              </w:rPr>
            </w:pPr>
            <w:r>
              <w:rPr>
                <w:rFonts w:hint="eastAsia"/>
                <w:color w:val="auto"/>
                <w:sz w:val="24"/>
                <w:szCs w:val="27"/>
                <w:highlight w:val="none"/>
              </w:rPr>
              <w:t>投标人应具有工商行政管理部门核发的有效的企业法人营业执照或者合法有效的事业单位法人证书。</w:t>
            </w:r>
          </w:p>
          <w:p>
            <w:pPr>
              <w:keepNext w:val="0"/>
              <w:keepLines w:val="0"/>
              <w:pageBreakBefore w:val="0"/>
              <w:widowControl w:val="0"/>
              <w:numPr>
                <w:ilvl w:val="0"/>
                <w:numId w:val="2"/>
              </w:numPr>
              <w:kinsoku/>
              <w:wordWrap/>
              <w:topLinePunct w:val="0"/>
              <w:autoSpaceDE/>
              <w:autoSpaceDN/>
              <w:bidi w:val="0"/>
              <w:adjustRightInd w:val="0"/>
              <w:spacing w:line="360" w:lineRule="auto"/>
              <w:ind w:firstLine="480" w:firstLineChars="200"/>
              <w:jc w:val="both"/>
              <w:rPr>
                <w:rFonts w:hint="eastAsia" w:ascii="黑体" w:hAnsi="黑体" w:eastAsia="黑体" w:cs="黑体"/>
                <w:color w:val="auto"/>
                <w:sz w:val="24"/>
                <w:highlight w:val="none"/>
              </w:rPr>
            </w:pPr>
            <w:r>
              <w:rPr>
                <w:rFonts w:hint="eastAsia"/>
                <w:color w:val="auto"/>
                <w:sz w:val="24"/>
                <w:szCs w:val="27"/>
                <w:highlight w:val="none"/>
                <w:lang w:val="en-US" w:eastAsia="zh-CN"/>
              </w:rPr>
              <w:t>具备交通运输部颁发的公路工程试验检测机构综合类甲级资质或具备公路工程试验检测机构桥梁隧道工程专项资质。</w:t>
            </w:r>
            <w:r>
              <w:rPr>
                <w:rFonts w:hint="eastAsia"/>
                <w:color w:val="auto"/>
                <w:sz w:val="24"/>
                <w:szCs w:val="27"/>
                <w:highlight w:val="none"/>
              </w:rPr>
              <w:t>（试验检测资质证书上写明的试验检测机构可以是投标人的不具有独立法人资格的附属机构）；</w:t>
            </w:r>
          </w:p>
          <w:p>
            <w:pPr>
              <w:keepNext w:val="0"/>
              <w:keepLines w:val="0"/>
              <w:pageBreakBefore w:val="0"/>
              <w:widowControl w:val="0"/>
              <w:numPr>
                <w:ilvl w:val="0"/>
                <w:numId w:val="2"/>
              </w:numPr>
              <w:kinsoku/>
              <w:wordWrap/>
              <w:topLinePunct w:val="0"/>
              <w:autoSpaceDE/>
              <w:autoSpaceDN/>
              <w:bidi w:val="0"/>
              <w:adjustRightInd w:val="0"/>
              <w:spacing w:line="360" w:lineRule="auto"/>
              <w:ind w:firstLine="480" w:firstLineChars="200"/>
              <w:jc w:val="both"/>
              <w:rPr>
                <w:rFonts w:hint="eastAsia" w:ascii="黑体" w:hAnsi="黑体" w:eastAsia="黑体" w:cs="黑体"/>
                <w:color w:val="auto"/>
                <w:sz w:val="24"/>
                <w:highlight w:val="none"/>
              </w:rPr>
            </w:pPr>
            <w:r>
              <w:rPr>
                <w:rFonts w:hint="eastAsia"/>
                <w:color w:val="auto"/>
                <w:sz w:val="24"/>
                <w:szCs w:val="27"/>
                <w:highlight w:val="none"/>
              </w:rPr>
              <w:t>具有质量技术监督部门</w:t>
            </w:r>
            <w:r>
              <w:rPr>
                <w:rFonts w:hint="eastAsia" w:ascii="宋体" w:hAnsi="宋体" w:cs="宋体"/>
                <w:color w:val="auto"/>
                <w:sz w:val="24"/>
                <w:highlight w:val="none"/>
                <w:lang w:val="en-US" w:eastAsia="zh-CN"/>
              </w:rPr>
              <w:t>或行政部门颁发的</w:t>
            </w:r>
            <w:r>
              <w:rPr>
                <w:rFonts w:hint="eastAsia" w:ascii="宋体" w:hAnsi="宋体" w:eastAsia="宋体" w:cs="宋体"/>
                <w:color w:val="auto"/>
                <w:sz w:val="24"/>
                <w:highlight w:val="none"/>
              </w:rPr>
              <w:t>有效的计量认证证书</w:t>
            </w:r>
            <w:r>
              <w:rPr>
                <w:rFonts w:hint="eastAsia" w:ascii="宋体" w:hAnsi="宋体" w:cs="宋体"/>
                <w:color w:val="auto"/>
                <w:sz w:val="24"/>
                <w:highlight w:val="none"/>
                <w:lang w:eastAsia="zh-CN"/>
              </w:rPr>
              <w:t>（或资质认定证书</w:t>
            </w:r>
            <w:r>
              <w:rPr>
                <w:rFonts w:hint="default" w:ascii="宋体" w:hAnsi="宋体" w:cs="宋体"/>
                <w:color w:val="auto"/>
                <w:sz w:val="24"/>
                <w:highlight w:val="none"/>
                <w:lang w:eastAsia="zh-CN"/>
              </w:rPr>
              <w:t>）（</w:t>
            </w:r>
            <w:r>
              <w:rPr>
                <w:rFonts w:hint="eastAsia" w:ascii="宋体" w:hAnsi="宋体" w:cs="宋体"/>
                <w:color w:val="auto"/>
                <w:sz w:val="24"/>
                <w:highlight w:val="none"/>
                <w:lang w:val="en-US" w:eastAsia="zh-CN"/>
              </w:rPr>
              <w:t>CMA)</w:t>
            </w:r>
            <w:r>
              <w:rPr>
                <w:color w:val="auto"/>
                <w:sz w:val="24"/>
                <w:szCs w:val="27"/>
                <w:highlight w:val="none"/>
              </w:rPr>
              <w:t>，并且合法有效</w:t>
            </w:r>
            <w:r>
              <w:rPr>
                <w:rFonts w:hint="eastAsia"/>
                <w:color w:val="auto"/>
                <w:sz w:val="24"/>
                <w:szCs w:val="27"/>
                <w:highlight w:val="none"/>
                <w:lang w:eastAsia="zh-CN"/>
              </w:rPr>
              <w:t>，</w:t>
            </w:r>
            <w:r>
              <w:rPr>
                <w:rFonts w:hint="eastAsia" w:ascii="宋体" w:hAnsi="宋体" w:eastAsia="宋体" w:cs="宋体"/>
                <w:color w:val="auto"/>
                <w:kern w:val="0"/>
                <w:sz w:val="24"/>
                <w:szCs w:val="24"/>
                <w:highlight w:val="none"/>
                <w:lang w:val="en-US" w:eastAsia="zh-CN" w:bidi="ar"/>
              </w:rPr>
              <w:t>计量认证证书附表（或资质认定证书附表）所列计量认证参数须涵盖本次招标所需的全部内容。</w:t>
            </w:r>
          </w:p>
          <w:p>
            <w:pPr>
              <w:keepNext w:val="0"/>
              <w:keepLines w:val="0"/>
              <w:pageBreakBefore w:val="0"/>
              <w:widowControl w:val="0"/>
              <w:numPr>
                <w:ilvl w:val="0"/>
                <w:numId w:val="2"/>
              </w:numPr>
              <w:kinsoku/>
              <w:wordWrap/>
              <w:topLinePunct w:val="0"/>
              <w:autoSpaceDE/>
              <w:autoSpaceDN/>
              <w:bidi w:val="0"/>
              <w:adjustRightInd w:val="0"/>
              <w:spacing w:line="360" w:lineRule="auto"/>
              <w:ind w:firstLine="480" w:firstLineChars="200"/>
              <w:jc w:val="both"/>
              <w:rPr>
                <w:rFonts w:hint="eastAsia" w:ascii="黑体" w:hAnsi="黑体" w:eastAsia="黑体" w:cs="黑体"/>
                <w:color w:val="auto"/>
                <w:sz w:val="24"/>
                <w:highlight w:val="none"/>
              </w:rPr>
            </w:pPr>
            <w:r>
              <w:rPr>
                <w:rFonts w:hint="eastAsia" w:ascii="宋体" w:hAnsi="宋体" w:eastAsia="宋体" w:cs="宋体"/>
                <w:color w:val="auto"/>
                <w:kern w:val="0"/>
                <w:sz w:val="24"/>
                <w:szCs w:val="24"/>
                <w:highlight w:val="none"/>
                <w:lang w:val="en-US" w:eastAsia="zh-CN" w:bidi="ar"/>
              </w:rPr>
              <w:t>投标人应进入“公路水运工程试验检测管理信息系统</w:t>
            </w:r>
            <w:bookmarkStart w:id="8" w:name="_GoBack"/>
            <w:bookmarkEnd w:id="8"/>
            <w:r>
              <w:rPr>
                <w:rFonts w:hint="eastAsia" w:ascii="宋体" w:hAnsi="宋体" w:eastAsia="宋体" w:cs="宋体"/>
                <w:color w:val="auto"/>
                <w:kern w:val="0"/>
                <w:sz w:val="24"/>
                <w:szCs w:val="24"/>
                <w:highlight w:val="none"/>
                <w:lang w:val="en-US" w:eastAsia="zh-CN" w:bidi="ar"/>
              </w:rPr>
              <w:t>”中的试验检测机构列表，且投标人名称和资质与该列表中的相应企业名称和资质完全一致。</w:t>
            </w:r>
          </w:p>
        </w:tc>
      </w:tr>
    </w:tbl>
    <w:p>
      <w:pPr>
        <w:keepLines w:val="0"/>
        <w:pageBreakBefore w:val="0"/>
        <w:bidi w:val="0"/>
        <w:spacing w:line="360" w:lineRule="auto"/>
        <w:jc w:val="center"/>
        <w:rPr>
          <w:rFonts w:hint="eastAsia" w:ascii="宋体" w:hAnsi="宋体"/>
          <w:iCs/>
          <w:snapToGrid w:val="0"/>
          <w:color w:val="auto"/>
          <w:kern w:val="0"/>
          <w:szCs w:val="21"/>
          <w:highlight w:val="none"/>
        </w:rPr>
      </w:pPr>
    </w:p>
    <w:p>
      <w:pPr>
        <w:pStyle w:val="23"/>
        <w:keepLines w:val="0"/>
        <w:pageBreakBefore w:val="0"/>
        <w:bidi w:val="0"/>
        <w:spacing w:line="360" w:lineRule="auto"/>
        <w:outlineLvl w:val="9"/>
        <w:rPr>
          <w:color w:val="auto"/>
          <w:highlight w:val="none"/>
        </w:rPr>
      </w:pPr>
    </w:p>
    <w:p>
      <w:pPr>
        <w:keepLines w:val="0"/>
        <w:pageBreakBefore w:val="0"/>
        <w:bidi w:val="0"/>
        <w:spacing w:line="360" w:lineRule="auto"/>
        <w:jc w:val="center"/>
        <w:outlineLvl w:val="3"/>
        <w:rPr>
          <w:rFonts w:hint="eastAsia" w:ascii="宋体" w:hAnsi="宋体"/>
          <w:b/>
          <w:bCs/>
          <w:color w:val="auto"/>
          <w:sz w:val="27"/>
          <w:szCs w:val="27"/>
          <w:highlight w:val="none"/>
        </w:rPr>
      </w:pPr>
      <w:r>
        <w:rPr>
          <w:rFonts w:hint="eastAsia" w:ascii="宋体" w:hAnsi="宋体"/>
          <w:b/>
          <w:bCs/>
          <w:color w:val="auto"/>
          <w:sz w:val="27"/>
          <w:szCs w:val="27"/>
          <w:highlight w:val="none"/>
          <w:lang w:val="en-US" w:eastAsia="zh-CN"/>
        </w:rPr>
        <w:br w:type="page"/>
      </w:r>
      <w:r>
        <w:rPr>
          <w:rFonts w:hint="eastAsia" w:ascii="宋体" w:hAnsi="宋体"/>
          <w:b/>
          <w:bCs/>
          <w:color w:val="auto"/>
          <w:sz w:val="27"/>
          <w:szCs w:val="27"/>
          <w:highlight w:val="none"/>
          <w:lang w:val="en-US" w:eastAsia="zh-CN"/>
        </w:rPr>
        <w:t xml:space="preserve">附录2  </w:t>
      </w:r>
      <w:r>
        <w:rPr>
          <w:rFonts w:hint="eastAsia" w:ascii="宋体" w:hAnsi="宋体"/>
          <w:b/>
          <w:bCs/>
          <w:color w:val="auto"/>
          <w:sz w:val="27"/>
          <w:szCs w:val="27"/>
          <w:highlight w:val="none"/>
        </w:rPr>
        <w:t>资格审查条件（业绩要求）</w:t>
      </w:r>
    </w:p>
    <w:tbl>
      <w:tblPr>
        <w:tblStyle w:val="1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1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32" w:hRule="atLeast"/>
          <w:jc w:val="center"/>
        </w:trPr>
        <w:tc>
          <w:tcPr>
            <w:tcW w:w="9120" w:type="dxa"/>
            <w:tcBorders>
              <w:tl2br w:val="nil"/>
              <w:tr2bl w:val="nil"/>
            </w:tcBorders>
            <w:noWrap w:val="0"/>
            <w:vAlign w:val="center"/>
          </w:tcPr>
          <w:p>
            <w:pPr>
              <w:keepLines w:val="0"/>
              <w:pageBreakBefore w:val="0"/>
              <w:bidi w:val="0"/>
              <w:spacing w:line="360" w:lineRule="auto"/>
              <w:jc w:val="center"/>
              <w:rPr>
                <w:rFonts w:hint="eastAsia" w:ascii="黑体" w:hAnsi="黑体" w:eastAsia="黑体" w:cs="黑体"/>
                <w:b/>
                <w:color w:val="auto"/>
                <w:sz w:val="24"/>
                <w:highlight w:val="none"/>
              </w:rPr>
            </w:pPr>
            <w:r>
              <w:rPr>
                <w:rFonts w:hint="eastAsia" w:ascii="黑体" w:hAnsi="黑体" w:eastAsia="黑体" w:cs="黑体"/>
                <w:b/>
                <w:color w:val="auto"/>
                <w:sz w:val="24"/>
                <w:highlight w:val="none"/>
              </w:rPr>
              <w:t>业绩要求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804" w:hRule="atLeast"/>
          <w:jc w:val="center"/>
        </w:trPr>
        <w:tc>
          <w:tcPr>
            <w:tcW w:w="9120" w:type="dxa"/>
            <w:tcBorders>
              <w:tl2br w:val="nil"/>
              <w:tr2bl w:val="nil"/>
            </w:tcBorders>
            <w:noWrap w:val="0"/>
            <w:vAlign w:val="center"/>
          </w:tcPr>
          <w:p>
            <w:pPr>
              <w:keepLines w:val="0"/>
              <w:pageBreakBefore w:val="0"/>
              <w:bidi w:val="0"/>
              <w:adjustRightInd w:val="0"/>
              <w:snapToGrid w:val="0"/>
              <w:spacing w:line="360" w:lineRule="auto"/>
              <w:ind w:firstLine="550" w:firstLineChars="250"/>
              <w:jc w:val="both"/>
              <w:rPr>
                <w:rFonts w:hint="eastAsia" w:ascii="黑体" w:hAnsi="黑体" w:eastAsia="黑体" w:cs="黑体"/>
                <w:color w:val="auto"/>
                <w:szCs w:val="21"/>
                <w:highlight w:val="none"/>
              </w:rPr>
            </w:pPr>
            <w:r>
              <w:rPr>
                <w:rFonts w:hint="eastAsia" w:ascii="黑体" w:hAnsi="黑体" w:eastAsia="黑体" w:cs="黑体"/>
                <w:color w:val="auto"/>
                <w:sz w:val="22"/>
                <w:highlight w:val="none"/>
              </w:rPr>
              <w:t>本项目对</w:t>
            </w:r>
            <w:r>
              <w:rPr>
                <w:rFonts w:hint="eastAsia" w:ascii="黑体" w:hAnsi="黑体" w:eastAsia="黑体" w:cs="黑体"/>
                <w:color w:val="auto"/>
                <w:sz w:val="22"/>
                <w:highlight w:val="none"/>
                <w:lang w:eastAsia="zh-CN"/>
              </w:rPr>
              <w:t>投标人的单位</w:t>
            </w:r>
            <w:r>
              <w:rPr>
                <w:rFonts w:hint="eastAsia" w:ascii="黑体" w:hAnsi="黑体" w:eastAsia="黑体" w:cs="黑体"/>
                <w:color w:val="auto"/>
                <w:sz w:val="22"/>
                <w:highlight w:val="none"/>
              </w:rPr>
              <w:t>业绩不作为资格审查条件。</w:t>
            </w:r>
          </w:p>
        </w:tc>
      </w:tr>
    </w:tbl>
    <w:p>
      <w:pPr>
        <w:pStyle w:val="23"/>
        <w:keepLines w:val="0"/>
        <w:pageBreakBefore w:val="0"/>
        <w:bidi w:val="0"/>
        <w:spacing w:line="360" w:lineRule="auto"/>
        <w:outlineLvl w:val="9"/>
        <w:rPr>
          <w:color w:val="auto"/>
          <w:highlight w:val="none"/>
        </w:rPr>
      </w:pPr>
    </w:p>
    <w:p>
      <w:pPr>
        <w:pStyle w:val="6"/>
        <w:keepLines w:val="0"/>
        <w:pageBreakBefore w:val="0"/>
        <w:bidi w:val="0"/>
        <w:spacing w:line="360" w:lineRule="auto"/>
        <w:jc w:val="center"/>
        <w:outlineLvl w:val="3"/>
        <w:rPr>
          <w:rFonts w:hint="eastAsia" w:ascii="宋体" w:hAnsi="宋体"/>
          <w:b/>
          <w:bCs/>
          <w:color w:val="auto"/>
          <w:sz w:val="27"/>
          <w:szCs w:val="27"/>
          <w:highlight w:val="none"/>
        </w:rPr>
      </w:pPr>
      <w:r>
        <w:rPr>
          <w:rFonts w:hint="eastAsia" w:ascii="宋体" w:hAnsi="宋体"/>
          <w:b/>
          <w:bCs/>
          <w:color w:val="auto"/>
          <w:sz w:val="27"/>
          <w:szCs w:val="27"/>
          <w:highlight w:val="none"/>
        </w:rPr>
        <w:br w:type="page"/>
      </w:r>
      <w:r>
        <w:rPr>
          <w:rFonts w:hint="eastAsia" w:ascii="宋体" w:hAnsi="宋体"/>
          <w:b/>
          <w:bCs/>
          <w:color w:val="auto"/>
          <w:sz w:val="27"/>
          <w:szCs w:val="27"/>
          <w:highlight w:val="none"/>
        </w:rPr>
        <w:t>附录</w:t>
      </w:r>
      <w:r>
        <w:rPr>
          <w:rFonts w:hint="eastAsia" w:ascii="宋体" w:hAnsi="宋体"/>
          <w:b/>
          <w:bCs/>
          <w:color w:val="auto"/>
          <w:sz w:val="27"/>
          <w:szCs w:val="27"/>
          <w:highlight w:val="none"/>
          <w:lang w:val="en-US" w:eastAsia="zh-CN"/>
        </w:rPr>
        <w:t xml:space="preserve">3 </w:t>
      </w:r>
      <w:r>
        <w:rPr>
          <w:rFonts w:hint="eastAsia" w:ascii="宋体" w:hAnsi="宋体"/>
          <w:b/>
          <w:bCs/>
          <w:color w:val="auto"/>
          <w:sz w:val="27"/>
          <w:szCs w:val="27"/>
          <w:highlight w:val="none"/>
        </w:rPr>
        <w:t>资格审查条件（信誉最低要求）</w:t>
      </w:r>
    </w:p>
    <w:tbl>
      <w:tblPr>
        <w:tblStyle w:val="1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73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4" w:hRule="atLeast"/>
          <w:jc w:val="center"/>
        </w:trPr>
        <w:tc>
          <w:tcPr>
            <w:tcW w:w="8730" w:type="dxa"/>
            <w:tcBorders>
              <w:tl2br w:val="nil"/>
              <w:tr2bl w:val="nil"/>
            </w:tcBorders>
            <w:noWrap w:val="0"/>
            <w:vAlign w:val="center"/>
          </w:tcPr>
          <w:p>
            <w:pPr>
              <w:keepLines w:val="0"/>
              <w:pageBreakBefore w:val="0"/>
              <w:bidi w:val="0"/>
              <w:spacing w:line="360" w:lineRule="auto"/>
              <w:jc w:val="center"/>
              <w:rPr>
                <w:rFonts w:hint="eastAsia" w:ascii="黑体" w:hAnsi="黑体" w:eastAsia="黑体" w:cs="黑体"/>
                <w:b/>
                <w:color w:val="auto"/>
                <w:sz w:val="24"/>
                <w:highlight w:val="none"/>
              </w:rPr>
            </w:pPr>
            <w:r>
              <w:rPr>
                <w:rFonts w:hint="eastAsia" w:ascii="黑体" w:hAnsi="黑体" w:eastAsia="黑体" w:cs="黑体"/>
                <w:b/>
                <w:color w:val="auto"/>
                <w:sz w:val="24"/>
                <w:highlight w:val="none"/>
              </w:rPr>
              <w:t>信誉要求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125" w:hRule="atLeast"/>
          <w:jc w:val="center"/>
        </w:trPr>
        <w:tc>
          <w:tcPr>
            <w:tcW w:w="8730" w:type="dxa"/>
            <w:tcBorders>
              <w:tl2br w:val="nil"/>
              <w:tr2bl w:val="nil"/>
            </w:tcBorders>
            <w:noWrap w:val="0"/>
            <w:vAlign w:val="center"/>
          </w:tcPr>
          <w:p>
            <w:pPr>
              <w:keepLines w:val="0"/>
              <w:pageBreakBefore w:val="0"/>
              <w:bidi w:val="0"/>
              <w:snapToGrid w:val="0"/>
              <w:spacing w:before="120" w:beforeLines="50" w:line="360" w:lineRule="auto"/>
              <w:ind w:firstLine="0"/>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投标</w:t>
            </w:r>
            <w:r>
              <w:rPr>
                <w:rFonts w:hint="eastAsia" w:ascii="黑体" w:hAnsi="黑体" w:eastAsia="黑体" w:cs="黑体"/>
                <w:b/>
                <w:bCs/>
                <w:color w:val="auto"/>
                <w:sz w:val="24"/>
                <w:szCs w:val="27"/>
                <w:highlight w:val="none"/>
              </w:rPr>
              <w:t>人不得存在下列不良状况或不良信用记录：</w:t>
            </w:r>
          </w:p>
          <w:p>
            <w:pPr>
              <w:keepLines w:val="0"/>
              <w:pageBreakBefore w:val="0"/>
              <w:bidi w:val="0"/>
              <w:snapToGrid w:val="0"/>
              <w:spacing w:before="120" w:beforeLines="50" w:line="360" w:lineRule="auto"/>
              <w:ind w:firstLine="440" w:firstLineChars="200"/>
              <w:rPr>
                <w:rFonts w:hint="eastAsia" w:ascii="黑体" w:hAnsi="黑体" w:eastAsia="黑体" w:cs="黑体"/>
                <w:bCs/>
                <w:color w:val="auto"/>
                <w:sz w:val="22"/>
                <w:highlight w:val="none"/>
              </w:rPr>
            </w:pPr>
            <w:r>
              <w:rPr>
                <w:rFonts w:hint="eastAsia" w:ascii="黑体" w:hAnsi="黑体" w:eastAsia="黑体" w:cs="黑体"/>
                <w:bCs/>
                <w:color w:val="auto"/>
                <w:sz w:val="22"/>
                <w:highlight w:val="none"/>
              </w:rPr>
              <w:t>（1）被省级及以上交通运输主管部门取消招标项目所在地的投标资格且处于有效期内；</w:t>
            </w:r>
          </w:p>
          <w:p>
            <w:pPr>
              <w:keepLines w:val="0"/>
              <w:pageBreakBefore w:val="0"/>
              <w:bidi w:val="0"/>
              <w:snapToGrid w:val="0"/>
              <w:spacing w:line="360" w:lineRule="auto"/>
              <w:ind w:firstLine="440" w:firstLineChars="200"/>
              <w:rPr>
                <w:rFonts w:hint="eastAsia" w:ascii="黑体" w:hAnsi="黑体" w:eastAsia="黑体" w:cs="黑体"/>
                <w:bCs/>
                <w:color w:val="auto"/>
                <w:sz w:val="22"/>
                <w:highlight w:val="none"/>
              </w:rPr>
            </w:pPr>
            <w:r>
              <w:rPr>
                <w:rFonts w:hint="eastAsia" w:ascii="黑体" w:hAnsi="黑体" w:eastAsia="黑体" w:cs="黑体"/>
                <w:bCs/>
                <w:color w:val="auto"/>
                <w:sz w:val="22"/>
                <w:highlight w:val="none"/>
              </w:rPr>
              <w:t>（2）被责令停业，暂扣或吊销执照，或吊销资质证书；</w:t>
            </w:r>
          </w:p>
          <w:p>
            <w:pPr>
              <w:keepLines w:val="0"/>
              <w:pageBreakBefore w:val="0"/>
              <w:bidi w:val="0"/>
              <w:snapToGrid w:val="0"/>
              <w:spacing w:line="360" w:lineRule="auto"/>
              <w:ind w:firstLine="440" w:firstLineChars="200"/>
              <w:rPr>
                <w:rFonts w:hint="eastAsia" w:ascii="黑体" w:hAnsi="黑体" w:eastAsia="黑体" w:cs="黑体"/>
                <w:bCs/>
                <w:color w:val="auto"/>
                <w:sz w:val="22"/>
                <w:highlight w:val="none"/>
              </w:rPr>
            </w:pPr>
            <w:r>
              <w:rPr>
                <w:rFonts w:hint="eastAsia" w:ascii="黑体" w:hAnsi="黑体" w:eastAsia="黑体" w:cs="黑体"/>
                <w:bCs/>
                <w:color w:val="auto"/>
                <w:sz w:val="22"/>
                <w:highlight w:val="none"/>
              </w:rPr>
              <w:t>（3）进入清算程序，或被宣告破产，或其他丧失履约能力的情形；</w:t>
            </w:r>
          </w:p>
          <w:p>
            <w:pPr>
              <w:keepLines w:val="0"/>
              <w:pageBreakBefore w:val="0"/>
              <w:bidi w:val="0"/>
              <w:snapToGrid w:val="0"/>
              <w:spacing w:line="360" w:lineRule="auto"/>
              <w:ind w:firstLine="440" w:firstLineChars="200"/>
              <w:rPr>
                <w:rFonts w:hint="eastAsia" w:ascii="黑体" w:hAnsi="黑体" w:eastAsia="黑体" w:cs="黑体"/>
                <w:bCs/>
                <w:color w:val="auto"/>
                <w:sz w:val="22"/>
                <w:highlight w:val="none"/>
                <w:lang w:val="en-US" w:eastAsia="zh-CN"/>
              </w:rPr>
            </w:pPr>
            <w:r>
              <w:rPr>
                <w:rFonts w:hint="eastAsia" w:ascii="黑体" w:hAnsi="黑体" w:eastAsia="黑体" w:cs="黑体"/>
                <w:bCs/>
                <w:color w:val="auto"/>
                <w:sz w:val="22"/>
                <w:highlight w:val="none"/>
              </w:rPr>
              <w:t>（4）在国家企业信用信息公示系统（http：//www.gsxt.gov.cn/）中被列入严重违法失信企业名单；</w:t>
            </w:r>
            <w:r>
              <w:rPr>
                <w:rFonts w:hint="eastAsia" w:ascii="黑体" w:hAnsi="黑体" w:eastAsia="黑体" w:cs="黑体"/>
                <w:bCs/>
                <w:color w:val="auto"/>
                <w:sz w:val="22"/>
                <w:highlight w:val="none"/>
                <w:lang w:eastAsia="zh-CN"/>
              </w:rPr>
              <w:t>（</w:t>
            </w:r>
            <w:r>
              <w:rPr>
                <w:rFonts w:hint="eastAsia" w:ascii="黑体" w:hAnsi="黑体" w:eastAsia="黑体" w:cs="黑体"/>
                <w:bCs/>
                <w:color w:val="auto"/>
                <w:sz w:val="22"/>
                <w:highlight w:val="none"/>
                <w:lang w:val="en-US" w:eastAsia="zh-CN"/>
              </w:rPr>
              <w:t>提供网页截图，事业单位可不提供）</w:t>
            </w:r>
          </w:p>
          <w:p>
            <w:pPr>
              <w:keepLines w:val="0"/>
              <w:pageBreakBefore w:val="0"/>
              <w:bidi w:val="0"/>
              <w:snapToGrid w:val="0"/>
              <w:spacing w:line="360" w:lineRule="auto"/>
              <w:ind w:firstLine="440" w:firstLineChars="200"/>
              <w:rPr>
                <w:rFonts w:hint="eastAsia" w:ascii="黑体" w:hAnsi="黑体" w:eastAsia="黑体" w:cs="黑体"/>
                <w:bCs/>
                <w:color w:val="auto"/>
                <w:sz w:val="22"/>
                <w:highlight w:val="none"/>
                <w:lang w:val="en-US" w:eastAsia="zh-CN"/>
              </w:rPr>
            </w:pPr>
            <w:r>
              <w:rPr>
                <w:rFonts w:hint="eastAsia" w:ascii="黑体" w:hAnsi="黑体" w:eastAsia="黑体" w:cs="黑体"/>
                <w:bCs/>
                <w:color w:val="auto"/>
                <w:sz w:val="22"/>
                <w:highlight w:val="none"/>
              </w:rPr>
              <w:t>（5）在“信用中国”网站（http：//www.creditchina.gov.cn/）中被列入失信被执行人名单；</w:t>
            </w:r>
            <w:r>
              <w:rPr>
                <w:rFonts w:hint="eastAsia" w:ascii="黑体" w:hAnsi="黑体" w:eastAsia="黑体" w:cs="黑体"/>
                <w:bCs/>
                <w:color w:val="auto"/>
                <w:sz w:val="22"/>
                <w:highlight w:val="none"/>
                <w:lang w:eastAsia="zh-CN"/>
              </w:rPr>
              <w:t>（</w:t>
            </w:r>
            <w:r>
              <w:rPr>
                <w:rFonts w:hint="eastAsia" w:ascii="黑体" w:hAnsi="黑体" w:eastAsia="黑体" w:cs="黑体"/>
                <w:bCs/>
                <w:color w:val="auto"/>
                <w:sz w:val="22"/>
                <w:highlight w:val="none"/>
                <w:lang w:val="en-US" w:eastAsia="zh-CN"/>
              </w:rPr>
              <w:t>提供网页截图）</w:t>
            </w:r>
          </w:p>
          <w:p>
            <w:pPr>
              <w:keepLines w:val="0"/>
              <w:pageBreakBefore w:val="0"/>
              <w:bidi w:val="0"/>
              <w:snapToGrid w:val="0"/>
              <w:spacing w:line="360" w:lineRule="auto"/>
              <w:ind w:firstLine="440" w:firstLineChars="200"/>
              <w:rPr>
                <w:rFonts w:hint="eastAsia" w:ascii="黑体" w:hAnsi="黑体" w:eastAsia="黑体" w:cs="黑体"/>
                <w:bCs/>
                <w:color w:val="auto"/>
                <w:sz w:val="22"/>
                <w:highlight w:val="none"/>
              </w:rPr>
            </w:pPr>
            <w:r>
              <w:rPr>
                <w:rFonts w:hint="eastAsia" w:ascii="黑体" w:hAnsi="黑体" w:eastAsia="黑体" w:cs="黑体"/>
                <w:bCs/>
                <w:color w:val="auto"/>
                <w:sz w:val="22"/>
                <w:highlight w:val="none"/>
              </w:rPr>
              <w:t>（6）投标人</w:t>
            </w:r>
            <w:r>
              <w:rPr>
                <w:rFonts w:hint="eastAsia" w:ascii="黑体" w:hAnsi="黑体" w:eastAsia="黑体" w:cs="黑体"/>
                <w:bCs/>
                <w:color w:val="auto"/>
                <w:sz w:val="22"/>
                <w:highlight w:val="none"/>
                <w:lang w:eastAsia="zh-CN"/>
              </w:rPr>
              <w:t>、</w:t>
            </w:r>
            <w:r>
              <w:rPr>
                <w:rFonts w:hint="eastAsia" w:ascii="黑体" w:hAnsi="黑体" w:eastAsia="黑体" w:cs="黑体"/>
                <w:bCs/>
                <w:color w:val="auto"/>
                <w:sz w:val="22"/>
                <w:highlight w:val="none"/>
              </w:rPr>
              <w:t>其法定代表人、拟委任的</w:t>
            </w:r>
            <w:r>
              <w:rPr>
                <w:rFonts w:hint="eastAsia" w:ascii="黑体" w:hAnsi="黑体" w:eastAsia="黑体" w:cs="黑体"/>
                <w:bCs/>
                <w:color w:val="auto"/>
                <w:sz w:val="22"/>
                <w:highlight w:val="none"/>
                <w:lang w:val="en-US" w:eastAsia="zh-CN"/>
              </w:rPr>
              <w:t>项目负责人</w:t>
            </w:r>
            <w:r>
              <w:rPr>
                <w:rFonts w:hint="eastAsia" w:ascii="黑体" w:hAnsi="黑体" w:eastAsia="黑体" w:cs="黑体"/>
                <w:bCs/>
                <w:color w:val="auto"/>
                <w:sz w:val="22"/>
                <w:highlight w:val="none"/>
              </w:rPr>
              <w:t>在近三年内有行贿犯罪行为的；（</w:t>
            </w:r>
            <w:r>
              <w:rPr>
                <w:rFonts w:hint="eastAsia" w:ascii="黑体" w:hAnsi="黑体" w:eastAsia="黑体" w:cs="黑体"/>
                <w:bCs/>
                <w:color w:val="auto"/>
                <w:sz w:val="22"/>
                <w:highlight w:val="none"/>
                <w:lang w:val="en-US" w:eastAsia="zh-CN"/>
              </w:rPr>
              <w:t>提供书面承诺</w:t>
            </w:r>
            <w:r>
              <w:rPr>
                <w:rFonts w:hint="eastAsia" w:ascii="黑体" w:hAnsi="黑体" w:eastAsia="黑体" w:cs="黑体"/>
                <w:bCs/>
                <w:color w:val="auto"/>
                <w:sz w:val="22"/>
                <w:highlight w:val="none"/>
              </w:rPr>
              <w:t>）</w:t>
            </w:r>
          </w:p>
          <w:p>
            <w:pPr>
              <w:keepLines w:val="0"/>
              <w:pageBreakBefore w:val="0"/>
              <w:bidi w:val="0"/>
              <w:snapToGrid w:val="0"/>
              <w:spacing w:line="360" w:lineRule="auto"/>
              <w:ind w:firstLine="440" w:firstLineChars="200"/>
              <w:rPr>
                <w:rFonts w:hint="eastAsia" w:ascii="黑体" w:hAnsi="黑体" w:eastAsia="黑体" w:cs="黑体"/>
                <w:bCs/>
                <w:color w:val="auto"/>
                <w:sz w:val="22"/>
                <w:highlight w:val="none"/>
              </w:rPr>
            </w:pPr>
            <w:r>
              <w:rPr>
                <w:rFonts w:hint="eastAsia" w:ascii="黑体" w:hAnsi="黑体" w:eastAsia="黑体" w:cs="黑体"/>
                <w:bCs/>
                <w:color w:val="auto"/>
                <w:sz w:val="22"/>
                <w:highlight w:val="none"/>
              </w:rPr>
              <w:t>（7）投标人最近三年内在工程建设领域发生过重大或特别重大安全事故；</w:t>
            </w:r>
          </w:p>
          <w:p>
            <w:pPr>
              <w:keepLines w:val="0"/>
              <w:pageBreakBefore w:val="0"/>
              <w:bidi w:val="0"/>
              <w:snapToGrid w:val="0"/>
              <w:spacing w:line="360" w:lineRule="auto"/>
              <w:ind w:firstLine="440" w:firstLineChars="200"/>
              <w:rPr>
                <w:rFonts w:hint="eastAsia" w:ascii="黑体" w:hAnsi="黑体" w:eastAsia="黑体" w:cs="黑体"/>
                <w:bCs/>
                <w:color w:val="auto"/>
                <w:sz w:val="22"/>
                <w:highlight w:val="none"/>
              </w:rPr>
            </w:pPr>
            <w:r>
              <w:rPr>
                <w:rFonts w:hint="eastAsia" w:ascii="黑体" w:hAnsi="黑体" w:eastAsia="黑体" w:cs="黑体"/>
                <w:bCs/>
                <w:color w:val="auto"/>
                <w:sz w:val="22"/>
                <w:highlight w:val="none"/>
              </w:rPr>
              <w:t>（8）投标人在贵州省建设市场发生过重大违约问题；</w:t>
            </w:r>
          </w:p>
          <w:p>
            <w:pPr>
              <w:keepLines w:val="0"/>
              <w:pageBreakBefore w:val="0"/>
              <w:bidi w:val="0"/>
              <w:adjustRightInd w:val="0"/>
              <w:snapToGrid w:val="0"/>
              <w:spacing w:line="360" w:lineRule="auto"/>
              <w:ind w:firstLine="440" w:firstLineChars="200"/>
              <w:rPr>
                <w:rFonts w:hint="eastAsia" w:ascii="黑体" w:hAnsi="黑体" w:eastAsia="黑体" w:cs="黑体"/>
                <w:color w:val="auto"/>
                <w:szCs w:val="21"/>
                <w:highlight w:val="none"/>
              </w:rPr>
            </w:pPr>
            <w:r>
              <w:rPr>
                <w:rFonts w:hint="eastAsia" w:ascii="黑体" w:hAnsi="黑体" w:eastAsia="黑体" w:cs="黑体"/>
                <w:bCs/>
                <w:color w:val="auto"/>
                <w:sz w:val="22"/>
                <w:highlight w:val="none"/>
              </w:rPr>
              <w:t>（9）投标人最新公布的信用评价结果为</w:t>
            </w:r>
            <w:r>
              <w:rPr>
                <w:rFonts w:hint="eastAsia" w:ascii="黑体" w:hAnsi="黑体" w:eastAsia="黑体" w:cs="黑体"/>
                <w:bCs/>
                <w:color w:val="auto"/>
                <w:sz w:val="22"/>
                <w:highlight w:val="none"/>
                <w:lang w:val="en-US" w:eastAsia="zh-CN"/>
              </w:rPr>
              <w:t>D级及以下</w:t>
            </w:r>
            <w:r>
              <w:rPr>
                <w:rFonts w:hint="eastAsia" w:ascii="黑体" w:hAnsi="黑体" w:eastAsia="黑体" w:cs="黑体"/>
                <w:bCs/>
                <w:color w:val="auto"/>
                <w:sz w:val="22"/>
                <w:highlight w:val="none"/>
              </w:rPr>
              <w:t>。</w:t>
            </w:r>
          </w:p>
        </w:tc>
      </w:tr>
    </w:tbl>
    <w:p>
      <w:pPr>
        <w:keepLines w:val="0"/>
        <w:pageBreakBefore w:val="0"/>
        <w:bidi w:val="0"/>
        <w:spacing w:line="360" w:lineRule="auto"/>
        <w:jc w:val="center"/>
        <w:outlineLvl w:val="9"/>
        <w:rPr>
          <w:rFonts w:ascii="宋体" w:hAnsi="宋体"/>
          <w:color w:val="auto"/>
          <w:kern w:val="10"/>
          <w:sz w:val="18"/>
          <w:szCs w:val="18"/>
          <w:highlight w:val="none"/>
        </w:rPr>
      </w:pPr>
    </w:p>
    <w:p>
      <w:pPr>
        <w:keepLines w:val="0"/>
        <w:pageBreakBefore w:val="0"/>
        <w:bidi w:val="0"/>
        <w:spacing w:line="360" w:lineRule="auto"/>
        <w:jc w:val="center"/>
        <w:outlineLvl w:val="9"/>
        <w:rPr>
          <w:rFonts w:ascii="宋体" w:hAnsi="宋体"/>
          <w:color w:val="auto"/>
          <w:kern w:val="10"/>
          <w:sz w:val="18"/>
          <w:szCs w:val="18"/>
          <w:highlight w:val="none"/>
        </w:rPr>
      </w:pPr>
      <w:r>
        <w:rPr>
          <w:rFonts w:ascii="宋体" w:hAnsi="宋体"/>
          <w:color w:val="auto"/>
          <w:kern w:val="10"/>
          <w:sz w:val="18"/>
          <w:szCs w:val="18"/>
          <w:highlight w:val="none"/>
        </w:rPr>
        <w:br w:type="page"/>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outlineLvl w:val="3"/>
        <w:rPr>
          <w:rFonts w:ascii="宋体" w:hAnsi="宋体"/>
          <w:b/>
          <w:bCs/>
          <w:color w:val="auto"/>
          <w:highlight w:val="none"/>
        </w:rPr>
      </w:pPr>
      <w:r>
        <w:rPr>
          <w:rFonts w:hint="eastAsia" w:ascii="宋体" w:hAnsi="宋体"/>
          <w:b/>
          <w:bCs/>
          <w:color w:val="auto"/>
          <w:sz w:val="27"/>
          <w:szCs w:val="27"/>
          <w:highlight w:val="none"/>
        </w:rPr>
        <w:t>附录</w:t>
      </w:r>
      <w:r>
        <w:rPr>
          <w:rFonts w:hint="eastAsia" w:ascii="宋体" w:hAnsi="宋体"/>
          <w:b/>
          <w:bCs/>
          <w:color w:val="auto"/>
          <w:sz w:val="27"/>
          <w:szCs w:val="27"/>
          <w:highlight w:val="none"/>
          <w:lang w:val="en-US" w:eastAsia="zh-CN"/>
        </w:rPr>
        <w:t>4</w:t>
      </w:r>
      <w:r>
        <w:rPr>
          <w:rFonts w:hint="eastAsia" w:ascii="宋体" w:hAnsi="宋体"/>
          <w:b/>
          <w:bCs/>
          <w:color w:val="auto"/>
          <w:sz w:val="27"/>
          <w:szCs w:val="27"/>
          <w:highlight w:val="none"/>
        </w:rPr>
        <w:t>资格审查条件（人员最低要求）</w:t>
      </w:r>
    </w:p>
    <w:tbl>
      <w:tblPr>
        <w:tblStyle w:val="15"/>
        <w:tblW w:w="98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22"/>
        <w:gridCol w:w="5180"/>
        <w:gridCol w:w="9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456" w:type="dxa"/>
            <w:tcBorders>
              <w:tl2br w:val="nil"/>
              <w:tr2bl w:val="nil"/>
            </w:tcBorders>
            <w:noWrap w:val="0"/>
            <w:vAlign w:val="center"/>
          </w:tcPr>
          <w:p>
            <w:pPr>
              <w:pStyle w:val="25"/>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黑体" w:hAnsi="黑体" w:eastAsia="黑体" w:cs="黑体"/>
                <w:b/>
                <w:bCs/>
                <w:color w:val="auto"/>
                <w:kern w:val="2"/>
                <w:sz w:val="21"/>
                <w:szCs w:val="21"/>
                <w:highlight w:val="none"/>
              </w:rPr>
            </w:pPr>
            <w:r>
              <w:rPr>
                <w:rFonts w:hint="eastAsia" w:ascii="黑体" w:hAnsi="黑体" w:eastAsia="黑体" w:cs="黑体"/>
                <w:b/>
                <w:bCs/>
                <w:color w:val="auto"/>
                <w:kern w:val="2"/>
                <w:sz w:val="21"/>
                <w:szCs w:val="21"/>
                <w:highlight w:val="none"/>
              </w:rPr>
              <w:t>人员</w:t>
            </w:r>
          </w:p>
        </w:tc>
        <w:tc>
          <w:tcPr>
            <w:tcW w:w="1322" w:type="dxa"/>
            <w:tcBorders>
              <w:tl2br w:val="nil"/>
              <w:tr2bl w:val="nil"/>
            </w:tcBorders>
            <w:noWrap w:val="0"/>
            <w:vAlign w:val="center"/>
          </w:tcPr>
          <w:p>
            <w:pPr>
              <w:pStyle w:val="25"/>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黑体" w:hAnsi="黑体" w:eastAsia="黑体" w:cs="黑体"/>
                <w:b/>
                <w:bCs/>
                <w:color w:val="auto"/>
                <w:kern w:val="2"/>
                <w:sz w:val="21"/>
                <w:szCs w:val="21"/>
                <w:highlight w:val="none"/>
              </w:rPr>
            </w:pPr>
            <w:r>
              <w:rPr>
                <w:rFonts w:hint="eastAsia" w:ascii="黑体" w:hAnsi="黑体" w:eastAsia="黑体" w:cs="黑体"/>
                <w:b/>
                <w:bCs/>
                <w:color w:val="auto"/>
                <w:kern w:val="2"/>
                <w:sz w:val="21"/>
                <w:szCs w:val="21"/>
                <w:highlight w:val="none"/>
              </w:rPr>
              <w:t>最低数量</w:t>
            </w:r>
          </w:p>
          <w:p>
            <w:pPr>
              <w:pStyle w:val="25"/>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黑体" w:hAnsi="黑体" w:eastAsia="黑体" w:cs="黑体"/>
                <w:b/>
                <w:bCs/>
                <w:color w:val="auto"/>
                <w:kern w:val="2"/>
                <w:sz w:val="21"/>
                <w:szCs w:val="21"/>
                <w:highlight w:val="none"/>
              </w:rPr>
            </w:pPr>
            <w:r>
              <w:rPr>
                <w:rFonts w:hint="eastAsia" w:ascii="黑体" w:hAnsi="黑体" w:eastAsia="黑体" w:cs="黑体"/>
                <w:b/>
                <w:bCs/>
                <w:color w:val="auto"/>
                <w:kern w:val="2"/>
                <w:sz w:val="21"/>
                <w:szCs w:val="21"/>
                <w:highlight w:val="none"/>
              </w:rPr>
              <w:t>要求</w:t>
            </w:r>
          </w:p>
        </w:tc>
        <w:tc>
          <w:tcPr>
            <w:tcW w:w="5180" w:type="dxa"/>
            <w:tcBorders>
              <w:tl2br w:val="nil"/>
              <w:tr2bl w:val="nil"/>
            </w:tcBorders>
            <w:noWrap w:val="0"/>
            <w:vAlign w:val="center"/>
          </w:tcPr>
          <w:p>
            <w:pPr>
              <w:pStyle w:val="25"/>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黑体" w:hAnsi="黑体" w:eastAsia="黑体" w:cs="黑体"/>
                <w:b/>
                <w:bCs/>
                <w:color w:val="auto"/>
                <w:kern w:val="2"/>
                <w:sz w:val="21"/>
                <w:szCs w:val="21"/>
                <w:highlight w:val="none"/>
                <w:lang w:val="en-US" w:eastAsia="zh-CN" w:bidi="ar-SA"/>
              </w:rPr>
            </w:pPr>
            <w:r>
              <w:rPr>
                <w:rFonts w:hint="eastAsia" w:ascii="黑体" w:hAnsi="黑体" w:eastAsia="黑体" w:cs="黑体"/>
                <w:b/>
                <w:bCs/>
                <w:color w:val="auto"/>
                <w:kern w:val="2"/>
                <w:sz w:val="21"/>
                <w:szCs w:val="21"/>
                <w:highlight w:val="none"/>
              </w:rPr>
              <w:t>强制性要求</w:t>
            </w:r>
          </w:p>
        </w:tc>
        <w:tc>
          <w:tcPr>
            <w:tcW w:w="939" w:type="dxa"/>
            <w:tcBorders>
              <w:tl2br w:val="nil"/>
              <w:tr2bl w:val="nil"/>
            </w:tcBorders>
            <w:noWrap w:val="0"/>
            <w:vAlign w:val="center"/>
          </w:tcPr>
          <w:p>
            <w:pPr>
              <w:pStyle w:val="25"/>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黑体" w:hAnsi="黑体" w:eastAsia="黑体" w:cs="黑体"/>
                <w:b/>
                <w:bCs/>
                <w:color w:val="auto"/>
                <w:kern w:val="2"/>
                <w:sz w:val="21"/>
                <w:szCs w:val="21"/>
                <w:highlight w:val="none"/>
              </w:rPr>
            </w:pPr>
            <w:r>
              <w:rPr>
                <w:rFonts w:hint="eastAsia" w:ascii="黑体" w:hAnsi="黑体" w:eastAsia="黑体" w:cs="黑体"/>
                <w:b/>
                <w:bCs/>
                <w:color w:val="auto"/>
                <w:kern w:val="2"/>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13" w:hRule="atLeast"/>
          <w:jc w:val="center"/>
        </w:trPr>
        <w:tc>
          <w:tcPr>
            <w:tcW w:w="2456" w:type="dxa"/>
            <w:tcBorders>
              <w:tl2br w:val="nil"/>
              <w:tr2bl w:val="nil"/>
            </w:tcBorders>
            <w:noWrap w:val="0"/>
            <w:vAlign w:val="center"/>
          </w:tcPr>
          <w:p>
            <w:pPr>
              <w:pStyle w:val="25"/>
              <w:keepNext w:val="0"/>
              <w:keepLines w:val="0"/>
              <w:pageBreakBefore w:val="0"/>
              <w:kinsoku/>
              <w:wordWrap/>
              <w:overflowPunct/>
              <w:topLinePunct w:val="0"/>
              <w:bidi w:val="0"/>
              <w:adjustRightInd/>
              <w:snapToGrid/>
              <w:spacing w:line="360" w:lineRule="auto"/>
              <w:jc w:val="center"/>
              <w:rPr>
                <w:rFonts w:hint="eastAsia" w:ascii="黑体" w:hAnsi="黑体" w:eastAsia="黑体" w:cs="黑体"/>
                <w:color w:val="auto"/>
                <w:kern w:val="2"/>
                <w:sz w:val="21"/>
                <w:szCs w:val="21"/>
                <w:highlight w:val="none"/>
              </w:rPr>
            </w:pPr>
            <w:r>
              <w:rPr>
                <w:rFonts w:hint="eastAsia" w:ascii="黑体" w:hAnsi="黑体" w:eastAsia="黑体" w:cs="黑体"/>
                <w:color w:val="auto"/>
                <w:kern w:val="2"/>
                <w:sz w:val="21"/>
                <w:szCs w:val="21"/>
                <w:highlight w:val="none"/>
              </w:rPr>
              <w:t>项目负责人</w:t>
            </w:r>
          </w:p>
        </w:tc>
        <w:tc>
          <w:tcPr>
            <w:tcW w:w="1322" w:type="dxa"/>
            <w:tcBorders>
              <w:tl2br w:val="nil"/>
              <w:tr2bl w:val="nil"/>
            </w:tcBorders>
            <w:noWrap w:val="0"/>
            <w:vAlign w:val="center"/>
          </w:tcPr>
          <w:p>
            <w:pPr>
              <w:pStyle w:val="25"/>
              <w:keepNext w:val="0"/>
              <w:keepLines w:val="0"/>
              <w:pageBreakBefore w:val="0"/>
              <w:kinsoku/>
              <w:wordWrap/>
              <w:overflowPunct/>
              <w:topLinePunct w:val="0"/>
              <w:bidi w:val="0"/>
              <w:adjustRightInd/>
              <w:snapToGrid/>
              <w:spacing w:line="360" w:lineRule="auto"/>
              <w:jc w:val="center"/>
              <w:rPr>
                <w:rFonts w:hint="eastAsia" w:ascii="黑体" w:hAnsi="黑体" w:eastAsia="黑体" w:cs="黑体"/>
                <w:color w:val="auto"/>
                <w:kern w:val="2"/>
                <w:sz w:val="21"/>
                <w:szCs w:val="21"/>
                <w:highlight w:val="none"/>
              </w:rPr>
            </w:pPr>
            <w:r>
              <w:rPr>
                <w:rFonts w:hint="eastAsia" w:ascii="黑体" w:hAnsi="黑体" w:eastAsia="黑体" w:cs="黑体"/>
                <w:color w:val="auto"/>
                <w:kern w:val="2"/>
                <w:sz w:val="21"/>
                <w:szCs w:val="21"/>
                <w:highlight w:val="none"/>
              </w:rPr>
              <w:t>1</w:t>
            </w:r>
          </w:p>
        </w:tc>
        <w:tc>
          <w:tcPr>
            <w:tcW w:w="51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left"/>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kern w:val="2"/>
                <w:sz w:val="21"/>
                <w:szCs w:val="21"/>
                <w:highlight w:val="none"/>
                <w:lang w:val="en-US" w:eastAsia="zh-CN" w:bidi="ar-SA"/>
              </w:rPr>
              <w:t>公路工程相关专业中级及以上职称，持有交通运输部桥梁工程试验检测工程师资格证书或桥梁隧道工程试验检测师资格证书，5年以上试验检测工作经验。</w:t>
            </w:r>
          </w:p>
        </w:tc>
        <w:tc>
          <w:tcPr>
            <w:tcW w:w="939" w:type="dxa"/>
            <w:vMerge w:val="restart"/>
            <w:tcBorders>
              <w:tl2br w:val="nil"/>
              <w:tr2bl w:val="nil"/>
            </w:tcBorders>
            <w:noWrap w:val="0"/>
            <w:vAlign w:val="center"/>
          </w:tcPr>
          <w:p>
            <w:pPr>
              <w:keepNext w:val="0"/>
              <w:keepLines w:val="0"/>
              <w:pageBreakBefore w:val="0"/>
              <w:kinsoku/>
              <w:wordWrap/>
              <w:overflowPunct/>
              <w:topLinePunct w:val="0"/>
              <w:bidi w:val="0"/>
              <w:snapToGrid/>
              <w:spacing w:line="360" w:lineRule="auto"/>
              <w:ind w:left="0" w:leftChars="0" w:firstLine="0" w:firstLineChars="0"/>
              <w:jc w:val="center"/>
              <w:rPr>
                <w:rFonts w:hint="eastAsia" w:ascii="黑体" w:hAnsi="黑体" w:eastAsia="黑体" w:cs="黑体"/>
                <w:b/>
                <w:bCs/>
                <w:color w:val="auto"/>
                <w:sz w:val="21"/>
                <w:szCs w:val="21"/>
                <w:highlight w:val="none"/>
                <w:lang w:val="en-US" w:eastAsia="zh-CN"/>
              </w:rPr>
            </w:pPr>
            <w:r>
              <w:rPr>
                <w:rFonts w:hint="eastAsia" w:ascii="黑体" w:hAnsi="黑体" w:eastAsia="黑体" w:cs="黑体"/>
                <w:b/>
                <w:bCs/>
                <w:color w:val="auto"/>
                <w:sz w:val="21"/>
                <w:szCs w:val="21"/>
                <w:highlight w:val="none"/>
                <w:lang w:val="en-US" w:eastAsia="zh-CN"/>
              </w:rPr>
              <w:t>投标时须填报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2456" w:type="dxa"/>
            <w:tcBorders>
              <w:tl2br w:val="nil"/>
              <w:tr2bl w:val="nil"/>
            </w:tcBorders>
            <w:noWrap w:val="0"/>
            <w:vAlign w:val="center"/>
          </w:tcPr>
          <w:p>
            <w:pPr>
              <w:pStyle w:val="25"/>
              <w:keepNext w:val="0"/>
              <w:keepLines w:val="0"/>
              <w:pageBreakBefore w:val="0"/>
              <w:kinsoku/>
              <w:wordWrap/>
              <w:overflowPunct/>
              <w:topLinePunct w:val="0"/>
              <w:bidi w:val="0"/>
              <w:adjustRightInd/>
              <w:snapToGrid/>
              <w:spacing w:line="360" w:lineRule="auto"/>
              <w:jc w:val="center"/>
              <w:rPr>
                <w:rFonts w:hint="eastAsia" w:ascii="黑体" w:hAnsi="黑体" w:eastAsia="黑体" w:cs="黑体"/>
                <w:color w:val="auto"/>
                <w:kern w:val="2"/>
                <w:sz w:val="21"/>
                <w:szCs w:val="21"/>
                <w:highlight w:val="none"/>
              </w:rPr>
            </w:pPr>
            <w:r>
              <w:rPr>
                <w:rFonts w:hint="eastAsia" w:ascii="黑体" w:hAnsi="黑体" w:eastAsia="黑体" w:cs="黑体"/>
                <w:color w:val="auto"/>
                <w:kern w:val="2"/>
                <w:sz w:val="21"/>
                <w:szCs w:val="21"/>
                <w:highlight w:val="none"/>
              </w:rPr>
              <w:t>技术负责人</w:t>
            </w:r>
          </w:p>
        </w:tc>
        <w:tc>
          <w:tcPr>
            <w:tcW w:w="1322" w:type="dxa"/>
            <w:tcBorders>
              <w:tl2br w:val="nil"/>
              <w:tr2bl w:val="nil"/>
            </w:tcBorders>
            <w:noWrap w:val="0"/>
            <w:vAlign w:val="center"/>
          </w:tcPr>
          <w:p>
            <w:pPr>
              <w:pStyle w:val="25"/>
              <w:keepNext w:val="0"/>
              <w:keepLines w:val="0"/>
              <w:pageBreakBefore w:val="0"/>
              <w:kinsoku/>
              <w:wordWrap/>
              <w:overflowPunct/>
              <w:topLinePunct w:val="0"/>
              <w:bidi w:val="0"/>
              <w:adjustRightInd/>
              <w:snapToGrid/>
              <w:spacing w:line="360" w:lineRule="auto"/>
              <w:jc w:val="center"/>
              <w:rPr>
                <w:rFonts w:hint="eastAsia" w:ascii="黑体" w:hAnsi="黑体" w:eastAsia="黑体" w:cs="黑体"/>
                <w:color w:val="auto"/>
                <w:kern w:val="2"/>
                <w:sz w:val="21"/>
                <w:szCs w:val="21"/>
                <w:highlight w:val="none"/>
              </w:rPr>
            </w:pPr>
            <w:r>
              <w:rPr>
                <w:rFonts w:hint="eastAsia" w:ascii="黑体" w:hAnsi="黑体" w:eastAsia="黑体" w:cs="黑体"/>
                <w:color w:val="auto"/>
                <w:kern w:val="2"/>
                <w:sz w:val="21"/>
                <w:szCs w:val="21"/>
                <w:highlight w:val="none"/>
              </w:rPr>
              <w:t>1</w:t>
            </w:r>
          </w:p>
        </w:tc>
        <w:tc>
          <w:tcPr>
            <w:tcW w:w="5180" w:type="dxa"/>
            <w:tcBorders>
              <w:tl2br w:val="nil"/>
              <w:tr2bl w:val="nil"/>
            </w:tcBorders>
            <w:noWrap w:val="0"/>
            <w:vAlign w:val="center"/>
          </w:tcPr>
          <w:p>
            <w:pPr>
              <w:keepLines w:val="0"/>
              <w:pageBreakBefore w:val="0"/>
              <w:bidi w:val="0"/>
              <w:spacing w:line="360" w:lineRule="auto"/>
              <w:ind w:left="0" w:leftChars="0" w:firstLine="0" w:firstLineChars="0"/>
              <w:jc w:val="left"/>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kern w:val="2"/>
                <w:sz w:val="21"/>
                <w:szCs w:val="21"/>
                <w:highlight w:val="none"/>
                <w:lang w:val="en-US" w:eastAsia="zh-CN" w:bidi="ar-SA"/>
              </w:rPr>
              <w:t>公路工程相关专业中级及以上职称，持有交通运输部桥梁工程试验检测工程师资格证书或桥梁隧道工程试验检测师资格证书，5年以上试验检测工作经验。</w:t>
            </w:r>
          </w:p>
        </w:tc>
        <w:tc>
          <w:tcPr>
            <w:tcW w:w="939" w:type="dxa"/>
            <w:vMerge w:val="continue"/>
            <w:tcBorders>
              <w:tl2br w:val="nil"/>
              <w:tr2bl w:val="nil"/>
            </w:tcBorders>
            <w:noWrap w:val="0"/>
            <w:vAlign w:val="center"/>
          </w:tcPr>
          <w:p>
            <w:pPr>
              <w:keepNext w:val="0"/>
              <w:keepLines w:val="0"/>
              <w:pageBreakBefore w:val="0"/>
              <w:widowControl/>
              <w:kinsoku/>
              <w:wordWrap/>
              <w:overflowPunct/>
              <w:topLinePunct w:val="0"/>
              <w:bidi w:val="0"/>
              <w:snapToGrid/>
              <w:spacing w:line="360" w:lineRule="auto"/>
              <w:ind w:left="0" w:leftChars="0" w:firstLine="0" w:firstLineChars="0"/>
              <w:jc w:val="center"/>
              <w:rPr>
                <w:rFonts w:hint="eastAsia" w:ascii="黑体" w:hAnsi="黑体" w:eastAsia="黑体" w:cs="黑体"/>
                <w:b/>
                <w:bCs/>
                <w:color w:val="auto"/>
                <w:sz w:val="21"/>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2456" w:type="dxa"/>
            <w:tcBorders>
              <w:tl2br w:val="nil"/>
              <w:tr2bl w:val="nil"/>
            </w:tcBorders>
            <w:noWrap w:val="0"/>
            <w:vAlign w:val="center"/>
          </w:tcPr>
          <w:p>
            <w:pPr>
              <w:pStyle w:val="25"/>
              <w:keepNext w:val="0"/>
              <w:keepLines w:val="0"/>
              <w:pageBreakBefore w:val="0"/>
              <w:kinsoku/>
              <w:wordWrap/>
              <w:overflowPunct/>
              <w:topLinePunct w:val="0"/>
              <w:bidi w:val="0"/>
              <w:adjustRightInd/>
              <w:snapToGrid/>
              <w:spacing w:line="360" w:lineRule="auto"/>
              <w:jc w:val="center"/>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kern w:val="2"/>
                <w:sz w:val="21"/>
                <w:szCs w:val="21"/>
                <w:highlight w:val="none"/>
                <w:lang w:val="en-US" w:eastAsia="zh-CN" w:bidi="ar-SA"/>
              </w:rPr>
              <w:t>监测人员</w:t>
            </w:r>
          </w:p>
        </w:tc>
        <w:tc>
          <w:tcPr>
            <w:tcW w:w="1322" w:type="dxa"/>
            <w:tcBorders>
              <w:tl2br w:val="nil"/>
              <w:tr2bl w:val="nil"/>
            </w:tcBorders>
            <w:noWrap w:val="0"/>
            <w:vAlign w:val="center"/>
          </w:tcPr>
          <w:p>
            <w:pPr>
              <w:pStyle w:val="25"/>
              <w:keepNext w:val="0"/>
              <w:keepLines w:val="0"/>
              <w:pageBreakBefore w:val="0"/>
              <w:kinsoku/>
              <w:wordWrap/>
              <w:overflowPunct/>
              <w:topLinePunct w:val="0"/>
              <w:bidi w:val="0"/>
              <w:adjustRightInd/>
              <w:snapToGrid/>
              <w:spacing w:line="360" w:lineRule="auto"/>
              <w:jc w:val="center"/>
              <w:rPr>
                <w:rFonts w:hint="default" w:ascii="黑体" w:hAnsi="黑体" w:eastAsia="黑体" w:cs="黑体"/>
                <w:color w:val="auto"/>
                <w:kern w:val="2"/>
                <w:sz w:val="21"/>
                <w:szCs w:val="21"/>
                <w:highlight w:val="none"/>
                <w:lang w:val="en-US" w:eastAsia="zh-CN"/>
              </w:rPr>
            </w:pPr>
            <w:r>
              <w:rPr>
                <w:rFonts w:hint="eastAsia" w:ascii="黑体" w:hAnsi="黑体" w:eastAsia="黑体" w:cs="黑体"/>
                <w:color w:val="auto"/>
                <w:kern w:val="2"/>
                <w:sz w:val="21"/>
                <w:szCs w:val="21"/>
                <w:highlight w:val="none"/>
                <w:lang w:val="en-US" w:eastAsia="zh-CN" w:bidi="ar-SA"/>
              </w:rPr>
              <w:t>4</w:t>
            </w:r>
          </w:p>
        </w:tc>
        <w:tc>
          <w:tcPr>
            <w:tcW w:w="5180" w:type="dxa"/>
            <w:tcBorders>
              <w:tl2br w:val="nil"/>
              <w:tr2bl w:val="nil"/>
            </w:tcBorders>
            <w:noWrap w:val="0"/>
            <w:vAlign w:val="center"/>
          </w:tcPr>
          <w:p>
            <w:pPr>
              <w:pStyle w:val="25"/>
              <w:keepNext w:val="0"/>
              <w:keepLines w:val="0"/>
              <w:pageBreakBefore w:val="0"/>
              <w:kinsoku/>
              <w:wordWrap/>
              <w:overflowPunct/>
              <w:topLinePunct w:val="0"/>
              <w:bidi w:val="0"/>
              <w:adjustRightInd/>
              <w:snapToGrid/>
              <w:spacing w:line="360" w:lineRule="auto"/>
              <w:jc w:val="left"/>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kern w:val="2"/>
                <w:sz w:val="21"/>
                <w:szCs w:val="21"/>
                <w:highlight w:val="none"/>
                <w:lang w:val="en-US" w:eastAsia="zh-CN" w:bidi="ar-SA"/>
              </w:rPr>
              <w:t>助理工程师及以上职称，持有交通行业主管颁发的桥梁工程试验检测员及以上资格证书或桥梁隧道工程助理试验检测师及以上资格证书，3年以上试验检测工作经验。</w:t>
            </w:r>
          </w:p>
        </w:tc>
        <w:tc>
          <w:tcPr>
            <w:tcW w:w="939" w:type="dxa"/>
            <w:tcBorders>
              <w:tl2br w:val="nil"/>
              <w:tr2bl w:val="nil"/>
            </w:tcBorders>
            <w:noWrap w:val="0"/>
            <w:vAlign w:val="center"/>
          </w:tcPr>
          <w:p>
            <w:pPr>
              <w:keepNext w:val="0"/>
              <w:keepLines w:val="0"/>
              <w:pageBreakBefore w:val="0"/>
              <w:widowControl/>
              <w:kinsoku/>
              <w:wordWrap/>
              <w:overflowPunct/>
              <w:topLinePunct w:val="0"/>
              <w:bidi w:val="0"/>
              <w:snapToGrid/>
              <w:spacing w:line="360" w:lineRule="auto"/>
              <w:ind w:left="0" w:leftChars="0" w:firstLine="0" w:firstLineChars="0"/>
              <w:jc w:val="center"/>
              <w:rPr>
                <w:rFonts w:hint="eastAsia" w:ascii="黑体" w:hAnsi="黑体" w:eastAsia="黑体" w:cs="黑体"/>
                <w:b/>
                <w:bCs/>
                <w:color w:val="auto"/>
                <w:sz w:val="21"/>
                <w:szCs w:val="21"/>
                <w:highlight w:val="none"/>
                <w:lang w:bidi="ar"/>
              </w:rPr>
            </w:pPr>
            <w:r>
              <w:rPr>
                <w:rFonts w:hint="eastAsia" w:ascii="黑体" w:hAnsi="黑体" w:eastAsia="黑体" w:cs="黑体"/>
                <w:b/>
                <w:bCs/>
                <w:color w:val="auto"/>
                <w:sz w:val="21"/>
                <w:szCs w:val="21"/>
                <w:highlight w:val="none"/>
                <w:lang w:val="en-US" w:eastAsia="zh-CN"/>
              </w:rPr>
              <w:t>投标时无须填报</w:t>
            </w:r>
          </w:p>
        </w:tc>
      </w:tr>
    </w:tbl>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iCs/>
          <w:snapToGrid w:val="0"/>
          <w:color w:val="auto"/>
          <w:kern w:val="0"/>
          <w:sz w:val="21"/>
          <w:szCs w:val="21"/>
          <w:highlight w:val="none"/>
        </w:rPr>
        <w:t>注：</w:t>
      </w:r>
    </w:p>
    <w:p>
      <w:pPr>
        <w:keepLines w:val="0"/>
        <w:pageBreakBefore w:val="0"/>
        <w:bidi w:val="0"/>
        <w:spacing w:line="360" w:lineRule="auto"/>
        <w:jc w:val="left"/>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 本次招标仅审查项目负责人</w:t>
      </w:r>
      <w:r>
        <w:rPr>
          <w:rFonts w:hint="eastAsia" w:ascii="宋体" w:hAnsi="宋体" w:cs="宋体"/>
          <w:b/>
          <w:bCs/>
          <w:color w:val="auto"/>
          <w:kern w:val="0"/>
          <w:sz w:val="21"/>
          <w:szCs w:val="21"/>
          <w:highlight w:val="none"/>
          <w:lang w:val="en-US" w:eastAsia="zh-CN"/>
        </w:rPr>
        <w:t>、技术负责人</w:t>
      </w:r>
      <w:r>
        <w:rPr>
          <w:rFonts w:hint="eastAsia" w:ascii="宋体" w:hAnsi="宋体" w:eastAsia="宋体" w:cs="宋体"/>
          <w:b/>
          <w:bCs/>
          <w:color w:val="auto"/>
          <w:kern w:val="0"/>
          <w:sz w:val="21"/>
          <w:szCs w:val="21"/>
          <w:highlight w:val="none"/>
          <w:lang w:val="en-US" w:eastAsia="zh-CN"/>
        </w:rPr>
        <w:t>，不审查其它主要人员。在合同谈判时，中标人应提供其他主要人员的资料进行审查。</w:t>
      </w:r>
    </w:p>
    <w:p>
      <w:pPr>
        <w:keepLines w:val="0"/>
        <w:pageBreakBefore w:val="0"/>
        <w:bidi w:val="0"/>
        <w:spacing w:line="360" w:lineRule="auto"/>
        <w:jc w:val="left"/>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2、项目负责人须附的证明资料为：身份证、毕业证、职称证书、试验检测工程师证的复印件</w:t>
      </w:r>
      <w:r>
        <w:rPr>
          <w:rFonts w:hint="eastAsia" w:ascii="宋体" w:hAnsi="宋体" w:cs="宋体"/>
          <w:b/>
          <w:bCs/>
          <w:color w:val="auto"/>
          <w:kern w:val="0"/>
          <w:sz w:val="21"/>
          <w:szCs w:val="21"/>
          <w:highlight w:val="none"/>
          <w:lang w:val="en-US" w:eastAsia="zh-CN"/>
        </w:rPr>
        <w:t>、劳动合同</w:t>
      </w:r>
      <w:r>
        <w:rPr>
          <w:rFonts w:hint="eastAsia" w:ascii="宋体" w:hAnsi="宋体" w:eastAsia="宋体" w:cs="宋体"/>
          <w:b/>
          <w:bCs/>
          <w:color w:val="auto"/>
          <w:kern w:val="0"/>
          <w:sz w:val="21"/>
          <w:szCs w:val="21"/>
          <w:highlight w:val="none"/>
          <w:lang w:val="en-US" w:eastAsia="zh-CN"/>
        </w:rPr>
        <w:t>。</w:t>
      </w:r>
    </w:p>
    <w:p>
      <w:pPr>
        <w:pStyle w:val="2"/>
        <w:keepLines w:val="0"/>
        <w:pageBreakBefore w:val="0"/>
        <w:bidi w:val="0"/>
        <w:spacing w:line="360" w:lineRule="auto"/>
        <w:rPr>
          <w:rFonts w:hint="eastAsia"/>
          <w:color w:val="auto"/>
          <w:highlight w:val="none"/>
          <w:lang w:val="en-US" w:eastAsia="zh-CN"/>
        </w:rPr>
      </w:pPr>
    </w:p>
    <w:p>
      <w:pPr>
        <w:pStyle w:val="2"/>
        <w:keepLines w:val="0"/>
        <w:pageBreakBefore w:val="0"/>
        <w:bidi w:val="0"/>
        <w:spacing w:line="360" w:lineRule="auto"/>
        <w:rPr>
          <w:rFonts w:hint="eastAsia"/>
          <w:color w:val="auto"/>
          <w:highlight w:val="none"/>
          <w:lang w:val="en-US" w:eastAsia="zh-CN"/>
        </w:rPr>
      </w:pPr>
    </w:p>
    <w:p>
      <w:pPr>
        <w:pStyle w:val="2"/>
        <w:keepLines w:val="0"/>
        <w:pageBreakBefore w:val="0"/>
        <w:bidi w:val="0"/>
        <w:spacing w:line="360" w:lineRule="auto"/>
        <w:rPr>
          <w:rFonts w:hint="eastAsia"/>
          <w:color w:val="auto"/>
          <w:highlight w:val="none"/>
          <w:lang w:val="en-US" w:eastAsia="zh-CN"/>
        </w:rPr>
      </w:pPr>
    </w:p>
    <w:p>
      <w:pPr>
        <w:pStyle w:val="2"/>
        <w:keepLines w:val="0"/>
        <w:pageBreakBefore w:val="0"/>
        <w:bidi w:val="0"/>
        <w:spacing w:line="360" w:lineRule="auto"/>
        <w:rPr>
          <w:rFonts w:hint="eastAsia"/>
          <w:color w:val="auto"/>
          <w:highlight w:val="none"/>
          <w:lang w:val="en-US" w:eastAsia="zh-CN"/>
        </w:rPr>
      </w:pPr>
    </w:p>
    <w:p>
      <w:pPr>
        <w:pStyle w:val="2"/>
        <w:keepLines w:val="0"/>
        <w:pageBreakBefore w:val="0"/>
        <w:bidi w:val="0"/>
        <w:spacing w:line="360" w:lineRule="auto"/>
        <w:rPr>
          <w:rFonts w:hint="eastAsia"/>
          <w:color w:val="auto"/>
          <w:highlight w:val="none"/>
          <w:lang w:val="en-US" w:eastAsia="zh-CN"/>
        </w:rPr>
      </w:pPr>
    </w:p>
    <w:p>
      <w:pPr>
        <w:pStyle w:val="2"/>
        <w:keepLines w:val="0"/>
        <w:pageBreakBefore w:val="0"/>
        <w:bidi w:val="0"/>
        <w:spacing w:line="360" w:lineRule="auto"/>
        <w:rPr>
          <w:rFonts w:hint="eastAsia"/>
          <w:color w:val="auto"/>
          <w:highlight w:val="none"/>
          <w:lang w:val="en-US" w:eastAsia="zh-CN"/>
        </w:rPr>
      </w:pPr>
    </w:p>
    <w:p>
      <w:pPr>
        <w:pStyle w:val="2"/>
        <w:keepLines w:val="0"/>
        <w:pageBreakBefore w:val="0"/>
        <w:bidi w:val="0"/>
        <w:spacing w:line="360" w:lineRule="auto"/>
        <w:rPr>
          <w:rFonts w:hint="eastAsia"/>
          <w:color w:val="auto"/>
          <w:highlight w:val="none"/>
          <w:lang w:val="en-US" w:eastAsia="zh-CN"/>
        </w:rPr>
      </w:pPr>
    </w:p>
    <w:p>
      <w:pPr>
        <w:pStyle w:val="2"/>
        <w:keepLines w:val="0"/>
        <w:pageBreakBefore w:val="0"/>
        <w:bidi w:val="0"/>
        <w:spacing w:line="360" w:lineRule="auto"/>
        <w:rPr>
          <w:rFonts w:hint="eastAsia"/>
          <w:color w:val="auto"/>
          <w:highlight w:val="none"/>
          <w:lang w:val="en-US" w:eastAsia="zh-CN"/>
        </w:rPr>
      </w:pPr>
    </w:p>
    <w:p>
      <w:pPr>
        <w:pStyle w:val="2"/>
        <w:keepLines w:val="0"/>
        <w:pageBreakBefore w:val="0"/>
        <w:bidi w:val="0"/>
        <w:spacing w:line="360" w:lineRule="auto"/>
        <w:rPr>
          <w:rFonts w:hint="eastAsia"/>
          <w:color w:val="auto"/>
          <w:highlight w:val="none"/>
          <w:lang w:val="en-US" w:eastAsia="zh-CN"/>
        </w:rPr>
      </w:pPr>
    </w:p>
    <w:p>
      <w:pPr>
        <w:pStyle w:val="2"/>
        <w:keepLines w:val="0"/>
        <w:pageBreakBefore w:val="0"/>
        <w:bidi w:val="0"/>
        <w:spacing w:line="360" w:lineRule="auto"/>
        <w:rPr>
          <w:rFonts w:hint="eastAsia"/>
          <w:color w:val="auto"/>
          <w:highlight w:val="none"/>
          <w:lang w:val="en-US" w:eastAsia="zh-CN"/>
        </w:rPr>
      </w:pPr>
    </w:p>
    <w:p>
      <w:pPr>
        <w:pStyle w:val="2"/>
        <w:keepLines w:val="0"/>
        <w:pageBreakBefore w:val="0"/>
        <w:bidi w:val="0"/>
        <w:spacing w:line="360" w:lineRule="auto"/>
        <w:rPr>
          <w:rFonts w:hint="eastAsia"/>
          <w:color w:val="auto"/>
          <w:highlight w:val="none"/>
          <w:lang w:val="en-US" w:eastAsia="zh-CN"/>
        </w:rPr>
      </w:pPr>
    </w:p>
    <w:p>
      <w:pPr>
        <w:pStyle w:val="2"/>
        <w:keepLines w:val="0"/>
        <w:pageBreakBefore w:val="0"/>
        <w:bidi w:val="0"/>
        <w:spacing w:line="360" w:lineRule="auto"/>
        <w:rPr>
          <w:rFonts w:hint="eastAsia"/>
          <w:color w:val="auto"/>
          <w:highlight w:val="none"/>
          <w:lang w:val="en-US" w:eastAsia="zh-CN"/>
        </w:rPr>
      </w:pPr>
    </w:p>
    <w:p>
      <w:pPr>
        <w:pStyle w:val="2"/>
        <w:keepLines w:val="0"/>
        <w:pageBreakBefore w:val="0"/>
        <w:bidi w:val="0"/>
        <w:spacing w:line="360" w:lineRule="auto"/>
        <w:rPr>
          <w:rFonts w:hint="eastAsia"/>
          <w:color w:val="auto"/>
          <w:highlight w:val="none"/>
          <w:lang w:val="en-US" w:eastAsia="zh-CN"/>
        </w:rPr>
      </w:pPr>
    </w:p>
    <w:p>
      <w:pPr>
        <w:pStyle w:val="2"/>
        <w:keepLines w:val="0"/>
        <w:pageBreakBefore w:val="0"/>
        <w:bidi w:val="0"/>
        <w:spacing w:line="360" w:lineRule="auto"/>
        <w:rPr>
          <w:rFonts w:hint="eastAsia"/>
          <w:color w:val="auto"/>
          <w:highlight w:val="none"/>
          <w:lang w:val="en-US" w:eastAsia="zh-CN"/>
        </w:rPr>
      </w:pPr>
    </w:p>
    <w:p>
      <w:pPr>
        <w:pStyle w:val="2"/>
        <w:keepLines w:val="0"/>
        <w:pageBreakBefore w:val="0"/>
        <w:bidi w:val="0"/>
        <w:spacing w:line="360" w:lineRule="auto"/>
        <w:rPr>
          <w:rFonts w:hint="eastAsia"/>
          <w:color w:val="auto"/>
          <w:highlight w:val="none"/>
          <w:lang w:val="en-US" w:eastAsia="zh-CN"/>
        </w:rPr>
      </w:pPr>
    </w:p>
    <w:p>
      <w:pPr>
        <w:pStyle w:val="2"/>
        <w:keepLines w:val="0"/>
        <w:pageBreakBefore w:val="0"/>
        <w:bidi w:val="0"/>
        <w:spacing w:line="360" w:lineRule="auto"/>
        <w:rPr>
          <w:rFonts w:hint="eastAsia"/>
          <w:color w:val="auto"/>
          <w:highlight w:val="none"/>
          <w:lang w:val="en-US" w:eastAsia="zh-CN"/>
        </w:rPr>
      </w:pPr>
    </w:p>
    <w:p>
      <w:pPr>
        <w:pStyle w:val="2"/>
        <w:keepLines w:val="0"/>
        <w:pageBreakBefore w:val="0"/>
        <w:bidi w:val="0"/>
        <w:spacing w:line="360" w:lineRule="auto"/>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outlineLvl w:val="3"/>
        <w:rPr>
          <w:rFonts w:hint="eastAsia" w:ascii="宋体" w:hAnsi="宋体"/>
          <w:b/>
          <w:bCs/>
          <w:color w:val="auto"/>
          <w:sz w:val="28"/>
          <w:szCs w:val="28"/>
          <w:highlight w:val="none"/>
        </w:rPr>
      </w:pPr>
      <w:r>
        <w:rPr>
          <w:rFonts w:hint="eastAsia" w:ascii="宋体" w:hAnsi="宋体"/>
          <w:b/>
          <w:bCs/>
          <w:color w:val="auto"/>
          <w:sz w:val="28"/>
          <w:szCs w:val="28"/>
          <w:highlight w:val="none"/>
        </w:rPr>
        <w:t>附录</w:t>
      </w:r>
      <w:r>
        <w:rPr>
          <w:rFonts w:hint="eastAsia" w:ascii="宋体" w:hAnsi="宋体"/>
          <w:b/>
          <w:bCs/>
          <w:color w:val="auto"/>
          <w:sz w:val="28"/>
          <w:szCs w:val="28"/>
          <w:highlight w:val="none"/>
          <w:lang w:val="en-US" w:eastAsia="zh-CN"/>
        </w:rPr>
        <w:t>5</w:t>
      </w:r>
      <w:r>
        <w:rPr>
          <w:rFonts w:hint="eastAsia" w:ascii="宋体" w:hAnsi="宋体"/>
          <w:b/>
          <w:bCs/>
          <w:color w:val="auto"/>
          <w:sz w:val="28"/>
          <w:szCs w:val="28"/>
          <w:highlight w:val="none"/>
        </w:rPr>
        <w:t xml:space="preserve"> 资格审查条件（主要仪器、设备、设施最低要求）</w:t>
      </w:r>
    </w:p>
    <w:p>
      <w:pPr>
        <w:keepNext w:val="0"/>
        <w:keepLines w:val="0"/>
        <w:pageBreakBefore w:val="0"/>
        <w:widowControl w:val="0"/>
        <w:kinsoku/>
        <w:wordWrap/>
        <w:overflowPunct/>
        <w:topLinePunct w:val="0"/>
        <w:autoSpaceDE/>
        <w:autoSpaceDN/>
        <w:bidi w:val="0"/>
        <w:adjustRightInd w:val="0"/>
        <w:spacing w:line="360" w:lineRule="auto"/>
        <w:ind w:firstLine="4620" w:firstLineChars="2200"/>
        <w:jc w:val="left"/>
        <w:textAlignment w:val="baseline"/>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无要求</w:t>
      </w:r>
    </w:p>
    <w:p>
      <w:pPr>
        <w:rPr>
          <w:rFonts w:hint="eastAsia" w:ascii="宋体" w:hAnsi="宋体" w:eastAsia="宋体" w:cs="宋体"/>
          <w:b/>
          <w:bCs w:val="0"/>
          <w:color w:val="auto"/>
          <w:kern w:val="0"/>
          <w:sz w:val="32"/>
          <w:szCs w:val="32"/>
          <w:highlight w:val="none"/>
          <w:lang w:eastAsia="zh-CN"/>
        </w:rPr>
      </w:pPr>
      <w:r>
        <w:rPr>
          <w:rFonts w:hint="eastAsia" w:ascii="宋体" w:hAnsi="宋体" w:eastAsia="宋体" w:cs="宋体"/>
          <w:b/>
          <w:bCs w:val="0"/>
          <w:color w:val="auto"/>
          <w:kern w:val="0"/>
          <w:sz w:val="32"/>
          <w:szCs w:val="32"/>
          <w:highlight w:val="none"/>
          <w:lang w:eastAsia="zh-CN"/>
        </w:rPr>
        <w:br w:type="page"/>
      </w:r>
    </w:p>
    <w:p>
      <w:pPr>
        <w:keepLines w:val="0"/>
        <w:pageBreakBefore w:val="0"/>
        <w:numPr>
          <w:ilvl w:val="0"/>
          <w:numId w:val="0"/>
        </w:numPr>
        <w:bidi w:val="0"/>
        <w:spacing w:line="360" w:lineRule="auto"/>
        <w:jc w:val="center"/>
        <w:outlineLvl w:val="0"/>
        <w:rPr>
          <w:rFonts w:hint="eastAsia" w:ascii="宋体" w:hAnsi="宋体" w:eastAsia="宋体" w:cs="宋体"/>
          <w:b/>
          <w:bCs w:val="0"/>
          <w:color w:val="auto"/>
          <w:kern w:val="0"/>
          <w:sz w:val="32"/>
          <w:szCs w:val="32"/>
          <w:highlight w:val="none"/>
          <w:lang w:eastAsia="zh-CN"/>
        </w:rPr>
      </w:pPr>
      <w:r>
        <w:rPr>
          <w:rFonts w:hint="eastAsia" w:ascii="宋体" w:hAnsi="宋体" w:eastAsia="宋体" w:cs="宋体"/>
          <w:b/>
          <w:bCs w:val="0"/>
          <w:color w:val="auto"/>
          <w:kern w:val="0"/>
          <w:sz w:val="32"/>
          <w:szCs w:val="32"/>
          <w:highlight w:val="none"/>
          <w:lang w:eastAsia="zh-CN"/>
        </w:rPr>
        <w:t>第三章</w:t>
      </w:r>
      <w:r>
        <w:rPr>
          <w:rFonts w:hint="eastAsia" w:ascii="宋体" w:hAnsi="宋体" w:eastAsia="宋体" w:cs="宋体"/>
          <w:b/>
          <w:bCs w:val="0"/>
          <w:color w:val="auto"/>
          <w:kern w:val="0"/>
          <w:sz w:val="32"/>
          <w:szCs w:val="32"/>
          <w:highlight w:val="none"/>
          <w:lang w:val="en-US" w:eastAsia="zh-CN"/>
        </w:rPr>
        <w:t xml:space="preserve">  </w:t>
      </w:r>
      <w:r>
        <w:rPr>
          <w:rFonts w:hint="eastAsia" w:ascii="宋体" w:hAnsi="宋体" w:eastAsia="宋体" w:cs="宋体"/>
          <w:b/>
          <w:bCs w:val="0"/>
          <w:color w:val="auto"/>
          <w:kern w:val="0"/>
          <w:sz w:val="32"/>
          <w:szCs w:val="32"/>
          <w:highlight w:val="none"/>
        </w:rPr>
        <w:t>评标办法（综合评估法）</w:t>
      </w:r>
    </w:p>
    <w:p>
      <w:pPr>
        <w:pStyle w:val="6"/>
        <w:keepLines w:val="0"/>
        <w:pageBreakBefore w:val="0"/>
        <w:bidi w:val="0"/>
        <w:spacing w:before="0" w:after="0" w:line="360" w:lineRule="auto"/>
        <w:ind w:left="0" w:leftChars="0" w:firstLine="0" w:firstLineChars="0"/>
        <w:jc w:val="left"/>
        <w:outlineLvl w:val="3"/>
        <w:rPr>
          <w:rFonts w:hint="eastAsia" w:ascii="宋体" w:hAnsi="宋体" w:eastAsia="宋体" w:cs="宋体"/>
          <w:b/>
          <w:bCs w:val="0"/>
          <w:color w:val="auto"/>
          <w:sz w:val="28"/>
          <w:szCs w:val="28"/>
          <w:highlight w:val="none"/>
        </w:rPr>
      </w:pPr>
      <w:bookmarkStart w:id="0" w:name="_Toc292784423"/>
      <w:bookmarkStart w:id="1" w:name="_Toc234382663"/>
      <w:bookmarkStart w:id="2" w:name="_Toc47864252"/>
      <w:bookmarkStart w:id="3" w:name="_Toc451524585"/>
      <w:bookmarkStart w:id="4" w:name="_Toc315853962"/>
      <w:bookmarkStart w:id="5" w:name="_Toc285184739"/>
      <w:r>
        <w:rPr>
          <w:rFonts w:hint="eastAsia" w:ascii="宋体" w:hAnsi="宋体" w:eastAsia="宋体" w:cs="宋体"/>
          <w:b/>
          <w:bCs w:val="0"/>
          <w:color w:val="auto"/>
          <w:sz w:val="28"/>
          <w:szCs w:val="28"/>
          <w:highlight w:val="none"/>
        </w:rPr>
        <w:t>评标办法前附表</w:t>
      </w:r>
      <w:bookmarkEnd w:id="0"/>
      <w:bookmarkEnd w:id="1"/>
      <w:bookmarkEnd w:id="2"/>
      <w:bookmarkEnd w:id="3"/>
      <w:bookmarkEnd w:id="4"/>
      <w:bookmarkEnd w:id="5"/>
    </w:p>
    <w:tbl>
      <w:tblPr>
        <w:tblStyle w:val="15"/>
        <w:tblW w:w="10154"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743"/>
        <w:gridCol w:w="1095"/>
        <w:gridCol w:w="83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838" w:type="dxa"/>
            <w:gridSpan w:val="2"/>
            <w:tcBorders>
              <w:bottom w:val="single" w:color="auto" w:sz="4" w:space="0"/>
              <w:right w:val="single" w:color="auto" w:sz="4" w:space="0"/>
            </w:tcBorders>
            <w:noWrap w:val="0"/>
            <w:vAlign w:val="center"/>
          </w:tcPr>
          <w:p>
            <w:pPr>
              <w:keepNext w:val="0"/>
              <w:keepLines w:val="0"/>
              <w:pageBreakBefore w:val="0"/>
              <w:kinsoku/>
              <w:wordWrap/>
              <w:bidi w:val="0"/>
              <w:spacing w:line="360" w:lineRule="auto"/>
              <w:ind w:left="105" w:leftChars="50" w:right="105" w:rightChars="5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8316" w:type="dxa"/>
            <w:tcBorders>
              <w:left w:val="single" w:color="auto" w:sz="4" w:space="0"/>
            </w:tcBorders>
            <w:noWrap w:val="0"/>
            <w:vAlign w:val="center"/>
          </w:tcPr>
          <w:p>
            <w:pPr>
              <w:keepNext w:val="0"/>
              <w:keepLines w:val="0"/>
              <w:pageBreakBefore w:val="0"/>
              <w:kinsoku/>
              <w:wordWrap/>
              <w:bidi w:val="0"/>
              <w:spacing w:line="360" w:lineRule="auto"/>
              <w:ind w:left="105" w:leftChars="50" w:right="105" w:rightChars="5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743" w:type="dxa"/>
            <w:tcBorders>
              <w:bottom w:val="single" w:color="auto" w:sz="4" w:space="0"/>
              <w:right w:val="single" w:color="auto" w:sz="6" w:space="0"/>
            </w:tcBorders>
            <w:noWrap w:val="0"/>
            <w:vAlign w:val="center"/>
          </w:tcPr>
          <w:p>
            <w:pPr>
              <w:keepNext w:val="0"/>
              <w:keepLines w:val="0"/>
              <w:pageBreakBefore w:val="0"/>
              <w:kinsoku/>
              <w:wordWrap/>
              <w:bidi w:val="0"/>
              <w:spacing w:line="360" w:lineRule="auto"/>
              <w:ind w:left="105" w:leftChars="50" w:right="105" w:rightChars="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95" w:type="dxa"/>
            <w:tcBorders>
              <w:left w:val="single" w:color="auto" w:sz="6" w:space="0"/>
              <w:bottom w:val="single" w:color="auto" w:sz="4" w:space="0"/>
              <w:right w:val="single" w:color="auto" w:sz="4" w:space="0"/>
            </w:tcBorders>
            <w:noWrap w:val="0"/>
            <w:vAlign w:val="center"/>
          </w:tcPr>
          <w:p>
            <w:pPr>
              <w:keepNext w:val="0"/>
              <w:keepLines w:val="0"/>
              <w:pageBreakBefore w:val="0"/>
              <w:kinsoku/>
              <w:wordWrap/>
              <w:bidi w:val="0"/>
              <w:spacing w:line="360" w:lineRule="auto"/>
              <w:ind w:left="105" w:leftChars="50" w:right="105" w:rightChars="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评标办法</w:t>
            </w:r>
          </w:p>
        </w:tc>
        <w:tc>
          <w:tcPr>
            <w:tcW w:w="8316"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综合评分相等时，评标委员会依次按照以下优先顺序推荐中标候选人或确定中标人：</w:t>
            </w:r>
          </w:p>
          <w:p>
            <w:pPr>
              <w:pStyle w:val="21"/>
              <w:keepNext w:val="0"/>
              <w:keepLines w:val="0"/>
              <w:pageBreakBefore w:val="0"/>
              <w:widowControl/>
              <w:kinsoku/>
              <w:wordWrap/>
              <w:overflowPunct/>
              <w:topLinePunct w:val="0"/>
              <w:autoSpaceDE/>
              <w:autoSpaceDN/>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（1）评标价低的投标人优先；</w:t>
            </w:r>
          </w:p>
          <w:p>
            <w:pPr>
              <w:pStyle w:val="21"/>
              <w:keepNext w:val="0"/>
              <w:keepLines w:val="0"/>
              <w:pageBreakBefore w:val="0"/>
              <w:widowControl/>
              <w:kinsoku/>
              <w:wordWrap/>
              <w:overflowPunct/>
              <w:topLinePunct w:val="0"/>
              <w:autoSpaceDE/>
              <w:autoSpaceDN/>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（2）以评标时采用的信用等级较高的优先；</w:t>
            </w:r>
          </w:p>
          <w:p>
            <w:pPr>
              <w:pStyle w:val="21"/>
              <w:keepNext w:val="0"/>
              <w:keepLines w:val="0"/>
              <w:pageBreakBefore w:val="0"/>
              <w:widowControl/>
              <w:kinsoku/>
              <w:wordWrap/>
              <w:overflowPunct/>
              <w:topLinePunct w:val="0"/>
              <w:autoSpaceDE/>
              <w:autoSpaceDN/>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（3）商务和技术得分较高的投标人优先；</w:t>
            </w:r>
          </w:p>
          <w:p>
            <w:pPr>
              <w:pStyle w:val="21"/>
              <w:keepNext w:val="0"/>
              <w:keepLines w:val="0"/>
              <w:pageBreakBefore w:val="0"/>
              <w:widowControl/>
              <w:kinsoku/>
              <w:wordWrap/>
              <w:overflowPunct/>
              <w:topLinePunct w:val="0"/>
              <w:autoSpaceDE/>
              <w:autoSpaceDN/>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（4）较早购买招标文件的投标人优先。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743" w:type="dxa"/>
            <w:tcBorders>
              <w:bottom w:val="single" w:color="auto" w:sz="4" w:space="0"/>
            </w:tcBorders>
            <w:noWrap w:val="0"/>
            <w:vAlign w:val="center"/>
          </w:tcPr>
          <w:p>
            <w:pPr>
              <w:keepNext w:val="0"/>
              <w:keepLines w:val="0"/>
              <w:pageBreakBefore w:val="0"/>
              <w:kinsoku/>
              <w:wordWrap/>
              <w:bidi w:val="0"/>
              <w:spacing w:line="360" w:lineRule="auto"/>
              <w:ind w:left="105" w:leftChars="50" w:right="105" w:rightChars="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p>
            <w:pPr>
              <w:keepNext w:val="0"/>
              <w:keepLines w:val="0"/>
              <w:pageBreakBefore w:val="0"/>
              <w:kinsoku/>
              <w:wordWrap/>
              <w:bidi w:val="0"/>
              <w:spacing w:line="360" w:lineRule="auto"/>
              <w:ind w:left="105" w:leftChars="50" w:right="105" w:rightChars="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1095" w:type="dxa"/>
            <w:tcBorders>
              <w:bottom w:val="single" w:color="auto" w:sz="4" w:space="0"/>
            </w:tcBorders>
            <w:noWrap w:val="0"/>
            <w:vAlign w:val="center"/>
          </w:tcPr>
          <w:p>
            <w:pPr>
              <w:keepNext w:val="0"/>
              <w:keepLines w:val="0"/>
              <w:pageBreakBefore w:val="0"/>
              <w:kinsoku/>
              <w:wordWrap/>
              <w:bidi w:val="0"/>
              <w:snapToGrid w:val="0"/>
              <w:spacing w:line="360" w:lineRule="auto"/>
              <w:ind w:left="105" w:leftChars="50" w:right="105" w:rightChars="50" w:firstLine="0" w:firstLineChars="0"/>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形式评审与响应性评审标准</w:t>
            </w:r>
          </w:p>
        </w:tc>
        <w:tc>
          <w:tcPr>
            <w:tcW w:w="8316" w:type="dxa"/>
            <w:tcBorders>
              <w:bottom w:val="single" w:color="auto" w:sz="4" w:space="0"/>
            </w:tcBorders>
            <w:noWrap w:val="0"/>
            <w:vAlign w:val="center"/>
          </w:tcPr>
          <w:p>
            <w:pPr>
              <w:keepNext w:val="0"/>
              <w:keepLines w:val="0"/>
              <w:pageBreakBefore w:val="0"/>
              <w:widowControl/>
              <w:kinsoku/>
              <w:wordWrap/>
              <w:bidi w:val="0"/>
              <w:adjustRightInd w:val="0"/>
              <w:snapToGrid/>
              <w:spacing w:line="360" w:lineRule="auto"/>
              <w:ind w:left="105" w:leftChars="50" w:right="105" w:rightChars="50" w:firstLine="0" w:firstLineChars="0"/>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第一个信封（商务及技术文件）评审标准</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电子招标的遵其规定</w:t>
            </w:r>
            <w:r>
              <w:rPr>
                <w:rFonts w:hint="eastAsia" w:ascii="宋体" w:hAnsi="宋体" w:cs="宋体"/>
                <w:b/>
                <w:color w:val="auto"/>
                <w:sz w:val="21"/>
                <w:szCs w:val="21"/>
                <w:highlight w:val="none"/>
                <w:lang w:eastAsia="zh-CN"/>
              </w:rPr>
              <w:t>）</w:t>
            </w:r>
            <w:r>
              <w:rPr>
                <w:rFonts w:hint="eastAsia" w:ascii="宋体" w:hAnsi="宋体" w:eastAsia="宋体" w:cs="宋体"/>
                <w:b/>
                <w:color w:val="auto"/>
                <w:sz w:val="21"/>
                <w:szCs w:val="21"/>
                <w:highlight w:val="none"/>
              </w:rPr>
              <w:t>：</w:t>
            </w:r>
          </w:p>
          <w:p>
            <w:pPr>
              <w:keepNext w:val="0"/>
              <w:keepLines w:val="0"/>
              <w:pageBreakBefore w:val="0"/>
              <w:kinsoku/>
              <w:wordWrap/>
              <w:bidi w:val="0"/>
              <w:adjustRightInd w:val="0"/>
              <w:snapToGrid/>
              <w:spacing w:line="360" w:lineRule="auto"/>
              <w:ind w:left="105" w:leftChars="50" w:right="105" w:rightChars="50" w:firstLine="0" w:firstLineChars="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（1）投标文件按照招标文件规定的格式、内容和要求编制，字迹清晰可辨；</w:t>
            </w:r>
          </w:p>
          <w:p>
            <w:pPr>
              <w:keepNext w:val="0"/>
              <w:keepLines w:val="0"/>
              <w:pageBreakBefore w:val="0"/>
              <w:kinsoku/>
              <w:wordWrap/>
              <w:bidi w:val="0"/>
              <w:adjustRightInd w:val="0"/>
              <w:snapToGrid/>
              <w:spacing w:line="360" w:lineRule="auto"/>
              <w:ind w:left="0" w:leftChars="0" w:right="105" w:rightChars="50" w:firstLine="218" w:firstLineChars="104"/>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a.投标函按招标文件规定填写，且有法定代表人或其授权代理人亲笔签字，盖有</w:t>
            </w:r>
            <w:r>
              <w:rPr>
                <w:rFonts w:hint="eastAsia" w:ascii="宋体" w:hAnsi="宋体" w:eastAsia="宋体" w:cs="宋体"/>
                <w:color w:val="auto"/>
                <w:sz w:val="21"/>
                <w:szCs w:val="21"/>
                <w:highlight w:val="none"/>
                <w:lang w:eastAsia="zh-CN"/>
              </w:rPr>
              <w:t>投标单位公</w:t>
            </w:r>
            <w:r>
              <w:rPr>
                <w:rFonts w:hint="eastAsia" w:ascii="宋体" w:hAnsi="宋体" w:eastAsia="宋体" w:cs="宋体"/>
                <w:color w:val="auto"/>
                <w:sz w:val="21"/>
                <w:szCs w:val="21"/>
                <w:highlight w:val="none"/>
              </w:rPr>
              <w:t>章；</w:t>
            </w:r>
          </w:p>
          <w:p>
            <w:pPr>
              <w:keepNext w:val="0"/>
              <w:keepLines w:val="0"/>
              <w:pageBreakBefore w:val="0"/>
              <w:kinsoku/>
              <w:wordWrap/>
              <w:bidi w:val="0"/>
              <w:adjustRightInd w:val="0"/>
              <w:snapToGrid/>
              <w:spacing w:line="360" w:lineRule="auto"/>
              <w:ind w:left="0" w:leftChars="0" w:right="105" w:rightChars="50" w:firstLine="218" w:firstLineChars="104"/>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b.投标文件</w:t>
            </w:r>
            <w:r>
              <w:rPr>
                <w:rFonts w:hint="eastAsia" w:ascii="宋体" w:hAnsi="宋体" w:eastAsia="宋体" w:cs="宋体"/>
                <w:color w:val="auto"/>
                <w:sz w:val="21"/>
                <w:szCs w:val="21"/>
                <w:highlight w:val="none"/>
                <w:lang w:eastAsia="zh-CN"/>
              </w:rPr>
              <w:t>组成</w:t>
            </w:r>
            <w:r>
              <w:rPr>
                <w:rFonts w:hint="eastAsia" w:ascii="宋体" w:hAnsi="宋体" w:eastAsia="宋体" w:cs="宋体"/>
                <w:color w:val="auto"/>
                <w:sz w:val="21"/>
                <w:szCs w:val="21"/>
                <w:highlight w:val="none"/>
              </w:rPr>
              <w:t>齐全完整，内容清晰可辨；</w:t>
            </w:r>
          </w:p>
          <w:p>
            <w:pPr>
              <w:keepNext w:val="0"/>
              <w:keepLines w:val="0"/>
              <w:pageBreakBefore w:val="0"/>
              <w:kinsoku/>
              <w:wordWrap/>
              <w:bidi w:val="0"/>
              <w:adjustRightInd w:val="0"/>
              <w:snapToGrid/>
              <w:spacing w:line="360" w:lineRule="auto"/>
              <w:ind w:left="0" w:leftChars="0" w:right="105" w:rightChars="50" w:firstLine="218" w:firstLineChars="104"/>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c.投标文件按招标文件规定的形式装订；</w:t>
            </w:r>
          </w:p>
          <w:p>
            <w:pPr>
              <w:keepNext w:val="0"/>
              <w:keepLines w:val="0"/>
              <w:pageBreakBefore w:val="0"/>
              <w:kinsoku/>
              <w:wordWrap/>
              <w:bidi w:val="0"/>
              <w:adjustRightInd w:val="0"/>
              <w:snapToGrid/>
              <w:spacing w:line="360" w:lineRule="auto"/>
              <w:ind w:left="0" w:leftChars="0" w:right="105" w:rightChars="50" w:firstLine="218" w:firstLineChars="104"/>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d．投标文件标明了正、副本，数量满足要求。</w:t>
            </w:r>
          </w:p>
          <w:p>
            <w:pPr>
              <w:keepNext w:val="0"/>
              <w:keepLines w:val="0"/>
              <w:pageBreakBefore w:val="0"/>
              <w:kinsoku/>
              <w:wordWrap/>
              <w:bidi w:val="0"/>
              <w:adjustRightInd w:val="0"/>
              <w:snapToGrid/>
              <w:spacing w:line="360" w:lineRule="auto"/>
              <w:ind w:left="105" w:leftChars="50" w:right="105" w:rightChars="50" w:firstLine="0" w:firstLineChars="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（2）投标文件上法定代表人或其委托代理人的签字、投标人的单位章盖章齐全，符合招标文件规定。</w:t>
            </w:r>
          </w:p>
          <w:p>
            <w:pPr>
              <w:keepNext w:val="0"/>
              <w:keepLines w:val="0"/>
              <w:pageBreakBefore w:val="0"/>
              <w:kinsoku/>
              <w:wordWrap/>
              <w:bidi w:val="0"/>
              <w:adjustRightInd w:val="0"/>
              <w:snapToGrid/>
              <w:spacing w:line="360" w:lineRule="auto"/>
              <w:ind w:left="105" w:leftChars="50" w:right="105" w:rightChars="50" w:firstLine="0" w:firstLineChars="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）投标人按照招标文件规定的金额、形式、时效和内容提供了投标担保：</w:t>
            </w:r>
          </w:p>
          <w:p>
            <w:pPr>
              <w:keepNext w:val="0"/>
              <w:keepLines w:val="0"/>
              <w:pageBreakBefore w:val="0"/>
              <w:kinsoku/>
              <w:wordWrap/>
              <w:bidi w:val="0"/>
              <w:adjustRightInd w:val="0"/>
              <w:snapToGrid/>
              <w:spacing w:line="360" w:lineRule="auto"/>
              <w:ind w:left="0" w:leftChars="0" w:right="105" w:rightChars="50" w:firstLine="218" w:firstLineChars="104"/>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a.投标保证金金额符合招标文件规定的金额，且投标保证金有效期不少于投标有效期；</w:t>
            </w:r>
          </w:p>
          <w:p>
            <w:pPr>
              <w:keepNext w:val="0"/>
              <w:keepLines w:val="0"/>
              <w:pageBreakBefore w:val="0"/>
              <w:kinsoku/>
              <w:wordWrap/>
              <w:bidi w:val="0"/>
              <w:adjustRightInd w:val="0"/>
              <w:snapToGrid/>
              <w:spacing w:line="360" w:lineRule="auto"/>
              <w:ind w:left="0" w:leftChars="0" w:right="105" w:rightChars="50" w:firstLine="218" w:firstLineChars="104"/>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b.若投标保证金采用现金或支票形式提交，投标人应在递交投标文件截止时间之前，将投标保证金由投标人的基本账户转入招标人指定账户，并按照要求在投标文件中附汇款单据（或银行进帐单）；</w:t>
            </w:r>
          </w:p>
          <w:p>
            <w:pPr>
              <w:keepNext w:val="0"/>
              <w:keepLines w:val="0"/>
              <w:pageBreakBefore w:val="0"/>
              <w:kinsoku/>
              <w:wordWrap/>
              <w:bidi w:val="0"/>
              <w:adjustRightInd w:val="0"/>
              <w:snapToGrid/>
              <w:spacing w:line="360" w:lineRule="auto"/>
              <w:ind w:left="0" w:leftChars="0" w:right="105" w:rightChars="50" w:firstLine="218" w:firstLineChars="104"/>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lang w:val="en-US" w:eastAsia="zh-CN"/>
              </w:rPr>
              <w:t>若投标保证金采用银行保函形式提交，银行保函的格式、开具保函的银行均满足招标文件要求，且在递交投标文件截止时间之前向招标人提交了银行保函原件。</w:t>
            </w:r>
          </w:p>
          <w:p>
            <w:pPr>
              <w:keepNext w:val="0"/>
              <w:keepLines w:val="0"/>
              <w:pageBreakBefore w:val="0"/>
              <w:kinsoku/>
              <w:wordWrap/>
              <w:bidi w:val="0"/>
              <w:adjustRightInd w:val="0"/>
              <w:snapToGrid/>
              <w:spacing w:line="360" w:lineRule="auto"/>
              <w:ind w:left="0" w:leftChars="0" w:right="105" w:rightChars="50" w:firstLine="218" w:firstLineChars="104"/>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d.若投标保证金采用保证保险形式提交，保证保险相关要求符合招标文件要求。</w:t>
            </w:r>
          </w:p>
          <w:p>
            <w:pPr>
              <w:pStyle w:val="21"/>
              <w:keepNext w:val="0"/>
              <w:keepLines w:val="0"/>
              <w:pageBreakBefore w:val="0"/>
              <w:widowControl/>
              <w:kinsoku/>
              <w:wordWrap/>
              <w:overflowPunct/>
              <w:topLinePunct w:val="0"/>
              <w:autoSpaceDE/>
              <w:autoSpaceDN/>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）投标人法定代表人授权委托代理人签署投标文件的，须提交授权委托书，且授权人和被授权人均在授权委托书上签名，未使用印章、签名章或其他电子制版签名代替。</w:t>
            </w:r>
          </w:p>
          <w:p>
            <w:pPr>
              <w:pStyle w:val="21"/>
              <w:keepNext w:val="0"/>
              <w:keepLines w:val="0"/>
              <w:pageBreakBefore w:val="0"/>
              <w:widowControl/>
              <w:kinsoku/>
              <w:wordWrap/>
              <w:overflowPunct/>
              <w:topLinePunct w:val="0"/>
              <w:autoSpaceDE/>
              <w:autoSpaceDN/>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法定代表人亲自签署投标文件的，提供了法定代表人身份证明，且法定代表人在法定代表人身份证明上签名，未使用印章、签名章或其他电子制版签名代替。</w:t>
            </w:r>
          </w:p>
          <w:p>
            <w:pPr>
              <w:pStyle w:val="21"/>
              <w:keepNext w:val="0"/>
              <w:keepLines w:val="0"/>
              <w:pageBreakBefore w:val="0"/>
              <w:widowControl/>
              <w:kinsoku/>
              <w:wordWrap/>
              <w:overflowPunct/>
              <w:topLinePunct w:val="0"/>
              <w:autoSpaceDE/>
              <w:autoSpaceDN/>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同一投标人未提交两个以上不同的投标文件，但招标文件要求提交备选投标的除外；</w:t>
            </w:r>
          </w:p>
          <w:p>
            <w:pPr>
              <w:pStyle w:val="21"/>
              <w:keepNext w:val="0"/>
              <w:keepLines w:val="0"/>
              <w:pageBreakBefore w:val="0"/>
              <w:widowControl/>
              <w:kinsoku/>
              <w:wordWrap/>
              <w:overflowPunct/>
              <w:topLinePunct w:val="0"/>
              <w:autoSpaceDE/>
              <w:autoSpaceDN/>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）投标文件未出现有关投标报价的内容；</w:t>
            </w:r>
          </w:p>
          <w:p>
            <w:pPr>
              <w:pStyle w:val="21"/>
              <w:keepNext w:val="0"/>
              <w:keepLines w:val="0"/>
              <w:pageBreakBefore w:val="0"/>
              <w:widowControl/>
              <w:kinsoku/>
              <w:wordWrap/>
              <w:overflowPunct/>
              <w:topLinePunct w:val="0"/>
              <w:autoSpaceDE/>
              <w:autoSpaceDN/>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）投标文件载明的招标项目完成期限符合招标文件规定。</w:t>
            </w:r>
          </w:p>
          <w:p>
            <w:pPr>
              <w:pStyle w:val="21"/>
              <w:keepNext w:val="0"/>
              <w:keepLines w:val="0"/>
              <w:pageBreakBefore w:val="0"/>
              <w:widowControl/>
              <w:kinsoku/>
              <w:wordWrap/>
              <w:overflowPunct/>
              <w:topLinePunct w:val="0"/>
              <w:autoSpaceDE/>
              <w:autoSpaceDN/>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）投标文件对招标文件的实质性要求和条件作出响应。</w:t>
            </w:r>
          </w:p>
          <w:p>
            <w:pPr>
              <w:pStyle w:val="21"/>
              <w:keepNext w:val="0"/>
              <w:keepLines w:val="0"/>
              <w:pageBreakBefore w:val="0"/>
              <w:widowControl/>
              <w:kinsoku/>
              <w:wordWrap/>
              <w:overflowPunct/>
              <w:topLinePunct w:val="0"/>
              <w:autoSpaceDE/>
              <w:autoSpaceDN/>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）权利义务符合招标文件规定：</w:t>
            </w:r>
          </w:p>
          <w:p>
            <w:pPr>
              <w:pStyle w:val="21"/>
              <w:keepNext w:val="0"/>
              <w:keepLines w:val="0"/>
              <w:pageBreakBefore w:val="0"/>
              <w:widowControl/>
              <w:kinsoku/>
              <w:wordWrap/>
              <w:overflowPunct/>
              <w:topLinePunct w:val="0"/>
              <w:autoSpaceDE/>
              <w:autoSpaceDN/>
              <w:bidi w:val="0"/>
              <w:adjustRightInd w:val="0"/>
              <w:snapToGrid/>
              <w:spacing w:line="360" w:lineRule="auto"/>
              <w:ind w:right="105" w:rightChars="5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a.投标人应接受招标文件规定的风险划分原则，未提出新的风险划分办法；</w:t>
            </w:r>
          </w:p>
          <w:p>
            <w:pPr>
              <w:pStyle w:val="21"/>
              <w:keepNext w:val="0"/>
              <w:keepLines w:val="0"/>
              <w:pageBreakBefore w:val="0"/>
              <w:widowControl/>
              <w:kinsoku/>
              <w:wordWrap/>
              <w:overflowPunct/>
              <w:topLinePunct w:val="0"/>
              <w:autoSpaceDE/>
              <w:autoSpaceDN/>
              <w:bidi w:val="0"/>
              <w:adjustRightInd w:val="0"/>
              <w:snapToGrid/>
              <w:spacing w:line="360" w:lineRule="auto"/>
              <w:ind w:right="105" w:rightChars="5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b.投标人未增加委托人的责任范围，或减少投标人义务；</w:t>
            </w:r>
          </w:p>
          <w:p>
            <w:pPr>
              <w:pStyle w:val="21"/>
              <w:keepNext w:val="0"/>
              <w:keepLines w:val="0"/>
              <w:pageBreakBefore w:val="0"/>
              <w:widowControl/>
              <w:kinsoku/>
              <w:wordWrap/>
              <w:overflowPunct/>
              <w:topLinePunct w:val="0"/>
              <w:autoSpaceDE/>
              <w:autoSpaceDN/>
              <w:bidi w:val="0"/>
              <w:adjustRightInd w:val="0"/>
              <w:snapToGrid/>
              <w:spacing w:line="360" w:lineRule="auto"/>
              <w:ind w:right="105" w:rightChars="5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c.投标人未提出不同的支付办法；</w:t>
            </w:r>
          </w:p>
          <w:p>
            <w:pPr>
              <w:pStyle w:val="21"/>
              <w:keepNext w:val="0"/>
              <w:keepLines w:val="0"/>
              <w:pageBreakBefore w:val="0"/>
              <w:widowControl/>
              <w:kinsoku/>
              <w:wordWrap/>
              <w:overflowPunct/>
              <w:topLinePunct w:val="0"/>
              <w:autoSpaceDE/>
              <w:autoSpaceDN/>
              <w:bidi w:val="0"/>
              <w:adjustRightInd w:val="0"/>
              <w:snapToGrid/>
              <w:spacing w:line="360" w:lineRule="auto"/>
              <w:ind w:right="105" w:rightChars="5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d.投标人对合同纠纷、事故处理办法未提出异议；</w:t>
            </w:r>
          </w:p>
          <w:p>
            <w:pPr>
              <w:pStyle w:val="21"/>
              <w:keepNext w:val="0"/>
              <w:keepLines w:val="0"/>
              <w:pageBreakBefore w:val="0"/>
              <w:widowControl/>
              <w:kinsoku/>
              <w:wordWrap/>
              <w:overflowPunct/>
              <w:topLinePunct w:val="0"/>
              <w:autoSpaceDE/>
              <w:autoSpaceDN/>
              <w:bidi w:val="0"/>
              <w:adjustRightInd w:val="0"/>
              <w:snapToGrid/>
              <w:spacing w:line="360" w:lineRule="auto"/>
              <w:ind w:right="105" w:rightChars="5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e.投标人在投标活动中无欺诈行为；</w:t>
            </w:r>
          </w:p>
          <w:p>
            <w:pPr>
              <w:pStyle w:val="21"/>
              <w:keepNext w:val="0"/>
              <w:keepLines w:val="0"/>
              <w:pageBreakBefore w:val="0"/>
              <w:widowControl/>
              <w:kinsoku/>
              <w:wordWrap/>
              <w:overflowPunct/>
              <w:topLinePunct w:val="0"/>
              <w:autoSpaceDE/>
              <w:autoSpaceDN/>
              <w:bidi w:val="0"/>
              <w:adjustRightInd w:val="0"/>
              <w:snapToGrid/>
              <w:spacing w:line="360" w:lineRule="auto"/>
              <w:ind w:right="105" w:rightChars="5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f.投标人未对合同条款有重要保留。</w:t>
            </w:r>
          </w:p>
          <w:p>
            <w:pPr>
              <w:pStyle w:val="21"/>
              <w:keepNext w:val="0"/>
              <w:keepLines w:val="0"/>
              <w:pageBreakBefore w:val="0"/>
              <w:widowControl/>
              <w:kinsoku/>
              <w:wordWrap/>
              <w:overflowPunct/>
              <w:topLinePunct w:val="0"/>
              <w:autoSpaceDE/>
              <w:autoSpaceDN/>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）投标文件正、副本份数符合招标文件第二章“投标人须知”第3.7.4项规定。</w:t>
            </w:r>
          </w:p>
          <w:p>
            <w:pPr>
              <w:pStyle w:val="21"/>
              <w:keepNext w:val="0"/>
              <w:keepLines w:val="0"/>
              <w:pageBreakBefore w:val="0"/>
              <w:widowControl/>
              <w:kinsoku/>
              <w:wordWrap/>
              <w:overflowPunct/>
              <w:topLinePunct w:val="0"/>
              <w:autoSpaceDE/>
              <w:autoSpaceDN/>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）投标文件未附有招标人不能接受的条件</w:t>
            </w:r>
            <w:r>
              <w:rPr>
                <w:rFonts w:hint="eastAsia" w:ascii="宋体" w:hAnsi="宋体" w:eastAsia="宋体" w:cs="宋体"/>
                <w:color w:val="auto"/>
                <w:sz w:val="21"/>
                <w:szCs w:val="21"/>
                <w:highlight w:val="none"/>
                <w:lang w:eastAsia="zh-CN"/>
              </w:rPr>
              <w:t>。</w:t>
            </w:r>
          </w:p>
          <w:p>
            <w:pPr>
              <w:pStyle w:val="22"/>
              <w:keepNext w:val="0"/>
              <w:keepLines w:val="0"/>
              <w:pageBreakBefore w:val="0"/>
              <w:kinsoku/>
              <w:wordWrap/>
              <w:overflowPunct w:val="0"/>
              <w:topLinePunct/>
              <w:bidi w:val="0"/>
              <w:adjustRightInd w:val="0"/>
              <w:snapToGrid/>
              <w:spacing w:line="360" w:lineRule="auto"/>
              <w:ind w:left="105" w:leftChars="50" w:right="105" w:rightChars="50" w:firstLine="0" w:firstLineChars="0"/>
              <w:jc w:val="both"/>
              <w:textAlignment w:val="baseline"/>
              <w:rPr>
                <w:rFonts w:hint="eastAsia" w:ascii="宋体" w:hAnsi="宋体" w:eastAsia="宋体" w:cs="宋体"/>
                <w:b/>
                <w:color w:val="auto"/>
                <w:sz w:val="21"/>
                <w:szCs w:val="21"/>
                <w:highlight w:val="none"/>
              </w:rPr>
            </w:pPr>
          </w:p>
          <w:p>
            <w:pPr>
              <w:keepNext w:val="0"/>
              <w:keepLines w:val="0"/>
              <w:pageBreakBefore w:val="0"/>
              <w:kinsoku/>
              <w:wordWrap/>
              <w:bidi w:val="0"/>
              <w:adjustRightInd w:val="0"/>
              <w:snapToGrid/>
              <w:spacing w:line="360" w:lineRule="auto"/>
              <w:ind w:left="105" w:leftChars="50" w:right="105" w:rightChars="50" w:firstLine="0" w:firstLineChars="0"/>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第二个信封（报价文件）评审标准</w:t>
            </w:r>
            <w:r>
              <w:rPr>
                <w:rFonts w:hint="eastAsia" w:ascii="宋体" w:hAnsi="宋体" w:eastAsia="宋体" w:cs="宋体"/>
                <w:b/>
                <w:bCs/>
                <w:color w:val="auto"/>
                <w:sz w:val="21"/>
                <w:szCs w:val="21"/>
                <w:highlight w:val="none"/>
                <w:lang w:eastAsia="zh-CN"/>
              </w:rPr>
              <w:t>：</w:t>
            </w:r>
          </w:p>
          <w:p>
            <w:pPr>
              <w:keepNext w:val="0"/>
              <w:keepLines w:val="0"/>
              <w:pageBreakBefore w:val="0"/>
              <w:kinsoku/>
              <w:wordWrap/>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（1）投标文件按招标文件规定的格式、内容填写，字迹清晰可辨，内容齐全完整；</w:t>
            </w:r>
          </w:p>
          <w:p>
            <w:pPr>
              <w:keepNext w:val="0"/>
              <w:keepLines w:val="0"/>
              <w:pageBreakBefore w:val="0"/>
              <w:kinsoku/>
              <w:wordWrap/>
              <w:bidi w:val="0"/>
              <w:adjustRightInd w:val="0"/>
              <w:snapToGrid/>
              <w:spacing w:line="360" w:lineRule="auto"/>
              <w:ind w:right="105" w:rightChars="5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a.投标函按招标文件规定填报了项目名称、投标价（包括大写金额和小写金额）；</w:t>
            </w:r>
          </w:p>
          <w:p>
            <w:pPr>
              <w:keepNext w:val="0"/>
              <w:keepLines w:val="0"/>
              <w:pageBreakBefore w:val="0"/>
              <w:kinsoku/>
              <w:wordWrap/>
              <w:bidi w:val="0"/>
              <w:adjustRightInd w:val="0"/>
              <w:snapToGrid/>
              <w:spacing w:line="360" w:lineRule="auto"/>
              <w:ind w:right="105" w:rightChars="5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b.已标价报价清单说明文字与招标文件规定一致，未进行实质性修改和删减；</w:t>
            </w:r>
          </w:p>
          <w:p>
            <w:pPr>
              <w:keepNext w:val="0"/>
              <w:keepLines w:val="0"/>
              <w:pageBreakBefore w:val="0"/>
              <w:kinsoku/>
              <w:wordWrap/>
              <w:bidi w:val="0"/>
              <w:adjustRightInd w:val="0"/>
              <w:snapToGrid/>
              <w:spacing w:line="360" w:lineRule="auto"/>
              <w:ind w:right="105" w:rightChars="5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c.投标文件组成齐全完整，内容均按规定填写。</w:t>
            </w:r>
          </w:p>
          <w:p>
            <w:pPr>
              <w:keepNext w:val="0"/>
              <w:keepLines w:val="0"/>
              <w:pageBreakBefore w:val="0"/>
              <w:kinsoku/>
              <w:wordWrap/>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（2）投标文件上法定代表人或其授权代理人的签字、投标人的单位章齐全，符合招标文件规定</w:t>
            </w:r>
            <w:r>
              <w:rPr>
                <w:rFonts w:hint="eastAsia" w:ascii="宋体" w:hAnsi="宋体" w:eastAsia="宋体" w:cs="宋体"/>
                <w:color w:val="auto"/>
                <w:sz w:val="21"/>
                <w:szCs w:val="21"/>
                <w:highlight w:val="none"/>
                <w:lang w:eastAsia="zh-CN"/>
              </w:rPr>
              <w:t>；</w:t>
            </w:r>
          </w:p>
          <w:p>
            <w:pPr>
              <w:keepNext w:val="0"/>
              <w:keepLines w:val="0"/>
              <w:pageBreakBefore w:val="0"/>
              <w:kinsoku/>
              <w:wordWrap/>
              <w:bidi w:val="0"/>
              <w:adjustRightInd w:val="0"/>
              <w:snapToGrid/>
              <w:spacing w:line="360" w:lineRule="auto"/>
              <w:ind w:left="105" w:leftChars="50" w:right="105" w:rightChars="50" w:firstLine="0" w:firstLineChars="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（3）在报价函上填写了投标总价（包括大写金额和小写金额）。投标总价</w:t>
            </w:r>
            <w:r>
              <w:rPr>
                <w:rFonts w:hint="eastAsia" w:ascii="宋体" w:hAnsi="宋体" w:eastAsia="宋体" w:cs="宋体"/>
                <w:b/>
                <w:bCs/>
                <w:color w:val="auto"/>
                <w:sz w:val="21"/>
                <w:szCs w:val="21"/>
                <w:highlight w:val="none"/>
                <w:lang w:val="en-US" w:eastAsia="zh-CN"/>
              </w:rPr>
              <w:t>报</w:t>
            </w:r>
            <w:r>
              <w:rPr>
                <w:rFonts w:hint="eastAsia" w:ascii="宋体" w:hAnsi="宋体" w:eastAsia="宋体" w:cs="宋体"/>
                <w:b/>
                <w:bCs/>
                <w:color w:val="auto"/>
                <w:sz w:val="21"/>
                <w:szCs w:val="21"/>
                <w:highlight w:val="none"/>
              </w:rPr>
              <w:t>价不高于招标人公布的最高投标限价，且报价唯一；</w:t>
            </w:r>
          </w:p>
          <w:p>
            <w:pPr>
              <w:keepNext w:val="0"/>
              <w:keepLines w:val="0"/>
              <w:pageBreakBefore w:val="0"/>
              <w:kinsoku/>
              <w:wordWrap/>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（4）投标报价的大写金额能够确定具体数值。</w:t>
            </w:r>
          </w:p>
          <w:p>
            <w:pPr>
              <w:keepNext w:val="0"/>
              <w:keepLines w:val="0"/>
              <w:pageBreakBefore w:val="0"/>
              <w:kinsoku/>
              <w:wordWrap/>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（5）同一投标人未提交两个以上不同的投标报价，但招标文件要求提交备选投标的除外。</w:t>
            </w:r>
          </w:p>
          <w:p>
            <w:pPr>
              <w:keepNext w:val="0"/>
              <w:keepLines w:val="0"/>
              <w:pageBreakBefore w:val="0"/>
              <w:kinsoku/>
              <w:wordWrap/>
              <w:bidi w:val="0"/>
              <w:adjustRightInd w:val="0"/>
              <w:snapToGrid/>
              <w:spacing w:line="360" w:lineRule="auto"/>
              <w:ind w:left="105" w:leftChars="50" w:right="105" w:rightChars="50" w:firstLine="0" w:firstLineChars="0"/>
              <w:textAlignment w:val="baseline"/>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（6）投标文件正、副本份数符合招标文件第二章“投标人须知”第3.7.4项规定。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743" w:type="dxa"/>
            <w:tcBorders>
              <w:top w:val="single" w:color="auto" w:sz="4" w:space="0"/>
            </w:tcBorders>
            <w:noWrap w:val="0"/>
            <w:vAlign w:val="center"/>
          </w:tcPr>
          <w:p>
            <w:pPr>
              <w:keepNext w:val="0"/>
              <w:keepLines w:val="0"/>
              <w:pageBreakBefore w:val="0"/>
              <w:kinsoku/>
              <w:wordWrap/>
              <w:bidi w:val="0"/>
              <w:spacing w:line="360" w:lineRule="auto"/>
              <w:ind w:left="105" w:leftChars="50" w:right="105" w:rightChars="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1095" w:type="dxa"/>
            <w:tcBorders>
              <w:top w:val="single" w:color="auto" w:sz="4" w:space="0"/>
            </w:tcBorders>
            <w:noWrap w:val="0"/>
            <w:vAlign w:val="center"/>
          </w:tcPr>
          <w:p>
            <w:pPr>
              <w:keepNext w:val="0"/>
              <w:keepLines w:val="0"/>
              <w:pageBreakBefore w:val="0"/>
              <w:kinsoku/>
              <w:wordWrap/>
              <w:bidi w:val="0"/>
              <w:snapToGrid w:val="0"/>
              <w:spacing w:line="360" w:lineRule="auto"/>
              <w:ind w:left="105" w:leftChars="50" w:right="105" w:rightChars="50" w:firstLine="0" w:firstLineChars="0"/>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8316"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（1）投标人具备</w:t>
            </w:r>
            <w:r>
              <w:rPr>
                <w:rFonts w:hint="eastAsia" w:ascii="宋体" w:hAnsi="宋体" w:eastAsia="宋体" w:cs="宋体"/>
                <w:color w:val="auto"/>
                <w:sz w:val="21"/>
                <w:szCs w:val="21"/>
                <w:highlight w:val="none"/>
                <w:lang w:eastAsia="zh-CN"/>
              </w:rPr>
              <w:t>有效的事业单位法人证书（或</w:t>
            </w:r>
            <w:r>
              <w:rPr>
                <w:rFonts w:hint="eastAsia" w:ascii="宋体" w:hAnsi="宋体" w:eastAsia="宋体" w:cs="宋体"/>
                <w:color w:val="auto"/>
                <w:sz w:val="21"/>
                <w:szCs w:val="21"/>
                <w:highlight w:val="none"/>
              </w:rPr>
              <w:t>营业执照、组织机构代码证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基本账户开户许可证</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基本存款帐户信息</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p>
            <w:pPr>
              <w:pStyle w:val="21"/>
              <w:keepNext w:val="0"/>
              <w:keepLines w:val="0"/>
              <w:pageBreakBefore w:val="0"/>
              <w:widowControl/>
              <w:kinsoku/>
              <w:wordWrap/>
              <w:overflowPunct/>
              <w:topLinePunct w:val="0"/>
              <w:autoSpaceDE/>
              <w:autoSpaceDN/>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）投标人的资质等级符合招标文件规定；</w:t>
            </w:r>
          </w:p>
          <w:p>
            <w:pPr>
              <w:pStyle w:val="21"/>
              <w:keepNext w:val="0"/>
              <w:keepLines w:val="0"/>
              <w:pageBreakBefore w:val="0"/>
              <w:widowControl/>
              <w:kinsoku/>
              <w:wordWrap/>
              <w:overflowPunct/>
              <w:topLinePunct w:val="0"/>
              <w:autoSpaceDE/>
              <w:autoSpaceDN/>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）投标人的信誉符合招标文件规定；</w:t>
            </w:r>
          </w:p>
          <w:p>
            <w:pPr>
              <w:pStyle w:val="21"/>
              <w:keepNext w:val="0"/>
              <w:keepLines w:val="0"/>
              <w:pageBreakBefore w:val="0"/>
              <w:widowControl/>
              <w:kinsoku/>
              <w:wordWrap/>
              <w:overflowPunct/>
              <w:topLinePunct w:val="0"/>
              <w:autoSpaceDE/>
              <w:autoSpaceDN/>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）投标人的主要人员资格、在岗情况符合招标文件规定；</w:t>
            </w:r>
          </w:p>
          <w:p>
            <w:pPr>
              <w:pStyle w:val="21"/>
              <w:keepNext w:val="0"/>
              <w:keepLines w:val="0"/>
              <w:pageBreakBefore w:val="0"/>
              <w:widowControl/>
              <w:kinsoku/>
              <w:wordWrap/>
              <w:overflowPunct/>
              <w:topLinePunct w:val="0"/>
              <w:autoSpaceDE/>
              <w:autoSpaceDN/>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）投标人的其他要求符合招标文件的规定；</w:t>
            </w:r>
          </w:p>
          <w:p>
            <w:pPr>
              <w:pStyle w:val="21"/>
              <w:keepNext w:val="0"/>
              <w:keepLines w:val="0"/>
              <w:pageBreakBefore w:val="0"/>
              <w:widowControl/>
              <w:kinsoku/>
              <w:wordWrap/>
              <w:overflowPunct/>
              <w:topLinePunct w:val="0"/>
              <w:autoSpaceDE/>
              <w:autoSpaceDN/>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）投标人不存在第二章“投标人须知”第1.4.3项或第1.4.4项规定的任何一种情形。</w:t>
            </w:r>
          </w:p>
        </w:tc>
      </w:tr>
    </w:tbl>
    <w:p>
      <w:pPr>
        <w:keepLines w:val="0"/>
        <w:pageBreakBefore w:val="0"/>
        <w:bidi w:val="0"/>
        <w:spacing w:line="360" w:lineRule="auto"/>
        <w:jc w:val="right"/>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续上表</w:t>
      </w:r>
    </w:p>
    <w:tbl>
      <w:tblPr>
        <w:tblStyle w:val="15"/>
        <w:tblW w:w="9837"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
      <w:tblGrid>
        <w:gridCol w:w="878"/>
        <w:gridCol w:w="1387"/>
        <w:gridCol w:w="389"/>
        <w:gridCol w:w="789"/>
        <w:gridCol w:w="1363"/>
        <w:gridCol w:w="846"/>
        <w:gridCol w:w="418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10" w:hRule="atLeast"/>
          <w:jc w:val="center"/>
        </w:trPr>
        <w:tc>
          <w:tcPr>
            <w:tcW w:w="878"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1776" w:type="dxa"/>
            <w:gridSpan w:val="2"/>
            <w:noWrap w:val="0"/>
            <w:vAlign w:val="center"/>
          </w:tcPr>
          <w:p>
            <w:pPr>
              <w:keepNext w:val="0"/>
              <w:keepLines w:val="0"/>
              <w:pageBreakBefore w:val="0"/>
              <w:widowControl w:val="0"/>
              <w:kinsoku/>
              <w:wordWrap/>
              <w:overflowPunct/>
              <w:topLinePunct w:val="0"/>
              <w:autoSpaceDE/>
              <w:autoSpaceDN/>
              <w:bidi w:val="0"/>
              <w:spacing w:line="360" w:lineRule="auto"/>
              <w:ind w:right="105" w:right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条款内容</w:t>
            </w:r>
          </w:p>
        </w:tc>
        <w:tc>
          <w:tcPr>
            <w:tcW w:w="7183" w:type="dxa"/>
            <w:gridSpan w:val="4"/>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 列 内 容</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435" w:hRule="atLeast"/>
          <w:jc w:val="center"/>
        </w:trPr>
        <w:tc>
          <w:tcPr>
            <w:tcW w:w="878"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1776" w:type="dxa"/>
            <w:gridSpan w:val="2"/>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分值构成</w:t>
            </w:r>
          </w:p>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（总分100分）</w:t>
            </w:r>
          </w:p>
        </w:tc>
        <w:tc>
          <w:tcPr>
            <w:tcW w:w="7183" w:type="dxa"/>
            <w:gridSpan w:val="4"/>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210" w:firstLineChars="1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投标文件评分分值构成：</w:t>
            </w:r>
          </w:p>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211" w:firstLineChars="1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一、技术</w:t>
            </w:r>
            <w:r>
              <w:rPr>
                <w:rFonts w:hint="eastAsia" w:ascii="宋体" w:hAnsi="宋体" w:eastAsia="宋体" w:cs="宋体"/>
                <w:b/>
                <w:bCs/>
                <w:color w:val="auto"/>
                <w:sz w:val="21"/>
                <w:szCs w:val="21"/>
                <w:highlight w:val="none"/>
                <w:lang w:eastAsia="zh-CN"/>
              </w:rPr>
              <w:t>建议书</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rPr>
              <w:t>40</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rPr>
              <w:t>分</w:t>
            </w:r>
          </w:p>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211" w:firstLineChars="100"/>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eastAsia="zh-CN"/>
              </w:rPr>
              <w:t>资信业绩</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eastAsia="zh-CN"/>
              </w:rPr>
              <w:t>50</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，其中：</w:t>
            </w:r>
          </w:p>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632" w:firstLineChars="3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主要人员：</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cs="宋体"/>
                <w:b/>
                <w:bCs/>
                <w:color w:val="auto"/>
                <w:sz w:val="21"/>
                <w:szCs w:val="21"/>
                <w:highlight w:val="none"/>
                <w:u w:val="single"/>
                <w:lang w:val="en-US" w:eastAsia="zh-CN"/>
              </w:rPr>
              <w:t>15</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rPr>
              <w:t>分</w:t>
            </w:r>
          </w:p>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632" w:firstLineChars="3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业绩</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cs="宋体"/>
                <w:b/>
                <w:bCs/>
                <w:color w:val="auto"/>
                <w:sz w:val="21"/>
                <w:szCs w:val="21"/>
                <w:highlight w:val="none"/>
                <w:u w:val="single"/>
                <w:lang w:val="en-US" w:eastAsia="zh-CN"/>
              </w:rPr>
              <w:t>32</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rPr>
              <w:t>分</w:t>
            </w:r>
          </w:p>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632" w:firstLineChars="300"/>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信誉</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u w:val="single"/>
                <w:lang w:val="en-US" w:eastAsia="zh-CN"/>
              </w:rPr>
              <w:t xml:space="preserve"> 3 </w:t>
            </w:r>
            <w:r>
              <w:rPr>
                <w:rFonts w:hint="eastAsia" w:ascii="宋体" w:hAnsi="宋体" w:eastAsia="宋体" w:cs="宋体"/>
                <w:b/>
                <w:bCs/>
                <w:color w:val="auto"/>
                <w:sz w:val="21"/>
                <w:szCs w:val="21"/>
                <w:highlight w:val="none"/>
              </w:rPr>
              <w:t>分</w:t>
            </w:r>
          </w:p>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211" w:firstLineChars="1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三、投标报价得分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rPr>
              <w:t>10</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590" w:hRule="atLeast"/>
          <w:jc w:val="center"/>
        </w:trPr>
        <w:tc>
          <w:tcPr>
            <w:tcW w:w="878"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1776" w:type="dxa"/>
            <w:gridSpan w:val="2"/>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firstLine="0" w:firstLineChars="0"/>
              <w:jc w:val="center"/>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评标基准价计算方法</w:t>
            </w:r>
          </w:p>
        </w:tc>
        <w:tc>
          <w:tcPr>
            <w:tcW w:w="7183" w:type="dxa"/>
            <w:gridSpan w:val="4"/>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211" w:firstLineChars="1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评标基准价的计算：</w:t>
            </w:r>
          </w:p>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211" w:firstLineChars="1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（1）评标价的确定：</w:t>
            </w:r>
          </w:p>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210" w:firstLineChars="100"/>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评标价=投标函文字报价</w:t>
            </w:r>
          </w:p>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211" w:firstLineChars="1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（2）评标价平均值的计算：</w:t>
            </w:r>
          </w:p>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除按第二章“投标人须知”第5.2.4项规定开标现场被宣布为不进入评标基准价计算的投标报价之外，所有通过第一信封初步评审的投标人且价格在招标控制价的</w:t>
            </w:r>
            <w:r>
              <w:rPr>
                <w:rFonts w:hint="eastAsia" w:ascii="宋体" w:hAnsi="宋体" w:eastAsia="宋体" w:cs="宋体"/>
                <w:b/>
                <w:bCs/>
                <w:color w:val="auto"/>
                <w:sz w:val="21"/>
                <w:szCs w:val="21"/>
                <w:highlight w:val="none"/>
              </w:rPr>
              <w:t>85%与100%之间（含85%和100%）</w:t>
            </w:r>
            <w:r>
              <w:rPr>
                <w:rFonts w:hint="eastAsia" w:ascii="宋体" w:hAnsi="宋体" w:eastAsia="宋体" w:cs="宋体"/>
                <w:color w:val="auto"/>
                <w:sz w:val="21"/>
                <w:szCs w:val="21"/>
                <w:highlight w:val="none"/>
              </w:rPr>
              <w:t>的评标价去掉一个最高值和一个最低值后的算术平均值即为评标价平均值（如果参与评标价平均值计算的有效投标人少于5家时，则计算评标价平均值时不去掉最高值和最低值）。</w:t>
            </w:r>
          </w:p>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211" w:firstLineChars="1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（3）评标基准价的确定：</w:t>
            </w:r>
          </w:p>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210" w:firstLineChars="1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将评标价平均值直接作为评标基准价。</w:t>
            </w:r>
          </w:p>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210" w:firstLineChars="1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365" w:hRule="atLeast"/>
          <w:jc w:val="center"/>
        </w:trPr>
        <w:tc>
          <w:tcPr>
            <w:tcW w:w="878"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1776" w:type="dxa"/>
            <w:gridSpan w:val="2"/>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评标价的偏差率计算公式</w:t>
            </w:r>
          </w:p>
        </w:tc>
        <w:tc>
          <w:tcPr>
            <w:tcW w:w="7183" w:type="dxa"/>
            <w:gridSpan w:val="4"/>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312"/>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偏差率=100%×｜（投标人评标价-评标基准价）︱/评标基准价</w:t>
            </w:r>
          </w:p>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312"/>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偏差率保留两位小数。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52" w:hRule="atLeast"/>
          <w:jc w:val="center"/>
        </w:trPr>
        <w:tc>
          <w:tcPr>
            <w:tcW w:w="9837" w:type="dxa"/>
            <w:gridSpan w:val="7"/>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firstLine="211" w:firstLineChars="1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评分因素与权重分值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0" w:hRule="atLeast"/>
          <w:jc w:val="center"/>
        </w:trPr>
        <w:tc>
          <w:tcPr>
            <w:tcW w:w="878"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p>
        </w:tc>
        <w:tc>
          <w:tcPr>
            <w:tcW w:w="1387"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w:t>
            </w:r>
          </w:p>
        </w:tc>
        <w:tc>
          <w:tcPr>
            <w:tcW w:w="1178" w:type="dxa"/>
            <w:gridSpan w:val="2"/>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评分因素权重分植</w:t>
            </w:r>
          </w:p>
        </w:tc>
        <w:tc>
          <w:tcPr>
            <w:tcW w:w="1363"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各评分因素细分项</w:t>
            </w:r>
          </w:p>
        </w:tc>
        <w:tc>
          <w:tcPr>
            <w:tcW w:w="846"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4185"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评标标准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888" w:hRule="atLeast"/>
          <w:jc w:val="center"/>
        </w:trPr>
        <w:tc>
          <w:tcPr>
            <w:tcW w:w="878" w:type="dxa"/>
            <w:vMerge w:val="restart"/>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2.2.4（1）</w:t>
            </w:r>
          </w:p>
        </w:tc>
        <w:tc>
          <w:tcPr>
            <w:tcW w:w="1387" w:type="dxa"/>
            <w:vMerge w:val="restart"/>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技术建议书</w:t>
            </w:r>
          </w:p>
        </w:tc>
        <w:tc>
          <w:tcPr>
            <w:tcW w:w="1178" w:type="dxa"/>
            <w:gridSpan w:val="2"/>
            <w:vMerge w:val="restart"/>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default"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分</w:t>
            </w:r>
          </w:p>
        </w:tc>
        <w:tc>
          <w:tcPr>
            <w:tcW w:w="1363" w:type="dxa"/>
            <w:noWrap w:val="0"/>
            <w:vAlign w:val="center"/>
          </w:tcPr>
          <w:p>
            <w:pPr>
              <w:keepLines w:val="0"/>
              <w:pageBreakBefore w:val="0"/>
              <w:bidi w:val="0"/>
              <w:spacing w:line="360" w:lineRule="auto"/>
              <w:ind w:firstLine="0" w:firstLineChars="0"/>
              <w:jc w:val="center"/>
              <w:rPr>
                <w:rFonts w:hint="eastAsia" w:ascii="宋体" w:hAnsi="宋体" w:eastAsia="宋体" w:cs="宋体"/>
                <w:color w:val="auto"/>
                <w:sz w:val="21"/>
                <w:szCs w:val="21"/>
                <w:highlight w:val="none"/>
              </w:rPr>
            </w:pPr>
            <w:r>
              <w:rPr>
                <w:rFonts w:hint="eastAsia" w:hAnsi="宋体"/>
                <w:color w:val="auto"/>
                <w:szCs w:val="21"/>
                <w:highlight w:val="none"/>
                <w:lang w:eastAsia="zh-CN"/>
              </w:rPr>
              <w:t>监控</w:t>
            </w:r>
            <w:r>
              <w:rPr>
                <w:rFonts w:hint="eastAsia" w:hAnsi="宋体"/>
                <w:color w:val="auto"/>
                <w:szCs w:val="21"/>
                <w:highlight w:val="none"/>
              </w:rPr>
              <w:t>工作总体目标和思路</w:t>
            </w:r>
          </w:p>
        </w:tc>
        <w:tc>
          <w:tcPr>
            <w:tcW w:w="846" w:type="dxa"/>
            <w:noWrap w:val="0"/>
            <w:vAlign w:val="center"/>
          </w:tcPr>
          <w:p>
            <w:pPr>
              <w:keepLines w:val="0"/>
              <w:pageBreakBefore w:val="0"/>
              <w:bidi w:val="0"/>
              <w:spacing w:line="360" w:lineRule="auto"/>
              <w:ind w:firstLine="0" w:firstLineChars="0"/>
              <w:jc w:val="center"/>
              <w:rPr>
                <w:rFonts w:hint="eastAsia" w:ascii="宋体" w:hAnsi="宋体" w:eastAsia="宋体" w:cs="宋体"/>
                <w:color w:val="auto"/>
                <w:sz w:val="21"/>
                <w:szCs w:val="21"/>
                <w:highlight w:val="none"/>
              </w:rPr>
            </w:pPr>
            <w:r>
              <w:rPr>
                <w:rFonts w:hint="eastAsia" w:hAnsi="宋体"/>
                <w:color w:val="auto"/>
                <w:szCs w:val="21"/>
                <w:highlight w:val="none"/>
              </w:rPr>
              <w:t>8分</w:t>
            </w:r>
          </w:p>
        </w:tc>
        <w:tc>
          <w:tcPr>
            <w:tcW w:w="4185" w:type="dxa"/>
            <w:noWrap w:val="0"/>
            <w:vAlign w:val="center"/>
          </w:tcPr>
          <w:p>
            <w:pPr>
              <w:keepLines w:val="0"/>
              <w:pageBreakBefore w:val="0"/>
              <w:bidi w:val="0"/>
              <w:spacing w:line="360" w:lineRule="auto"/>
              <w:ind w:firstLine="0" w:firstLineChars="0"/>
              <w:rPr>
                <w:rFonts w:hint="eastAsia" w:ascii="宋体" w:hAnsi="宋体" w:eastAsia="宋体" w:cs="宋体"/>
                <w:color w:val="auto"/>
                <w:sz w:val="21"/>
                <w:szCs w:val="21"/>
                <w:highlight w:val="none"/>
              </w:rPr>
            </w:pPr>
            <w:r>
              <w:rPr>
                <w:rFonts w:hint="eastAsia" w:hAnsi="宋体"/>
                <w:color w:val="auto"/>
                <w:szCs w:val="21"/>
                <w:highlight w:val="none"/>
              </w:rPr>
              <w:t>根据总体目标和思路合理性、可行性情况得4.8～8分；无此分项得0分。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1236" w:hRule="atLeast"/>
          <w:jc w:val="center"/>
        </w:trPr>
        <w:tc>
          <w:tcPr>
            <w:tcW w:w="878" w:type="dxa"/>
            <w:vMerge w:val="continue"/>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jc w:val="center"/>
              <w:rPr>
                <w:rFonts w:hint="eastAsia" w:ascii="宋体" w:hAnsi="宋体" w:eastAsia="宋体" w:cs="宋体"/>
                <w:color w:val="auto"/>
                <w:sz w:val="21"/>
                <w:szCs w:val="21"/>
                <w:highlight w:val="none"/>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jc w:val="center"/>
              <w:rPr>
                <w:rFonts w:hint="eastAsia" w:ascii="宋体" w:hAnsi="宋体" w:eastAsia="宋体" w:cs="宋体"/>
                <w:color w:val="auto"/>
                <w:sz w:val="21"/>
                <w:szCs w:val="21"/>
                <w:highlight w:val="none"/>
              </w:rPr>
            </w:pPr>
          </w:p>
        </w:tc>
        <w:tc>
          <w:tcPr>
            <w:tcW w:w="1178" w:type="dxa"/>
            <w:gridSpan w:val="2"/>
            <w:vMerge w:val="continue"/>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jc w:val="center"/>
              <w:rPr>
                <w:rFonts w:hint="eastAsia" w:ascii="宋体" w:hAnsi="宋体" w:eastAsia="宋体" w:cs="宋体"/>
                <w:color w:val="auto"/>
                <w:sz w:val="21"/>
                <w:szCs w:val="21"/>
                <w:highlight w:val="none"/>
              </w:rPr>
            </w:pPr>
          </w:p>
        </w:tc>
        <w:tc>
          <w:tcPr>
            <w:tcW w:w="1363" w:type="dxa"/>
            <w:noWrap w:val="0"/>
            <w:vAlign w:val="center"/>
          </w:tcPr>
          <w:p>
            <w:pPr>
              <w:keepLines w:val="0"/>
              <w:pageBreakBefore w:val="0"/>
              <w:bidi w:val="0"/>
              <w:spacing w:line="360" w:lineRule="auto"/>
              <w:ind w:firstLine="0" w:firstLineChars="0"/>
              <w:jc w:val="center"/>
              <w:rPr>
                <w:rFonts w:hint="eastAsia" w:ascii="宋体" w:hAnsi="宋体" w:eastAsia="宋体" w:cs="宋体"/>
                <w:color w:val="auto"/>
                <w:sz w:val="21"/>
                <w:szCs w:val="21"/>
                <w:highlight w:val="none"/>
              </w:rPr>
            </w:pPr>
            <w:r>
              <w:rPr>
                <w:rFonts w:hint="eastAsia" w:hAnsi="宋体"/>
                <w:color w:val="auto"/>
                <w:szCs w:val="21"/>
                <w:highlight w:val="none"/>
                <w:lang w:eastAsia="zh-CN"/>
              </w:rPr>
              <w:t>监控</w:t>
            </w:r>
            <w:r>
              <w:rPr>
                <w:rFonts w:hint="eastAsia" w:hAnsi="宋体"/>
                <w:color w:val="auto"/>
                <w:szCs w:val="21"/>
                <w:highlight w:val="none"/>
              </w:rPr>
              <w:t>工作措施和方法</w:t>
            </w:r>
          </w:p>
        </w:tc>
        <w:tc>
          <w:tcPr>
            <w:tcW w:w="846" w:type="dxa"/>
            <w:noWrap w:val="0"/>
            <w:vAlign w:val="center"/>
          </w:tcPr>
          <w:p>
            <w:pPr>
              <w:keepLines w:val="0"/>
              <w:pageBreakBefore w:val="0"/>
              <w:bidi w:val="0"/>
              <w:spacing w:line="360" w:lineRule="auto"/>
              <w:ind w:firstLine="0" w:firstLineChars="0"/>
              <w:jc w:val="center"/>
              <w:rPr>
                <w:rFonts w:hint="eastAsia" w:ascii="宋体" w:hAnsi="宋体" w:eastAsia="宋体" w:cs="宋体"/>
                <w:color w:val="auto"/>
                <w:sz w:val="21"/>
                <w:szCs w:val="21"/>
                <w:highlight w:val="none"/>
              </w:rPr>
            </w:pPr>
            <w:r>
              <w:rPr>
                <w:rFonts w:hint="eastAsia" w:hAnsi="宋体"/>
                <w:color w:val="auto"/>
                <w:szCs w:val="21"/>
                <w:highlight w:val="none"/>
              </w:rPr>
              <w:t>8分</w:t>
            </w:r>
          </w:p>
        </w:tc>
        <w:tc>
          <w:tcPr>
            <w:tcW w:w="4185" w:type="dxa"/>
            <w:noWrap w:val="0"/>
            <w:vAlign w:val="center"/>
          </w:tcPr>
          <w:p>
            <w:pPr>
              <w:keepLines w:val="0"/>
              <w:pageBreakBefore w:val="0"/>
              <w:bidi w:val="0"/>
              <w:spacing w:line="360" w:lineRule="auto"/>
              <w:ind w:firstLine="0" w:firstLineChars="0"/>
              <w:rPr>
                <w:rFonts w:hint="eastAsia" w:ascii="宋体" w:hAnsi="宋体" w:eastAsia="宋体" w:cs="宋体"/>
                <w:color w:val="auto"/>
                <w:sz w:val="21"/>
                <w:szCs w:val="21"/>
                <w:highlight w:val="none"/>
              </w:rPr>
            </w:pPr>
            <w:r>
              <w:rPr>
                <w:rFonts w:hint="eastAsia" w:hAnsi="宋体"/>
                <w:color w:val="auto"/>
                <w:szCs w:val="21"/>
                <w:highlight w:val="none"/>
              </w:rPr>
              <w:t>根据</w:t>
            </w:r>
            <w:r>
              <w:rPr>
                <w:rFonts w:hint="eastAsia" w:hAnsi="宋体"/>
                <w:color w:val="auto"/>
                <w:szCs w:val="21"/>
                <w:highlight w:val="none"/>
                <w:lang w:eastAsia="zh-CN"/>
              </w:rPr>
              <w:t>监控</w:t>
            </w:r>
            <w:r>
              <w:rPr>
                <w:rFonts w:hint="eastAsia" w:hAnsi="宋体"/>
                <w:color w:val="auto"/>
                <w:szCs w:val="21"/>
                <w:highlight w:val="none"/>
              </w:rPr>
              <w:t>工作措施和方法合理性、可行性情况得4.8～8分；无此分项得0分。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1249" w:hRule="atLeast"/>
          <w:jc w:val="center"/>
        </w:trPr>
        <w:tc>
          <w:tcPr>
            <w:tcW w:w="878" w:type="dxa"/>
            <w:vMerge w:val="continue"/>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jc w:val="center"/>
              <w:rPr>
                <w:rFonts w:hint="eastAsia" w:ascii="宋体" w:hAnsi="宋体" w:eastAsia="宋体" w:cs="宋体"/>
                <w:color w:val="auto"/>
                <w:sz w:val="21"/>
                <w:szCs w:val="21"/>
                <w:highlight w:val="none"/>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jc w:val="center"/>
              <w:rPr>
                <w:rFonts w:hint="eastAsia" w:ascii="宋体" w:hAnsi="宋体" w:eastAsia="宋体" w:cs="宋体"/>
                <w:color w:val="auto"/>
                <w:sz w:val="21"/>
                <w:szCs w:val="21"/>
                <w:highlight w:val="none"/>
              </w:rPr>
            </w:pPr>
          </w:p>
        </w:tc>
        <w:tc>
          <w:tcPr>
            <w:tcW w:w="1178" w:type="dxa"/>
            <w:gridSpan w:val="2"/>
            <w:vMerge w:val="continue"/>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jc w:val="center"/>
              <w:rPr>
                <w:rFonts w:hint="eastAsia" w:ascii="宋体" w:hAnsi="宋体" w:eastAsia="宋体" w:cs="宋体"/>
                <w:color w:val="auto"/>
                <w:sz w:val="21"/>
                <w:szCs w:val="21"/>
                <w:highlight w:val="none"/>
              </w:rPr>
            </w:pPr>
          </w:p>
        </w:tc>
        <w:tc>
          <w:tcPr>
            <w:tcW w:w="1363" w:type="dxa"/>
            <w:noWrap w:val="0"/>
            <w:vAlign w:val="center"/>
          </w:tcPr>
          <w:p>
            <w:pPr>
              <w:keepLines w:val="0"/>
              <w:pageBreakBefore w:val="0"/>
              <w:bidi w:val="0"/>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hAnsi="宋体"/>
                <w:color w:val="auto"/>
                <w:szCs w:val="21"/>
                <w:highlight w:val="none"/>
                <w:lang w:eastAsia="zh-CN"/>
              </w:rPr>
              <w:t>监控</w:t>
            </w:r>
            <w:r>
              <w:rPr>
                <w:rFonts w:hint="eastAsia" w:hAnsi="宋体"/>
                <w:color w:val="auto"/>
                <w:szCs w:val="21"/>
                <w:highlight w:val="none"/>
              </w:rPr>
              <w:t>工作程序</w:t>
            </w:r>
          </w:p>
        </w:tc>
        <w:tc>
          <w:tcPr>
            <w:tcW w:w="846" w:type="dxa"/>
            <w:noWrap w:val="0"/>
            <w:vAlign w:val="center"/>
          </w:tcPr>
          <w:p>
            <w:pPr>
              <w:keepLines w:val="0"/>
              <w:pageBreakBefore w:val="0"/>
              <w:bidi w:val="0"/>
              <w:spacing w:line="360" w:lineRule="auto"/>
              <w:ind w:firstLine="0" w:firstLineChars="0"/>
              <w:jc w:val="center"/>
              <w:rPr>
                <w:rFonts w:hint="eastAsia" w:ascii="宋体" w:hAnsi="宋体" w:eastAsia="宋体" w:cs="宋体"/>
                <w:color w:val="auto"/>
                <w:sz w:val="21"/>
                <w:szCs w:val="21"/>
                <w:highlight w:val="none"/>
              </w:rPr>
            </w:pPr>
            <w:r>
              <w:rPr>
                <w:rFonts w:hint="eastAsia" w:hAnsi="宋体"/>
                <w:color w:val="auto"/>
                <w:szCs w:val="21"/>
                <w:highlight w:val="none"/>
              </w:rPr>
              <w:t>5分</w:t>
            </w:r>
          </w:p>
        </w:tc>
        <w:tc>
          <w:tcPr>
            <w:tcW w:w="4185" w:type="dxa"/>
            <w:noWrap w:val="0"/>
            <w:vAlign w:val="center"/>
          </w:tcPr>
          <w:p>
            <w:pPr>
              <w:keepLines w:val="0"/>
              <w:pageBreakBefore w:val="0"/>
              <w:bidi w:val="0"/>
              <w:spacing w:line="360" w:lineRule="auto"/>
              <w:ind w:firstLine="0" w:firstLineChars="0"/>
              <w:rPr>
                <w:rFonts w:hint="eastAsia" w:ascii="宋体" w:hAnsi="宋体" w:eastAsia="宋体" w:cs="宋体"/>
                <w:color w:val="auto"/>
                <w:sz w:val="21"/>
                <w:szCs w:val="21"/>
                <w:highlight w:val="none"/>
              </w:rPr>
            </w:pPr>
            <w:r>
              <w:rPr>
                <w:rFonts w:hint="eastAsia" w:hAnsi="宋体"/>
                <w:color w:val="auto"/>
                <w:szCs w:val="21"/>
                <w:highlight w:val="none"/>
              </w:rPr>
              <w:t>根据工作程序合理性高、指导性情况得3～5分；无此分项得0分。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0" w:hRule="atLeast"/>
          <w:jc w:val="center"/>
        </w:trPr>
        <w:tc>
          <w:tcPr>
            <w:tcW w:w="878" w:type="dxa"/>
            <w:vMerge w:val="continue"/>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jc w:val="center"/>
              <w:rPr>
                <w:rFonts w:hint="eastAsia" w:ascii="宋体" w:hAnsi="宋体" w:eastAsia="宋体" w:cs="宋体"/>
                <w:color w:val="auto"/>
                <w:sz w:val="21"/>
                <w:szCs w:val="21"/>
                <w:highlight w:val="none"/>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jc w:val="center"/>
              <w:rPr>
                <w:rFonts w:hint="eastAsia" w:ascii="宋体" w:hAnsi="宋体" w:eastAsia="宋体" w:cs="宋体"/>
                <w:color w:val="auto"/>
                <w:sz w:val="21"/>
                <w:szCs w:val="21"/>
                <w:highlight w:val="none"/>
              </w:rPr>
            </w:pPr>
          </w:p>
        </w:tc>
        <w:tc>
          <w:tcPr>
            <w:tcW w:w="1178" w:type="dxa"/>
            <w:gridSpan w:val="2"/>
            <w:vMerge w:val="continue"/>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jc w:val="center"/>
              <w:rPr>
                <w:rFonts w:hint="eastAsia" w:ascii="宋体" w:hAnsi="宋体" w:eastAsia="宋体" w:cs="宋体"/>
                <w:color w:val="auto"/>
                <w:sz w:val="21"/>
                <w:szCs w:val="21"/>
                <w:highlight w:val="none"/>
              </w:rPr>
            </w:pPr>
          </w:p>
        </w:tc>
        <w:tc>
          <w:tcPr>
            <w:tcW w:w="1363" w:type="dxa"/>
            <w:noWrap w:val="0"/>
            <w:vAlign w:val="center"/>
          </w:tcPr>
          <w:p>
            <w:pPr>
              <w:keepLines w:val="0"/>
              <w:pageBreakBefore w:val="0"/>
              <w:bidi w:val="0"/>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hAnsi="宋体"/>
                <w:color w:val="auto"/>
                <w:szCs w:val="21"/>
                <w:highlight w:val="none"/>
              </w:rPr>
              <w:t>管理制度</w:t>
            </w:r>
          </w:p>
        </w:tc>
        <w:tc>
          <w:tcPr>
            <w:tcW w:w="846" w:type="dxa"/>
            <w:noWrap w:val="0"/>
            <w:vAlign w:val="center"/>
          </w:tcPr>
          <w:p>
            <w:pPr>
              <w:keepLines w:val="0"/>
              <w:pageBreakBefore w:val="0"/>
              <w:bidi w:val="0"/>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hAnsi="宋体"/>
                <w:color w:val="auto"/>
                <w:szCs w:val="21"/>
                <w:highlight w:val="none"/>
              </w:rPr>
              <w:t>5分</w:t>
            </w:r>
          </w:p>
        </w:tc>
        <w:tc>
          <w:tcPr>
            <w:tcW w:w="4185" w:type="dxa"/>
            <w:noWrap w:val="0"/>
            <w:vAlign w:val="center"/>
          </w:tcPr>
          <w:p>
            <w:pPr>
              <w:keepLines w:val="0"/>
              <w:pageBreakBefore w:val="0"/>
              <w:bidi w:val="0"/>
              <w:spacing w:line="360" w:lineRule="auto"/>
              <w:ind w:firstLine="0" w:firstLineChars="0"/>
              <w:rPr>
                <w:rFonts w:hint="eastAsia" w:ascii="宋体" w:hAnsi="宋体" w:eastAsia="宋体" w:cs="宋体"/>
                <w:color w:val="auto"/>
                <w:sz w:val="21"/>
                <w:szCs w:val="21"/>
                <w:highlight w:val="none"/>
              </w:rPr>
            </w:pPr>
            <w:r>
              <w:rPr>
                <w:rFonts w:hint="eastAsia" w:hAnsi="宋体"/>
                <w:color w:val="auto"/>
                <w:szCs w:val="21"/>
                <w:highlight w:val="none"/>
              </w:rPr>
              <w:t>根据管理制度完善、可行情况得3～5分；无此分项得0分。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0" w:hRule="atLeast"/>
          <w:jc w:val="center"/>
        </w:trPr>
        <w:tc>
          <w:tcPr>
            <w:tcW w:w="878" w:type="dxa"/>
            <w:vMerge w:val="continue"/>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jc w:val="center"/>
              <w:rPr>
                <w:rFonts w:hint="eastAsia" w:ascii="宋体" w:hAnsi="宋体" w:eastAsia="宋体" w:cs="宋体"/>
                <w:color w:val="auto"/>
                <w:sz w:val="21"/>
                <w:szCs w:val="21"/>
                <w:highlight w:val="none"/>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jc w:val="center"/>
              <w:rPr>
                <w:rFonts w:hint="eastAsia" w:ascii="宋体" w:hAnsi="宋体" w:eastAsia="宋体" w:cs="宋体"/>
                <w:color w:val="auto"/>
                <w:sz w:val="21"/>
                <w:szCs w:val="21"/>
                <w:highlight w:val="none"/>
              </w:rPr>
            </w:pPr>
          </w:p>
        </w:tc>
        <w:tc>
          <w:tcPr>
            <w:tcW w:w="1178" w:type="dxa"/>
            <w:gridSpan w:val="2"/>
            <w:vMerge w:val="continue"/>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jc w:val="center"/>
              <w:rPr>
                <w:rFonts w:hint="eastAsia" w:ascii="宋体" w:hAnsi="宋体" w:eastAsia="宋体" w:cs="宋体"/>
                <w:color w:val="auto"/>
                <w:sz w:val="21"/>
                <w:szCs w:val="21"/>
                <w:highlight w:val="none"/>
              </w:rPr>
            </w:pPr>
          </w:p>
        </w:tc>
        <w:tc>
          <w:tcPr>
            <w:tcW w:w="1363" w:type="dxa"/>
            <w:noWrap w:val="0"/>
            <w:vAlign w:val="center"/>
          </w:tcPr>
          <w:p>
            <w:pPr>
              <w:keepLines w:val="0"/>
              <w:pageBreakBefore w:val="0"/>
              <w:bidi w:val="0"/>
              <w:spacing w:line="360" w:lineRule="auto"/>
              <w:ind w:left="0" w:leftChars="0" w:firstLine="0" w:firstLineChars="0"/>
              <w:jc w:val="center"/>
              <w:rPr>
                <w:rFonts w:hint="eastAsia" w:ascii="宋体" w:hAnsi="宋体" w:eastAsia="宋体" w:cs="宋体"/>
                <w:color w:val="auto"/>
                <w:szCs w:val="21"/>
                <w:highlight w:val="none"/>
              </w:rPr>
            </w:pPr>
            <w:r>
              <w:rPr>
                <w:rFonts w:hint="eastAsia" w:hAnsi="宋体"/>
                <w:color w:val="auto"/>
                <w:szCs w:val="21"/>
                <w:highlight w:val="none"/>
              </w:rPr>
              <w:t>对本项目</w:t>
            </w:r>
            <w:r>
              <w:rPr>
                <w:rFonts w:hint="eastAsia" w:hAnsi="宋体"/>
                <w:color w:val="auto"/>
                <w:szCs w:val="21"/>
                <w:highlight w:val="none"/>
                <w:lang w:eastAsia="zh-CN"/>
              </w:rPr>
              <w:t>监控</w:t>
            </w:r>
            <w:r>
              <w:rPr>
                <w:rFonts w:hint="eastAsia" w:hAnsi="宋体"/>
                <w:color w:val="auto"/>
                <w:szCs w:val="21"/>
                <w:highlight w:val="none"/>
              </w:rPr>
              <w:t>任务的理解、重难点分析</w:t>
            </w:r>
          </w:p>
        </w:tc>
        <w:tc>
          <w:tcPr>
            <w:tcW w:w="846" w:type="dxa"/>
            <w:noWrap w:val="0"/>
            <w:vAlign w:val="center"/>
          </w:tcPr>
          <w:p>
            <w:pPr>
              <w:keepLines w:val="0"/>
              <w:pageBreakBefore w:val="0"/>
              <w:bidi w:val="0"/>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hAnsi="宋体"/>
                <w:color w:val="auto"/>
                <w:szCs w:val="21"/>
                <w:highlight w:val="none"/>
              </w:rPr>
              <w:t>7分</w:t>
            </w:r>
          </w:p>
        </w:tc>
        <w:tc>
          <w:tcPr>
            <w:tcW w:w="4185" w:type="dxa"/>
            <w:noWrap w:val="0"/>
            <w:vAlign w:val="center"/>
          </w:tcPr>
          <w:p>
            <w:pPr>
              <w:keepLines w:val="0"/>
              <w:pageBreakBefore w:val="0"/>
              <w:bidi w:val="0"/>
              <w:spacing w:line="360" w:lineRule="auto"/>
              <w:ind w:firstLine="0" w:firstLineChars="0"/>
              <w:rPr>
                <w:rFonts w:hint="eastAsia" w:ascii="宋体" w:hAnsi="宋体" w:eastAsia="宋体" w:cs="宋体"/>
                <w:color w:val="auto"/>
                <w:sz w:val="21"/>
                <w:szCs w:val="21"/>
                <w:highlight w:val="none"/>
              </w:rPr>
            </w:pPr>
            <w:r>
              <w:rPr>
                <w:rFonts w:hint="eastAsia" w:hAnsi="宋体"/>
                <w:color w:val="auto"/>
                <w:szCs w:val="21"/>
                <w:highlight w:val="none"/>
              </w:rPr>
              <w:t>根据对本项目</w:t>
            </w:r>
            <w:r>
              <w:rPr>
                <w:rFonts w:hint="eastAsia" w:hAnsi="宋体"/>
                <w:color w:val="auto"/>
                <w:szCs w:val="21"/>
                <w:highlight w:val="none"/>
                <w:lang w:eastAsia="zh-CN"/>
              </w:rPr>
              <w:t>监控</w:t>
            </w:r>
            <w:r>
              <w:rPr>
                <w:rFonts w:hint="eastAsia" w:hAnsi="宋体"/>
                <w:color w:val="auto"/>
                <w:szCs w:val="21"/>
                <w:highlight w:val="none"/>
              </w:rPr>
              <w:t>任务的理解、重难点分析到位、透彻情况得4.2～7分；无此分项得0分</w:t>
            </w:r>
            <w:r>
              <w:rPr>
                <w:rFonts w:hint="eastAsia" w:hAnsi="宋体"/>
                <w:color w:val="auto"/>
                <w:szCs w:val="21"/>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0" w:hRule="atLeast"/>
          <w:jc w:val="center"/>
        </w:trPr>
        <w:tc>
          <w:tcPr>
            <w:tcW w:w="878" w:type="dxa"/>
            <w:vMerge w:val="continue"/>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jc w:val="center"/>
              <w:rPr>
                <w:rFonts w:hint="eastAsia" w:ascii="宋体" w:hAnsi="宋体" w:eastAsia="宋体" w:cs="宋体"/>
                <w:color w:val="auto"/>
                <w:sz w:val="21"/>
                <w:szCs w:val="21"/>
                <w:highlight w:val="none"/>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jc w:val="center"/>
              <w:rPr>
                <w:rFonts w:hint="eastAsia" w:ascii="宋体" w:hAnsi="宋体" w:eastAsia="宋体" w:cs="宋体"/>
                <w:color w:val="auto"/>
                <w:sz w:val="21"/>
                <w:szCs w:val="21"/>
                <w:highlight w:val="none"/>
              </w:rPr>
            </w:pPr>
          </w:p>
        </w:tc>
        <w:tc>
          <w:tcPr>
            <w:tcW w:w="1178" w:type="dxa"/>
            <w:gridSpan w:val="2"/>
            <w:vMerge w:val="continue"/>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jc w:val="center"/>
              <w:rPr>
                <w:rFonts w:hint="eastAsia" w:ascii="宋体" w:hAnsi="宋体" w:eastAsia="宋体" w:cs="宋体"/>
                <w:color w:val="auto"/>
                <w:sz w:val="21"/>
                <w:szCs w:val="21"/>
                <w:highlight w:val="none"/>
              </w:rPr>
            </w:pPr>
          </w:p>
        </w:tc>
        <w:tc>
          <w:tcPr>
            <w:tcW w:w="1363" w:type="dxa"/>
            <w:noWrap w:val="0"/>
            <w:vAlign w:val="center"/>
          </w:tcPr>
          <w:p>
            <w:pPr>
              <w:keepLines w:val="0"/>
              <w:pageBreakBefore w:val="0"/>
              <w:bidi w:val="0"/>
              <w:spacing w:line="360" w:lineRule="auto"/>
              <w:ind w:left="0" w:leftChars="0" w:firstLine="0" w:firstLineChars="0"/>
              <w:jc w:val="center"/>
              <w:rPr>
                <w:rFonts w:hint="eastAsia" w:ascii="宋体" w:hAnsi="宋体" w:eastAsia="宋体" w:cs="宋体"/>
                <w:color w:val="auto"/>
                <w:szCs w:val="21"/>
                <w:highlight w:val="none"/>
              </w:rPr>
            </w:pPr>
            <w:r>
              <w:rPr>
                <w:rFonts w:hint="eastAsia" w:hAnsi="宋体"/>
                <w:color w:val="auto"/>
                <w:szCs w:val="21"/>
                <w:highlight w:val="none"/>
              </w:rPr>
              <w:t>对本项目</w:t>
            </w:r>
            <w:r>
              <w:rPr>
                <w:rFonts w:hint="eastAsia" w:hAnsi="宋体"/>
                <w:color w:val="auto"/>
                <w:szCs w:val="21"/>
                <w:highlight w:val="none"/>
                <w:lang w:eastAsia="zh-CN"/>
              </w:rPr>
              <w:t>监控</w:t>
            </w:r>
            <w:r>
              <w:rPr>
                <w:rFonts w:hint="eastAsia" w:hAnsi="宋体"/>
                <w:color w:val="auto"/>
                <w:szCs w:val="21"/>
                <w:highlight w:val="none"/>
              </w:rPr>
              <w:t>工作内容的建议</w:t>
            </w:r>
          </w:p>
        </w:tc>
        <w:tc>
          <w:tcPr>
            <w:tcW w:w="846" w:type="dxa"/>
            <w:noWrap w:val="0"/>
            <w:vAlign w:val="center"/>
          </w:tcPr>
          <w:p>
            <w:pPr>
              <w:keepLines w:val="0"/>
              <w:pageBreakBefore w:val="0"/>
              <w:bidi w:val="0"/>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hAnsi="宋体"/>
                <w:color w:val="auto"/>
                <w:szCs w:val="21"/>
                <w:highlight w:val="none"/>
              </w:rPr>
              <w:t>7分</w:t>
            </w:r>
          </w:p>
        </w:tc>
        <w:tc>
          <w:tcPr>
            <w:tcW w:w="4185" w:type="dxa"/>
            <w:noWrap w:val="0"/>
            <w:vAlign w:val="center"/>
          </w:tcPr>
          <w:p>
            <w:pPr>
              <w:keepLines w:val="0"/>
              <w:pageBreakBefore w:val="0"/>
              <w:bidi w:val="0"/>
              <w:spacing w:line="360" w:lineRule="auto"/>
              <w:ind w:firstLine="0" w:firstLineChars="0"/>
              <w:rPr>
                <w:rFonts w:hint="eastAsia" w:ascii="宋体" w:hAnsi="宋体" w:eastAsia="宋体" w:cs="宋体"/>
                <w:color w:val="auto"/>
                <w:sz w:val="21"/>
                <w:szCs w:val="21"/>
                <w:highlight w:val="none"/>
              </w:rPr>
            </w:pPr>
            <w:r>
              <w:rPr>
                <w:rFonts w:hint="eastAsia" w:hAnsi="宋体"/>
                <w:color w:val="auto"/>
                <w:szCs w:val="21"/>
                <w:highlight w:val="none"/>
              </w:rPr>
              <w:t>根据对</w:t>
            </w:r>
            <w:r>
              <w:rPr>
                <w:rFonts w:hint="eastAsia" w:hAnsi="宋体"/>
                <w:color w:val="auto"/>
                <w:szCs w:val="21"/>
                <w:highlight w:val="none"/>
                <w:lang w:eastAsia="zh-CN"/>
              </w:rPr>
              <w:t>监控</w:t>
            </w:r>
            <w:r>
              <w:rPr>
                <w:rFonts w:hint="eastAsia" w:hAnsi="宋体"/>
                <w:color w:val="auto"/>
                <w:szCs w:val="21"/>
                <w:highlight w:val="none"/>
              </w:rPr>
              <w:t>工作内容的建议合理、可行情况得4.2～7分；无此分项得0分</w:t>
            </w:r>
            <w:r>
              <w:rPr>
                <w:rFonts w:hint="eastAsia" w:hAnsi="宋体"/>
                <w:color w:val="auto"/>
                <w:szCs w:val="21"/>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0" w:hRule="atLeast"/>
          <w:jc w:val="center"/>
        </w:trPr>
        <w:tc>
          <w:tcPr>
            <w:tcW w:w="878" w:type="dxa"/>
            <w:vMerge w:val="restart"/>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2.2.4（2）</w:t>
            </w:r>
          </w:p>
        </w:tc>
        <w:tc>
          <w:tcPr>
            <w:tcW w:w="1387" w:type="dxa"/>
            <w:vMerge w:val="restart"/>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资信业绩</w:t>
            </w:r>
          </w:p>
        </w:tc>
        <w:tc>
          <w:tcPr>
            <w:tcW w:w="1178" w:type="dxa"/>
            <w:gridSpan w:val="2"/>
            <w:vMerge w:val="restart"/>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cente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50</w:t>
            </w:r>
            <w:r>
              <w:rPr>
                <w:rFonts w:hint="eastAsia" w:ascii="宋体" w:hAnsi="宋体" w:eastAsia="宋体" w:cs="宋体"/>
                <w:color w:val="auto"/>
                <w:sz w:val="21"/>
                <w:szCs w:val="21"/>
                <w:highlight w:val="none"/>
              </w:rPr>
              <w:t>分</w:t>
            </w:r>
          </w:p>
        </w:tc>
        <w:tc>
          <w:tcPr>
            <w:tcW w:w="1363"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w:t>
            </w:r>
          </w:p>
        </w:tc>
        <w:tc>
          <w:tcPr>
            <w:tcW w:w="846"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4185" w:type="dxa"/>
            <w:noWrap w:val="0"/>
            <w:vAlign w:val="center"/>
          </w:tcPr>
          <w:p>
            <w:pPr>
              <w:pStyle w:val="14"/>
              <w:keepLines w:val="0"/>
              <w:pageBreakBefore w:val="0"/>
              <w:numPr>
                <w:ilvl w:val="0"/>
                <w:numId w:val="0"/>
              </w:numPr>
              <w:bidi w:val="0"/>
              <w:spacing w:line="360" w:lineRule="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1.资格要求满足招标文件最低要求的得5分；</w:t>
            </w:r>
          </w:p>
          <w:p>
            <w:pPr>
              <w:pStyle w:val="14"/>
              <w:keepLines w:val="0"/>
              <w:pageBreakBefore w:val="0"/>
              <w:numPr>
                <w:ilvl w:val="0"/>
                <w:numId w:val="0"/>
              </w:numPr>
              <w:bidi w:val="0"/>
              <w:spacing w:line="360" w:lineRule="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2.项目负责人具有副高级职称加2分，正高级职称的加3分。</w:t>
            </w:r>
          </w:p>
          <w:p>
            <w:pPr>
              <w:pStyle w:val="14"/>
              <w:keepLines w:val="0"/>
              <w:pageBreakBefore w:val="0"/>
              <w:numPr>
                <w:ilvl w:val="0"/>
                <w:numId w:val="0"/>
              </w:numPr>
              <w:bidi w:val="0"/>
              <w:spacing w:line="360" w:lineRule="auto"/>
              <w:rPr>
                <w:rFonts w:hint="eastAsia" w:ascii="宋体" w:hAnsi="宋体" w:eastAsia="宋体" w:cs="宋体"/>
                <w:color w:val="auto"/>
                <w:sz w:val="21"/>
                <w:szCs w:val="21"/>
                <w:highlight w:val="none"/>
              </w:rPr>
            </w:pPr>
            <w:r>
              <w:rPr>
                <w:rFonts w:hint="eastAsia" w:ascii="宋体" w:eastAsia="宋体" w:cs="宋体"/>
                <w:color w:val="auto"/>
                <w:sz w:val="21"/>
                <w:szCs w:val="21"/>
                <w:highlight w:val="none"/>
                <w:lang w:val="en-US" w:eastAsia="zh-CN"/>
              </w:rPr>
              <w:t>3.项目负责人在满足资格审查要求的基础上，近五年（2018年1月1日至今）具有1项桥梁施工监控项目负责人或技术负责人业绩的加2分，最多加2分。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0" w:hRule="atLeast"/>
          <w:jc w:val="center"/>
        </w:trPr>
        <w:tc>
          <w:tcPr>
            <w:tcW w:w="878" w:type="dxa"/>
            <w:vMerge w:val="continue"/>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both"/>
              <w:rPr>
                <w:rFonts w:hint="eastAsia" w:ascii="宋体" w:hAnsi="宋体" w:eastAsia="宋体" w:cs="宋体"/>
                <w:color w:val="auto"/>
                <w:sz w:val="21"/>
                <w:szCs w:val="21"/>
                <w:highlight w:val="none"/>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center"/>
              <w:rPr>
                <w:rFonts w:hint="eastAsia" w:ascii="宋体" w:hAnsi="宋体" w:eastAsia="宋体" w:cs="宋体"/>
                <w:color w:val="auto"/>
                <w:sz w:val="21"/>
                <w:szCs w:val="21"/>
                <w:highlight w:val="none"/>
                <w:lang w:eastAsia="zh-CN"/>
              </w:rPr>
            </w:pPr>
          </w:p>
        </w:tc>
        <w:tc>
          <w:tcPr>
            <w:tcW w:w="1178" w:type="dxa"/>
            <w:gridSpan w:val="2"/>
            <w:vMerge w:val="continue"/>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center"/>
              <w:rPr>
                <w:rFonts w:hint="default" w:ascii="宋体" w:hAnsi="宋体" w:eastAsia="宋体" w:cs="宋体"/>
                <w:color w:val="auto"/>
                <w:sz w:val="21"/>
                <w:szCs w:val="21"/>
                <w:highlight w:val="none"/>
              </w:rPr>
            </w:pPr>
          </w:p>
        </w:tc>
        <w:tc>
          <w:tcPr>
            <w:tcW w:w="1363"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both"/>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技术负责人</w:t>
            </w:r>
          </w:p>
        </w:tc>
        <w:tc>
          <w:tcPr>
            <w:tcW w:w="846"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4185" w:type="dxa"/>
            <w:noWrap w:val="0"/>
            <w:vAlign w:val="center"/>
          </w:tcPr>
          <w:p>
            <w:pPr>
              <w:pStyle w:val="14"/>
              <w:keepLines w:val="0"/>
              <w:pageBreakBefore w:val="0"/>
              <w:numPr>
                <w:ilvl w:val="0"/>
                <w:numId w:val="0"/>
              </w:numPr>
              <w:bidi w:val="0"/>
              <w:spacing w:line="360" w:lineRule="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1.资格要求满足招标文件最低要求的得2分；</w:t>
            </w:r>
          </w:p>
          <w:p>
            <w:pPr>
              <w:pStyle w:val="14"/>
              <w:keepLines w:val="0"/>
              <w:pageBreakBefore w:val="0"/>
              <w:numPr>
                <w:ilvl w:val="0"/>
                <w:numId w:val="0"/>
              </w:numPr>
              <w:bidi w:val="0"/>
              <w:spacing w:line="360" w:lineRule="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2.项目负责人具有副高级职称加2分，正高级职称的加3分。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0" w:hRule="atLeast"/>
          <w:jc w:val="center"/>
        </w:trPr>
        <w:tc>
          <w:tcPr>
            <w:tcW w:w="878" w:type="dxa"/>
            <w:vMerge w:val="continue"/>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jc w:val="center"/>
              <w:rPr>
                <w:rFonts w:hint="eastAsia" w:ascii="宋体" w:hAnsi="宋体" w:eastAsia="宋体" w:cs="宋体"/>
                <w:color w:val="auto"/>
                <w:sz w:val="21"/>
                <w:szCs w:val="21"/>
                <w:highlight w:val="none"/>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jc w:val="center"/>
              <w:rPr>
                <w:rFonts w:hint="eastAsia" w:ascii="宋体" w:hAnsi="宋体" w:eastAsia="宋体" w:cs="宋体"/>
                <w:color w:val="auto"/>
                <w:sz w:val="21"/>
                <w:szCs w:val="21"/>
                <w:highlight w:val="none"/>
              </w:rPr>
            </w:pPr>
          </w:p>
        </w:tc>
        <w:tc>
          <w:tcPr>
            <w:tcW w:w="1178" w:type="dxa"/>
            <w:gridSpan w:val="2"/>
            <w:vMerge w:val="continue"/>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jc w:val="center"/>
              <w:rPr>
                <w:rFonts w:hint="eastAsia" w:ascii="宋体" w:hAnsi="宋体" w:eastAsia="宋体" w:cs="宋体"/>
                <w:color w:val="auto"/>
                <w:sz w:val="21"/>
                <w:szCs w:val="21"/>
                <w:highlight w:val="none"/>
              </w:rPr>
            </w:pPr>
          </w:p>
        </w:tc>
        <w:tc>
          <w:tcPr>
            <w:tcW w:w="1363"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企业</w:t>
            </w:r>
            <w:r>
              <w:rPr>
                <w:rFonts w:hint="eastAsia" w:ascii="宋体" w:hAnsi="宋体" w:eastAsia="宋体" w:cs="宋体"/>
                <w:color w:val="auto"/>
                <w:sz w:val="21"/>
                <w:szCs w:val="21"/>
                <w:highlight w:val="none"/>
              </w:rPr>
              <w:t>业绩</w:t>
            </w:r>
          </w:p>
        </w:tc>
        <w:tc>
          <w:tcPr>
            <w:tcW w:w="846"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32</w:t>
            </w:r>
            <w:r>
              <w:rPr>
                <w:rFonts w:hint="eastAsia" w:ascii="宋体" w:hAnsi="宋体" w:eastAsia="宋体" w:cs="宋体"/>
                <w:color w:val="auto"/>
                <w:sz w:val="21"/>
                <w:szCs w:val="21"/>
                <w:highlight w:val="none"/>
              </w:rPr>
              <w:t>分</w:t>
            </w:r>
          </w:p>
        </w:tc>
        <w:tc>
          <w:tcPr>
            <w:tcW w:w="4185" w:type="dxa"/>
            <w:noWrap w:val="0"/>
            <w:vAlign w:val="center"/>
          </w:tcPr>
          <w:p>
            <w:pPr>
              <w:pStyle w:val="14"/>
              <w:keepLines w:val="0"/>
              <w:pageBreakBefore w:val="0"/>
              <w:bidi w:val="0"/>
              <w:spacing w:line="360" w:lineRule="auto"/>
              <w:ind w:firstLine="0" w:firstLineChars="0"/>
              <w:rPr>
                <w:rFonts w:hint="eastAsia" w:ascii="Times New Roman" w:eastAsia="宋体"/>
                <w:bCs/>
                <w:color w:val="auto"/>
                <w:sz w:val="21"/>
                <w:szCs w:val="21"/>
                <w:highlight w:val="none"/>
              </w:rPr>
            </w:pPr>
            <w:r>
              <w:rPr>
                <w:rFonts w:hint="eastAsia" w:ascii="Times New Roman" w:eastAsia="宋体"/>
                <w:bCs/>
                <w:color w:val="auto"/>
                <w:sz w:val="21"/>
                <w:szCs w:val="21"/>
                <w:highlight w:val="none"/>
              </w:rPr>
              <w:t>近5年（201</w:t>
            </w:r>
            <w:r>
              <w:rPr>
                <w:rFonts w:hint="eastAsia" w:ascii="Times New Roman" w:eastAsia="宋体"/>
                <w:bCs/>
                <w:color w:val="auto"/>
                <w:sz w:val="21"/>
                <w:szCs w:val="21"/>
                <w:highlight w:val="none"/>
                <w:lang w:val="en-US" w:eastAsia="zh-CN"/>
              </w:rPr>
              <w:t>8</w:t>
            </w:r>
            <w:r>
              <w:rPr>
                <w:rFonts w:hint="eastAsia" w:ascii="Times New Roman" w:eastAsia="宋体"/>
                <w:bCs/>
                <w:color w:val="auto"/>
                <w:sz w:val="21"/>
                <w:szCs w:val="21"/>
                <w:highlight w:val="none"/>
              </w:rPr>
              <w:t>年1月1日至投标文件递交截止之日）</w:t>
            </w:r>
          </w:p>
          <w:p>
            <w:pPr>
              <w:pStyle w:val="14"/>
              <w:keepLines w:val="0"/>
              <w:pageBreakBefore w:val="0"/>
              <w:bidi w:val="0"/>
              <w:spacing w:line="360" w:lineRule="auto"/>
              <w:ind w:firstLine="0" w:firstLineChars="0"/>
              <w:rPr>
                <w:rFonts w:hint="eastAsia" w:ascii="Times New Roman" w:eastAsia="宋体"/>
                <w:bCs/>
                <w:color w:val="auto"/>
                <w:sz w:val="21"/>
                <w:szCs w:val="21"/>
                <w:highlight w:val="none"/>
              </w:rPr>
            </w:pPr>
            <w:r>
              <w:rPr>
                <w:rFonts w:hint="eastAsia" w:ascii="Times New Roman" w:eastAsia="宋体"/>
                <w:bCs/>
                <w:color w:val="auto"/>
                <w:sz w:val="21"/>
                <w:szCs w:val="21"/>
                <w:highlight w:val="none"/>
                <w:lang w:eastAsia="zh-CN"/>
              </w:rPr>
              <w:t>（</w:t>
            </w:r>
            <w:r>
              <w:rPr>
                <w:rFonts w:hint="eastAsia" w:ascii="Times New Roman" w:eastAsia="宋体"/>
                <w:bCs/>
                <w:color w:val="auto"/>
                <w:sz w:val="21"/>
                <w:szCs w:val="21"/>
                <w:highlight w:val="none"/>
                <w:lang w:val="en-US" w:eastAsia="zh-CN"/>
              </w:rPr>
              <w:t>1</w:t>
            </w:r>
            <w:r>
              <w:rPr>
                <w:rFonts w:hint="eastAsia" w:ascii="Times New Roman" w:eastAsia="宋体"/>
                <w:bCs/>
                <w:color w:val="auto"/>
                <w:sz w:val="21"/>
                <w:szCs w:val="21"/>
                <w:highlight w:val="none"/>
                <w:lang w:eastAsia="zh-CN"/>
              </w:rPr>
              <w:t>）</w:t>
            </w:r>
            <w:r>
              <w:rPr>
                <w:rFonts w:hint="eastAsia" w:ascii="Times New Roman" w:eastAsia="宋体"/>
                <w:bCs/>
                <w:color w:val="auto"/>
                <w:sz w:val="21"/>
                <w:szCs w:val="21"/>
                <w:highlight w:val="none"/>
              </w:rPr>
              <w:t>承担过一个高速公路桥梁施工监控项目业绩得1</w:t>
            </w:r>
            <w:r>
              <w:rPr>
                <w:rFonts w:hint="eastAsia" w:ascii="Times New Roman" w:eastAsia="宋体"/>
                <w:bCs/>
                <w:color w:val="auto"/>
                <w:sz w:val="21"/>
                <w:szCs w:val="21"/>
                <w:highlight w:val="none"/>
                <w:lang w:val="en-US" w:eastAsia="zh-CN"/>
              </w:rPr>
              <w:t>2</w:t>
            </w:r>
            <w:r>
              <w:rPr>
                <w:rFonts w:hint="eastAsia" w:ascii="Times New Roman" w:eastAsia="宋体"/>
                <w:bCs/>
                <w:color w:val="auto"/>
                <w:sz w:val="21"/>
                <w:szCs w:val="21"/>
                <w:highlight w:val="none"/>
              </w:rPr>
              <w:t>分；</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105" w:rightChars="50" w:firstLine="0" w:firstLineChars="0"/>
              <w:textAlignment w:val="baseline"/>
              <w:rPr>
                <w:rFonts w:hint="eastAsia" w:ascii="宋体" w:hAnsi="宋体" w:eastAsia="宋体" w:cs="宋体"/>
                <w:color w:val="auto"/>
                <w:highlight w:val="none"/>
              </w:rPr>
            </w:pPr>
            <w:r>
              <w:rPr>
                <w:rFonts w:hint="eastAsia" w:ascii="Times New Roman" w:eastAsia="宋体"/>
                <w:bCs/>
                <w:color w:val="auto"/>
                <w:sz w:val="21"/>
                <w:szCs w:val="21"/>
                <w:highlight w:val="none"/>
                <w:lang w:eastAsia="zh-CN"/>
              </w:rPr>
              <w:t>（</w:t>
            </w:r>
            <w:r>
              <w:rPr>
                <w:rFonts w:hint="eastAsia" w:ascii="Times New Roman" w:eastAsia="宋体"/>
                <w:bCs/>
                <w:color w:val="auto"/>
                <w:sz w:val="21"/>
                <w:szCs w:val="21"/>
                <w:highlight w:val="none"/>
                <w:lang w:val="en-US" w:eastAsia="zh-CN"/>
              </w:rPr>
              <w:t>2</w:t>
            </w:r>
            <w:r>
              <w:rPr>
                <w:rFonts w:hint="eastAsia" w:ascii="Times New Roman" w:eastAsia="宋体"/>
                <w:bCs/>
                <w:color w:val="auto"/>
                <w:sz w:val="21"/>
                <w:szCs w:val="21"/>
                <w:highlight w:val="none"/>
                <w:lang w:eastAsia="zh-CN"/>
              </w:rPr>
              <w:t>）</w:t>
            </w:r>
            <w:r>
              <w:rPr>
                <w:rFonts w:hint="eastAsia" w:ascii="Times New Roman" w:eastAsia="宋体"/>
                <w:bCs/>
                <w:color w:val="auto"/>
                <w:sz w:val="21"/>
                <w:szCs w:val="21"/>
                <w:highlight w:val="none"/>
              </w:rPr>
              <w:t>近5年（201</w:t>
            </w:r>
            <w:r>
              <w:rPr>
                <w:rFonts w:hint="eastAsia" w:ascii="Times New Roman" w:eastAsia="宋体"/>
                <w:bCs/>
                <w:color w:val="auto"/>
                <w:sz w:val="21"/>
                <w:szCs w:val="21"/>
                <w:highlight w:val="none"/>
                <w:lang w:val="en-US" w:eastAsia="zh-CN"/>
              </w:rPr>
              <w:t>8</w:t>
            </w:r>
            <w:r>
              <w:rPr>
                <w:rFonts w:hint="eastAsia" w:ascii="Times New Roman" w:eastAsia="宋体"/>
                <w:bCs/>
                <w:color w:val="auto"/>
                <w:sz w:val="21"/>
                <w:szCs w:val="21"/>
                <w:highlight w:val="none"/>
              </w:rPr>
              <w:t>年1月1日至投标文件递交截止之日）每增加一个高速公路</w:t>
            </w:r>
            <w:r>
              <w:rPr>
                <w:rFonts w:hint="eastAsia" w:ascii="Times New Roman" w:eastAsia="宋体"/>
                <w:bCs/>
                <w:color w:val="auto"/>
                <w:sz w:val="21"/>
                <w:szCs w:val="21"/>
                <w:highlight w:val="none"/>
                <w:lang w:val="en-US" w:eastAsia="zh-CN"/>
              </w:rPr>
              <w:t>特殊</w:t>
            </w:r>
            <w:r>
              <w:rPr>
                <w:rFonts w:hint="eastAsia" w:ascii="Times New Roman" w:eastAsia="宋体"/>
                <w:bCs/>
                <w:color w:val="auto"/>
                <w:sz w:val="21"/>
                <w:szCs w:val="21"/>
                <w:highlight w:val="none"/>
              </w:rPr>
              <w:t>桥梁施工监控项目加</w:t>
            </w:r>
            <w:r>
              <w:rPr>
                <w:rFonts w:hint="eastAsia" w:ascii="Times New Roman" w:eastAsia="宋体"/>
                <w:bCs/>
                <w:color w:val="auto"/>
                <w:sz w:val="21"/>
                <w:szCs w:val="21"/>
                <w:highlight w:val="none"/>
                <w:lang w:val="en-US" w:eastAsia="zh-CN"/>
              </w:rPr>
              <w:t>10</w:t>
            </w:r>
            <w:r>
              <w:rPr>
                <w:rFonts w:hint="eastAsia" w:ascii="Times New Roman" w:eastAsia="宋体"/>
                <w:bCs/>
                <w:color w:val="auto"/>
                <w:sz w:val="21"/>
                <w:szCs w:val="21"/>
                <w:highlight w:val="none"/>
              </w:rPr>
              <w:t>分，最多加</w:t>
            </w:r>
            <w:r>
              <w:rPr>
                <w:rFonts w:hint="eastAsia" w:ascii="Times New Roman" w:eastAsia="宋体"/>
                <w:bCs/>
                <w:color w:val="auto"/>
                <w:sz w:val="21"/>
                <w:szCs w:val="21"/>
                <w:highlight w:val="none"/>
                <w:lang w:val="en-US" w:eastAsia="zh-CN"/>
              </w:rPr>
              <w:t>20</w:t>
            </w:r>
            <w:r>
              <w:rPr>
                <w:rFonts w:hint="eastAsia" w:ascii="Times New Roman" w:eastAsia="宋体"/>
                <w:bCs/>
                <w:color w:val="auto"/>
                <w:sz w:val="21"/>
                <w:szCs w:val="21"/>
                <w:highlight w:val="none"/>
              </w:rPr>
              <w:t>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0" w:hRule="atLeast"/>
          <w:jc w:val="center"/>
        </w:trPr>
        <w:tc>
          <w:tcPr>
            <w:tcW w:w="878" w:type="dxa"/>
            <w:vMerge w:val="continue"/>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jc w:val="center"/>
              <w:rPr>
                <w:rFonts w:hint="eastAsia" w:ascii="宋体" w:hAnsi="宋体" w:eastAsia="宋体" w:cs="宋体"/>
                <w:color w:val="auto"/>
                <w:sz w:val="21"/>
                <w:szCs w:val="21"/>
                <w:highlight w:val="none"/>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jc w:val="center"/>
              <w:rPr>
                <w:rFonts w:hint="eastAsia" w:ascii="宋体" w:hAnsi="宋体" w:eastAsia="宋体" w:cs="宋体"/>
                <w:color w:val="auto"/>
                <w:sz w:val="21"/>
                <w:szCs w:val="21"/>
                <w:highlight w:val="none"/>
              </w:rPr>
            </w:pPr>
          </w:p>
        </w:tc>
        <w:tc>
          <w:tcPr>
            <w:tcW w:w="1178" w:type="dxa"/>
            <w:gridSpan w:val="2"/>
            <w:vMerge w:val="continue"/>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jc w:val="center"/>
              <w:rPr>
                <w:rFonts w:hint="eastAsia" w:ascii="宋体" w:hAnsi="宋体" w:eastAsia="宋体" w:cs="宋体"/>
                <w:color w:val="auto"/>
                <w:sz w:val="21"/>
                <w:szCs w:val="21"/>
                <w:highlight w:val="none"/>
              </w:rPr>
            </w:pPr>
          </w:p>
        </w:tc>
        <w:tc>
          <w:tcPr>
            <w:tcW w:w="1363"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信誉评价</w:t>
            </w:r>
          </w:p>
        </w:tc>
        <w:tc>
          <w:tcPr>
            <w:tcW w:w="846"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w:t>
            </w:r>
          </w:p>
        </w:tc>
        <w:tc>
          <w:tcPr>
            <w:tcW w:w="418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0" w:firstLineChars="0"/>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信用等级评价为AA级得3分；A级得1.5分；B级得0分</w:t>
            </w:r>
            <w:r>
              <w:rPr>
                <w:rFonts w:hint="eastAsia" w:ascii="宋体" w:hAnsi="宋体" w:eastAsia="宋体" w:cs="宋体"/>
                <w:color w:val="auto"/>
                <w:sz w:val="21"/>
                <w:szCs w:val="21"/>
                <w:highlight w:val="none"/>
                <w:lang w:val="en-US" w:eastAsia="zh-CN"/>
              </w:rPr>
              <w:t>；C级得-3分。</w:t>
            </w:r>
          </w:p>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211" w:firstLineChars="100"/>
              <w:textAlignment w:val="baseline"/>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lang w:eastAsia="zh-CN"/>
              </w:rPr>
              <w:t>注：信用评价的引用详见招标公告</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2581" w:hRule="atLeast"/>
          <w:jc w:val="center"/>
        </w:trPr>
        <w:tc>
          <w:tcPr>
            <w:tcW w:w="878"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2.2.4（3）</w:t>
            </w:r>
          </w:p>
        </w:tc>
        <w:tc>
          <w:tcPr>
            <w:tcW w:w="1387"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评标价</w:t>
            </w:r>
          </w:p>
        </w:tc>
        <w:tc>
          <w:tcPr>
            <w:tcW w:w="1178" w:type="dxa"/>
            <w:gridSpan w:val="2"/>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6394"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评标价得分计算公式示例：</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（1）如果投标人的评标价＞评标基准价，则评标价得分=F</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偏差率×100×E</w:t>
            </w:r>
            <w:r>
              <w:rPr>
                <w:rFonts w:hint="eastAsia" w:ascii="宋体" w:hAnsi="宋体" w:eastAsia="宋体" w:cs="宋体"/>
                <w:color w:val="auto"/>
                <w:sz w:val="21"/>
                <w:szCs w:val="21"/>
                <w:highlight w:val="none"/>
                <w:vertAlign w:val="subscript"/>
              </w:rPr>
              <w:t>1</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（2）如果投标人的评标价≤评标基准价，则评标价得分=F</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偏差率×100×E</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其中：F是评标价所占的权重分值，F=</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w:t>
            </w:r>
            <w:r>
              <w:rPr>
                <w:rFonts w:hint="eastAsia" w:ascii="宋体" w:hAnsi="宋体" w:eastAsia="宋体" w:cs="宋体"/>
                <w:color w:val="auto"/>
                <w:sz w:val="21"/>
                <w:szCs w:val="21"/>
                <w:highlight w:val="none"/>
                <w:vertAlign w:val="subscript"/>
              </w:rPr>
              <w:t>1</w:t>
            </w:r>
            <w:r>
              <w:rPr>
                <w:rFonts w:hint="eastAsia" w:ascii="宋体" w:hAnsi="宋体" w:eastAsia="宋体" w:cs="宋体"/>
                <w:color w:val="auto"/>
                <w:sz w:val="21"/>
                <w:szCs w:val="21"/>
                <w:highlight w:val="none"/>
              </w:rPr>
              <w:t>是评标价每高于评标基准价一个百分点的扣分值，E</w:t>
            </w:r>
            <w:r>
              <w:rPr>
                <w:rFonts w:hint="eastAsia" w:ascii="宋体" w:hAnsi="宋体" w:eastAsia="宋体" w:cs="宋体"/>
                <w:color w:val="auto"/>
                <w:sz w:val="21"/>
                <w:szCs w:val="21"/>
                <w:highlight w:val="none"/>
                <w:vertAlign w:val="subscript"/>
              </w:rPr>
              <w:t>1</w:t>
            </w:r>
            <w:r>
              <w:rPr>
                <w:rFonts w:hint="eastAsia" w:ascii="宋体" w:hAnsi="宋体" w:eastAsia="宋体" w:cs="宋体"/>
                <w:color w:val="auto"/>
                <w:sz w:val="21"/>
                <w:szCs w:val="21"/>
                <w:highlight w:val="none"/>
              </w:rPr>
              <w:t>=0.</w:t>
            </w:r>
            <w:r>
              <w:rPr>
                <w:rFonts w:hint="default" w:ascii="宋体" w:hAnsi="宋体" w:eastAsia="宋体" w:cs="宋体"/>
                <w:color w:val="auto"/>
                <w:sz w:val="21"/>
                <w:szCs w:val="21"/>
                <w:highlight w:val="none"/>
              </w:rPr>
              <w:t>15</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rPr>
              <w:t>是评标价每低于评标基准价一个百分点的扣分值，E</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评标价</w:t>
            </w:r>
            <w:r>
              <w:rPr>
                <w:rFonts w:hint="eastAsia" w:ascii="宋体" w:hAnsi="宋体" w:eastAsia="宋体" w:cs="宋体"/>
                <w:color w:val="auto"/>
                <w:sz w:val="21"/>
                <w:szCs w:val="21"/>
                <w:highlight w:val="none"/>
              </w:rPr>
              <w:t>得分最低为0分。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0" w:hRule="atLeast"/>
          <w:jc w:val="center"/>
        </w:trPr>
        <w:tc>
          <w:tcPr>
            <w:tcW w:w="9837" w:type="dxa"/>
            <w:gridSpan w:val="7"/>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0" w:hRule="atLeast"/>
          <w:jc w:val="center"/>
        </w:trPr>
        <w:tc>
          <w:tcPr>
            <w:tcW w:w="9837" w:type="dxa"/>
            <w:gridSpan w:val="7"/>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422"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各评分因素（评标价和履约信誉评分项除外）得分一般不得低于其权重分值的60%，</w:t>
            </w:r>
            <w:r>
              <w:rPr>
                <w:rFonts w:hint="eastAsia" w:ascii="宋体" w:hAnsi="宋体" w:eastAsia="宋体" w:cs="宋体"/>
                <w:color w:val="auto"/>
                <w:sz w:val="21"/>
                <w:szCs w:val="21"/>
                <w:highlight w:val="none"/>
              </w:rPr>
              <w:t>且各评分因素得分以评标委员会各成员的打分平均值确定，评标委员会成员总数为7人以上时，该平均值以去掉一个最高分和一个最低分后计算。</w:t>
            </w:r>
            <w:r>
              <w:rPr>
                <w:rFonts w:hint="eastAsia" w:ascii="宋体" w:hAnsi="宋体" w:eastAsia="宋体" w:cs="宋体"/>
                <w:b/>
                <w:bCs/>
                <w:color w:val="auto"/>
                <w:sz w:val="21"/>
                <w:szCs w:val="21"/>
                <w:highlight w:val="none"/>
              </w:rPr>
              <w:t>评标委员会成员对某一项评分因素的评分低于权重分值60%的，应在评标报告中作出说明。</w:t>
            </w:r>
          </w:p>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若通过第一信封初步评审的投标人仅2名，经评标委员会一致认为通过第一信封初步评审的投标人具备竞争性，可进入详细评审；若通过第二信封初步评审的投标人仅1名，应否决投标，并按相关规定重新招标。</w:t>
            </w:r>
          </w:p>
          <w:p>
            <w:pPr>
              <w:pStyle w:val="2"/>
              <w:rPr>
                <w:rFonts w:hint="default" w:eastAsia="宋体"/>
                <w:lang w:val="en-US" w:eastAsia="zh-CN"/>
              </w:rPr>
            </w:pPr>
            <w:r>
              <w:rPr>
                <w:rFonts w:hint="eastAsia" w:ascii="宋体" w:hAnsi="宋体" w:cs="宋体"/>
                <w:color w:val="auto"/>
                <w:sz w:val="21"/>
                <w:szCs w:val="21"/>
                <w:highlight w:val="none"/>
                <w:lang w:val="en-US" w:eastAsia="zh-CN"/>
              </w:rPr>
              <w:t>3、若同一投标人参与多个标段投标，当出现在多个标段排名第一中标候选人时，评标委员会将按照标段评审顺序评审，将该投标人列为第一个评审顺序标段的第一中标候选人，在其他标段该投标人将不作为第一中标候选人排序。</w:t>
            </w:r>
          </w:p>
          <w:p>
            <w:pPr>
              <w:pStyle w:val="13"/>
              <w:keepNext w:val="0"/>
              <w:keepLines w:val="0"/>
              <w:pageBreakBefore w:val="0"/>
              <w:widowControl w:val="0"/>
              <w:kinsoku/>
              <w:wordWrap/>
              <w:overflowPunct/>
              <w:topLinePunct w:val="0"/>
              <w:autoSpaceDE/>
              <w:autoSpaceDN/>
              <w:bidi w:val="0"/>
              <w:adjustRightInd w:val="0"/>
              <w:snapToGrid/>
              <w:spacing w:line="360" w:lineRule="auto"/>
              <w:ind w:right="105" w:rightChars="50"/>
              <w:textAlignment w:val="baseline"/>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lang w:eastAsia="zh-CN"/>
              </w:rPr>
              <w:t>无效标条件：投标人或投标文件有下列情形之一的，其投标作无效标处理：</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211" w:firstLineChars="100"/>
              <w:jc w:val="both"/>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（1）第二章“投标人须知正文部分”及“投标人须知前附表”第1.4.3项规定的任何一种情形的；</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211" w:firstLineChars="100"/>
              <w:jc w:val="both"/>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）第二章“投标人须知正文部分”第1.4.</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项规定的任何一种情形的；</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211" w:firstLineChars="100"/>
              <w:jc w:val="both"/>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）最新公布的信用评价结果为</w:t>
            </w:r>
            <w:r>
              <w:rPr>
                <w:rFonts w:hint="eastAsia" w:ascii="宋体" w:hAnsi="宋体" w:eastAsia="宋体" w:cs="宋体"/>
                <w:b/>
                <w:bCs/>
                <w:color w:val="auto"/>
                <w:sz w:val="21"/>
                <w:szCs w:val="21"/>
                <w:highlight w:val="none"/>
                <w:lang w:val="en-US" w:eastAsia="zh-CN"/>
              </w:rPr>
              <w:t>D</w:t>
            </w:r>
            <w:r>
              <w:rPr>
                <w:rFonts w:hint="eastAsia" w:ascii="宋体" w:hAnsi="宋体" w:eastAsia="宋体" w:cs="宋体"/>
                <w:b/>
                <w:bCs/>
                <w:color w:val="auto"/>
                <w:sz w:val="21"/>
                <w:szCs w:val="21"/>
                <w:highlight w:val="none"/>
                <w:lang w:eastAsia="zh-CN"/>
              </w:rPr>
              <w:t>级及以下的；</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211" w:firstLineChars="100"/>
              <w:jc w:val="both"/>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）在形式评审与响应性评审和资格评审中，评标委员会认定投标人的投标不符合评标办法前附表中规定的任何一项评审标准的；</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211" w:firstLineChars="100"/>
              <w:jc w:val="both"/>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）不按评标委员会要求澄清、说明或补正的；</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211" w:firstLineChars="100"/>
              <w:jc w:val="both"/>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（6）不接受评标委员会按招标文件要求对投标报价进行修正的；</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211" w:firstLineChars="100"/>
              <w:jc w:val="both"/>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（7）投标人的最终投标报价超过招标人设置的投标控制限价的；</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211" w:firstLineChars="100"/>
              <w:jc w:val="both"/>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（8）评标委员会认定投标人以低于成本报价竞标的；</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211" w:firstLineChars="100"/>
              <w:jc w:val="both"/>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eastAsia="zh-CN"/>
              </w:rPr>
              <w:t>）投标文件对本招标文件需承诺内容未作出承诺的；</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211" w:firstLineChars="100"/>
              <w:jc w:val="both"/>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eastAsia="zh-CN"/>
              </w:rPr>
              <w:t>）评标委员会认定投标文件异常一致或投标报价呈规律性差异的；</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211" w:firstLineChars="100"/>
              <w:jc w:val="both"/>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lang w:eastAsia="zh-CN"/>
              </w:rPr>
              <w:t>）评标委员会认定投标人串通投标或弄虚作假或有其他违法行为的。</w:t>
            </w:r>
          </w:p>
          <w:p>
            <w:pPr>
              <w:pStyle w:val="13"/>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422"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、废标条件：有效投标不足3个，且评标委员会对有效投标是否仍具有竞争性无法达成一致意见，否决全部投标的。</w:t>
            </w:r>
          </w:p>
        </w:tc>
      </w:tr>
    </w:tbl>
    <w:p>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textAlignment w:val="baseline"/>
        <w:outlineLvl w:val="3"/>
        <w:rPr>
          <w:rFonts w:hint="eastAsia" w:ascii="宋体" w:hAnsi="宋体" w:eastAsia="宋体" w:cs="宋体"/>
          <w:color w:val="auto"/>
          <w:sz w:val="24"/>
          <w:szCs w:val="24"/>
          <w:highlight w:val="none"/>
        </w:rPr>
      </w:pPr>
      <w:r>
        <w:rPr>
          <w:color w:val="auto"/>
          <w:highlight w:val="none"/>
        </w:rPr>
        <w:br w:type="page"/>
      </w:r>
      <w:bookmarkStart w:id="6" w:name="_Toc451524586"/>
      <w:bookmarkStart w:id="7" w:name="_Toc451524351"/>
      <w:r>
        <w:rPr>
          <w:rFonts w:hint="eastAsia" w:ascii="宋体" w:hAnsi="宋体" w:eastAsia="宋体" w:cs="宋体"/>
          <w:b/>
          <w:bCs/>
          <w:color w:val="auto"/>
          <w:sz w:val="28"/>
          <w:szCs w:val="28"/>
          <w:highlight w:val="none"/>
        </w:rPr>
        <w:t>1. 评标方法</w:t>
      </w:r>
      <w:bookmarkEnd w:id="6"/>
      <w:bookmarkEnd w:id="7"/>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本次评标采用</w:t>
      </w:r>
      <w:r>
        <w:rPr>
          <w:rFonts w:hint="eastAsia" w:hAnsi="宋体" w:eastAsia="宋体" w:cs="宋体"/>
          <w:color w:val="auto"/>
          <w:sz w:val="24"/>
          <w:szCs w:val="24"/>
          <w:highlight w:val="none"/>
          <w:lang w:val="en-US" w:eastAsia="zh-CN"/>
        </w:rPr>
        <w:t>综</w:t>
      </w:r>
      <w:r>
        <w:rPr>
          <w:rFonts w:hint="eastAsia" w:ascii="宋体" w:hAnsi="宋体" w:eastAsia="宋体" w:cs="宋体"/>
          <w:color w:val="auto"/>
          <w:sz w:val="24"/>
          <w:szCs w:val="24"/>
          <w:highlight w:val="none"/>
        </w:rPr>
        <w:t>合评估法。评标委员会对满足招标文件实质性要求的投标文件，按照本章第 2.2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款规定的评分标准进行打分，并按得分由高到低顺序推荐中标候选人，或根据招标人授权直接确定中标人。综合评分相等时，评标委员会应按照评标办法前附表规定的优先次序推荐中标候选人或确定中标人。</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textAlignment w:val="baseline"/>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 评审标准</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w:t>
      </w:r>
      <w:r>
        <w:rPr>
          <w:rFonts w:hint="eastAsia"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初步评审标准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r>
        <w:rPr>
          <w:rFonts w:hint="eastAsia"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形式评审标准：见评标办法前附表。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r>
        <w:rPr>
          <w:rFonts w:hint="eastAsia"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资格评审标准：见评标办法前附表。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w:t>
      </w:r>
      <w:r>
        <w:rPr>
          <w:rFonts w:hint="eastAsia"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响应性评审标准：见评标办法前附表。</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分值构成与评分标准</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2.2.1</w:t>
      </w:r>
      <w:r>
        <w:rPr>
          <w:rFonts w:hint="eastAsia"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分值构成</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r>
        <w:rPr>
          <w:rFonts w:hint="eastAsia" w:hAnsi="宋体" w:eastAsia="宋体" w:cs="宋体"/>
          <w:color w:val="auto"/>
          <w:sz w:val="24"/>
          <w:szCs w:val="24"/>
          <w:highlight w:val="none"/>
          <w:lang w:eastAsia="zh-CN"/>
        </w:rPr>
        <w:t>建议书</w:t>
      </w:r>
      <w:r>
        <w:rPr>
          <w:rFonts w:hint="eastAsia" w:ascii="宋体" w:hAnsi="宋体" w:eastAsia="宋体" w:cs="宋体"/>
          <w:color w:val="auto"/>
          <w:sz w:val="24"/>
          <w:szCs w:val="24"/>
          <w:highlight w:val="none"/>
        </w:rPr>
        <w:t>：见评标办法前附表；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eastAsia="zh-CN"/>
        </w:rPr>
        <w:t>资信业绩</w:t>
      </w:r>
      <w:r>
        <w:rPr>
          <w:rFonts w:hint="eastAsia" w:ascii="宋体" w:hAnsi="宋体" w:eastAsia="宋体" w:cs="宋体"/>
          <w:color w:val="auto"/>
          <w:sz w:val="24"/>
          <w:szCs w:val="24"/>
          <w:highlight w:val="none"/>
        </w:rPr>
        <w:t>：见评标办法前附表；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eastAsia="zh-CN"/>
        </w:rPr>
        <w:t>投标报价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见评标办法前附表</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2.2.2 评标基准价计算</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评标基准价计算方法：见评标办法前附表。</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2.2.3 投标报价的偏差率计算</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评标价偏差率计算公式：见评标办法前附表。</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w:t>
      </w:r>
      <w:r>
        <w:rPr>
          <w:rFonts w:hint="eastAsia" w:ascii="宋体" w:hAnsi="宋体" w:eastAsia="宋体" w:cs="宋体"/>
          <w:b/>
          <w:bCs/>
          <w:color w:val="auto"/>
          <w:sz w:val="24"/>
          <w:szCs w:val="24"/>
          <w:highlight w:val="none"/>
          <w:lang w:val="en-US" w:eastAsia="zh-CN"/>
        </w:rPr>
        <w:t>4</w:t>
      </w:r>
      <w:r>
        <w:rPr>
          <w:rFonts w:hint="eastAsia"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评分标准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（1）技术建议书</w:t>
      </w:r>
      <w:r>
        <w:rPr>
          <w:rFonts w:hint="eastAsia" w:hAnsi="宋体" w:eastAsia="宋体" w:cs="宋体"/>
          <w:color w:val="auto"/>
          <w:sz w:val="24"/>
          <w:szCs w:val="24"/>
          <w:highlight w:val="none"/>
          <w:lang w:eastAsia="zh-CN"/>
        </w:rPr>
        <w:t>评分标准</w:t>
      </w:r>
      <w:r>
        <w:rPr>
          <w:rFonts w:hint="eastAsia" w:ascii="宋体" w:hAnsi="宋体" w:eastAsia="宋体" w:cs="宋体"/>
          <w:color w:val="auto"/>
          <w:sz w:val="24"/>
          <w:szCs w:val="24"/>
          <w:highlight w:val="none"/>
        </w:rPr>
        <w:t>：见评标办法前附表；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hAnsi="宋体" w:eastAsia="宋体" w:cs="宋体"/>
          <w:color w:val="auto"/>
          <w:sz w:val="24"/>
          <w:szCs w:val="24"/>
          <w:highlight w:val="none"/>
          <w:lang w:eastAsia="zh-CN"/>
        </w:rPr>
        <w:t>资信业绩评分标准</w:t>
      </w:r>
      <w:r>
        <w:rPr>
          <w:rFonts w:hint="eastAsia" w:ascii="宋体" w:hAnsi="宋体" w:eastAsia="宋体" w:cs="宋体"/>
          <w:color w:val="auto"/>
          <w:sz w:val="24"/>
          <w:szCs w:val="24"/>
          <w:highlight w:val="none"/>
        </w:rPr>
        <w:t>：见评标办法前附表；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报价</w:t>
      </w:r>
      <w:r>
        <w:rPr>
          <w:rFonts w:hint="eastAsia" w:hAnsi="宋体" w:eastAsia="宋体" w:cs="宋体"/>
          <w:color w:val="auto"/>
          <w:sz w:val="24"/>
          <w:szCs w:val="24"/>
          <w:highlight w:val="none"/>
          <w:lang w:eastAsia="zh-CN"/>
        </w:rPr>
        <w:t>评分标准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见评标办法前附表</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textAlignment w:val="baseline"/>
        <w:outlineLvl w:val="3"/>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3.</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eastAsia="zh-CN"/>
        </w:rPr>
        <w:t>评标程序</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textAlignment w:val="baseline"/>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3.1 第一个信封初步评审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3.1.1</w:t>
      </w:r>
      <w:r>
        <w:rPr>
          <w:rFonts w:hint="eastAsia"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评标委员会可以要求投标人提交第二章“投标人须知”第3.5.1项至第3.5.5项规定的有关证明和证件的原件，以便核验。</w:t>
      </w:r>
      <w:r>
        <w:rPr>
          <w:rFonts w:hint="eastAsia" w:ascii="宋体" w:hAnsi="宋体" w:eastAsia="宋体" w:cs="宋体"/>
          <w:b/>
          <w:bCs/>
          <w:color w:val="auto"/>
          <w:sz w:val="24"/>
          <w:szCs w:val="24"/>
          <w:highlight w:val="none"/>
        </w:rPr>
        <w:t>评标委员会依据本章第2.1款规定的标准对投标文件第一个信封（商务及技术文件）进行初步评审。有一项不符合评审标准的，评标委员会应否决其投标。</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3.2 第一个信封详细评审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评标委员会按本章第2.2款规定的量化因素和分值进行打分，并计算出各投标人的商务和技术得分。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（1）按本章第 2.2.4 (1）目规定的评审因素和分值对技术建议书部分计算出得分A</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（2）按本章第 2.2.4 (2）目规定的评审因素和分值对</w:t>
      </w:r>
      <w:r>
        <w:rPr>
          <w:rFonts w:hint="eastAsia" w:ascii="宋体" w:hAnsi="宋体" w:eastAsia="宋体" w:cs="宋体"/>
          <w:color w:val="auto"/>
          <w:sz w:val="24"/>
          <w:szCs w:val="24"/>
          <w:highlight w:val="none"/>
          <w:lang w:eastAsia="zh-CN"/>
        </w:rPr>
        <w:t>商务评审</w:t>
      </w:r>
      <w:r>
        <w:rPr>
          <w:rFonts w:hint="eastAsia" w:ascii="宋体" w:hAnsi="宋体" w:eastAsia="宋体" w:cs="宋体"/>
          <w:color w:val="auto"/>
          <w:sz w:val="24"/>
          <w:szCs w:val="24"/>
          <w:highlight w:val="none"/>
        </w:rPr>
        <w:t>计算出得分B</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投标人的商务和技术得分分值计算保留小数点后两位，小数点后第三位“四舍五入”。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投标人的商务和技术得分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A+B。</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3.3 第二个信封开标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第一个信封（商务及技术文件）评审结束后，招标人将按照第二章“投标人须知”第5.1款规定的时间和地点对通过投标文件第一个信封（商务及技术文件）评审的投标文件第二个信封（报价文件）进行开标。</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3.4 第二个信封初步评审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3.4.1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评标委员会依据本章第</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2.1.1</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项、第</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2.1.3</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项规定的评审标准对投标文件第二个信封（报价文件）进行初步评审。有一项不符合评审标准的，评标委员会应否决其投标。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3.4.2 </w:t>
      </w:r>
      <w:r>
        <w:rPr>
          <w:rFonts w:hint="eastAsia" w:ascii="宋体" w:hAnsi="宋体" w:eastAsia="宋体" w:cs="宋体"/>
          <w:b/>
          <w:bCs/>
          <w:color w:val="auto"/>
          <w:sz w:val="24"/>
          <w:szCs w:val="24"/>
          <w:highlight w:val="none"/>
        </w:rPr>
        <w:t>投标报价有算术错误的，评标委员会按以下原则对投标报价进行修正，修正的价格经投标人书面确认后具有约束力。投标人不接受修正价格的，评标委员会应否决其投标。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eastAsia="zh-CN"/>
        </w:rPr>
        <w:t>（</w:t>
      </w:r>
      <w:r>
        <w:rPr>
          <w:rFonts w:hint="eastAsia" w:hAnsi="宋体" w:eastAsia="宋体" w:cs="宋体"/>
          <w:color w:val="auto"/>
          <w:sz w:val="24"/>
          <w:szCs w:val="24"/>
          <w:highlight w:val="none"/>
          <w:lang w:val="en-US" w:eastAsia="zh-CN"/>
        </w:rPr>
        <w:t>1</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投标文件中的大写金额与小写金额不一致的，以大写金额为准；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eastAsia="zh-CN"/>
        </w:rPr>
        <w:t>（</w:t>
      </w:r>
      <w:r>
        <w:rPr>
          <w:rFonts w:hint="eastAsia" w:hAnsi="宋体" w:eastAsia="宋体" w:cs="宋体"/>
          <w:color w:val="auto"/>
          <w:sz w:val="24"/>
          <w:szCs w:val="24"/>
          <w:highlight w:val="none"/>
          <w:lang w:val="en-US" w:eastAsia="zh-CN"/>
        </w:rPr>
        <w:t>2</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总价金额与依据单价计算出的结果不一致的，以单价金额为准修正总价，但单价金额小数点有明显错误的除外；</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eastAsia="zh-CN"/>
        </w:rPr>
        <w:t>（</w:t>
      </w:r>
      <w:r>
        <w:rPr>
          <w:rFonts w:hint="eastAsia" w:hAnsi="宋体" w:eastAsia="宋体" w:cs="宋体"/>
          <w:color w:val="auto"/>
          <w:sz w:val="24"/>
          <w:szCs w:val="24"/>
          <w:highlight w:val="none"/>
          <w:lang w:val="en-US" w:eastAsia="zh-CN"/>
        </w:rPr>
        <w:t>3</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当单价与数量相乘不等于合价时，以单价计算为准，如果单价有明显的小数点位置差错，应以标出的合价为准，同时对单价予以修正；</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eastAsia="zh-CN"/>
        </w:rPr>
        <w:t>（</w:t>
      </w:r>
      <w:r>
        <w:rPr>
          <w:rFonts w:hint="eastAsia" w:hAnsi="宋体" w:eastAsia="宋体" w:cs="宋体"/>
          <w:color w:val="auto"/>
          <w:sz w:val="24"/>
          <w:szCs w:val="24"/>
          <w:highlight w:val="none"/>
          <w:lang w:val="en-US" w:eastAsia="zh-CN"/>
        </w:rPr>
        <w:t>4</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当各子目的合价累计不等于总价时，应以各子目合价累计数为准，修正总价。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3.4.3 </w:t>
      </w:r>
      <w:r>
        <w:rPr>
          <w:rFonts w:hint="eastAsia" w:ascii="宋体" w:hAnsi="宋体" w:eastAsia="宋体" w:cs="宋体"/>
          <w:b/>
          <w:bCs/>
          <w:color w:val="auto"/>
          <w:sz w:val="24"/>
          <w:szCs w:val="24"/>
          <w:highlight w:val="none"/>
        </w:rPr>
        <w:t>修正后的最终投标报价若超过最高投标限价（如有），评标委员会应否决其投标。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修正后的最终投标报价仅作为签订合同的一个依据，不参与评标价得分的计算。</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3.5 第二信封详细评审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 评标委员会按本章第</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2.2.4 (3）目规定的评审因素和分值对投标报价计算出得分C。投标报价得分分值计算保留小数点后两位，小数点后第</w:t>
      </w:r>
      <w:r>
        <w:rPr>
          <w:rFonts w:hint="eastAsia"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位“四舍五入”。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 投标人得分=投标人的商务和技术得分＋C</w:t>
      </w:r>
      <w:r>
        <w:rPr>
          <w:rFonts w:hint="eastAsia" w:hAnsi="宋体" w:eastAsia="宋体" w:cs="宋体"/>
          <w:color w:val="auto"/>
          <w:sz w:val="24"/>
          <w:szCs w:val="24"/>
          <w:highlight w:val="none"/>
          <w:lang w:val="en-US" w:eastAsia="zh-CN"/>
        </w:rPr>
        <w:t>=A+B+C</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3.5.3 </w:t>
      </w:r>
      <w:r>
        <w:rPr>
          <w:rFonts w:hint="eastAsia" w:ascii="宋体" w:hAnsi="宋体" w:eastAsia="宋体" w:cs="宋体"/>
          <w:b/>
          <w:bCs/>
          <w:color w:val="auto"/>
          <w:sz w:val="24"/>
          <w:szCs w:val="24"/>
          <w:highlight w:val="none"/>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3.6 投标文件相关信息的核查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3.6.1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评标委员会应对在评标过程中发现的投标人与投标人之间、投标人与招标人之间存在的串通投标情形进行评审和认定。投标人存在串通投标、弄虚作假、行贿等违法行为的，评标委员会应否决其投标。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（1）有下列情形之一的，属于投标人相互串通投标：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a.投标人之间协商投标报价等投标文件的实质性内容；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b.投标人之间约定中标人；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c.投标人之间预定部分投标人放弃投标或中标；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d.属于同一集团、协会、商会等组织成员的投标人按照该组织要求协同投标；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e.投标人之间为谋取中标或排斥特定投标人而采取的其他联合行动。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（2）有下列情形之一的，视为投标人相互串通投标：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a.不同投标人的投标文件由同一单位或个人编制；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b.不同投标人委托同一单位或个人办理投标事宜；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c.不同投标人的投标文件载明的项目管理成员为同一人；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d.不同投标人的投标文件异常一致或投标报价呈规律性差异；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e.不同投标人的投标文件相互混装；</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f.不同投标人的投标保证金从同一单位或个人的账户转出。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（3）有下列情形之一的，属于招标人与投标人相互串通投标：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a.招标人在开标前开启投标文件并将有关信息泄漏给其他投标人；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b.招标人直接或间接向投标人泄漏标底、评标委员会成员等信息；</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c.招标人明示或暗示投标人压低或抬高投标报价；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d.招标人授意投标人撤换、修改投标文件；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e.招标人明示或暗示投标人为特定投标人中标提供方便；</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f.招标人与投标人为谋求特定投标人中标而采取的其他串通行为。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（4）投标人有下列情形之一的，属于弄虚作假的行为：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a.使用通过受让或租借等方式获取的资格、资质证书投标；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b.使用伪造、变造的许可证件；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c.提供虚假的财务状况或业绩；</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d.提供虚假的项目负责人或主要技术人员简历、劳动关系证明；</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e.提供虚假的信用状况；</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f.其他弄虚作假的行为。</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3.7 投标文件的澄清和说明</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3.7.1 在评标过程中，评标委员会可以书面形式要求投标人对所提交投标文件中不明确的内容、明显文字或计算错误进行书面澄清或说明。评标委员会不接受投标人主动提出的澄清、说明。</w:t>
      </w:r>
      <w:r>
        <w:rPr>
          <w:rFonts w:hint="eastAsia" w:ascii="宋体" w:hAnsi="宋体" w:eastAsia="宋体" w:cs="宋体"/>
          <w:b/>
          <w:bCs/>
          <w:color w:val="auto"/>
          <w:sz w:val="24"/>
          <w:szCs w:val="24"/>
          <w:highlight w:val="none"/>
        </w:rPr>
        <w:t>投标人不按评标委员会要求澄清或说明的，评标委员会应否决其投标。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 澄清和说明不得超出投标文件的范围或改变投标文件的实质性内容（算术性错误修正的除外）。投标人的书面澄清、说明属于投标文件的组成部分。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 评标委员会不得暗示或诱导投标人作出澄清、说明，对投标人提交的澄清、说明有疑问的，可以要求投标人进一步澄清或说明，直至满足评标委员会的要求。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凡超出招标文件规定的或给发包人带来未曾要求的利益的变化、偏差或其他因素在评标时不予考虑。</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3.8 不得否决投标的情形</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投标文件存在第二章“投标人须知”第</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1.12.3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项所列情形的，均视为细微偏差，评标委员会不得否决投标人的投标，应按照第二章“投标人须知”第</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1.12.4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项规定的原则处理。</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3.9 评标结果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default"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3.9.1 除第二章“投标人须知”前附表授权直接确定中标人外，评标委员会按照得分由高到低的顺序推荐中标候选人，并标明排序。</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3.9.2 评标委员会完成评标后，应当向招标人提交书面评标报告。</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C516D5"/>
    <w:multiLevelType w:val="singleLevel"/>
    <w:tmpl w:val="35C516D5"/>
    <w:lvl w:ilvl="0" w:tentative="0">
      <w:start w:val="1"/>
      <w:numFmt w:val="decimal"/>
      <w:lvlText w:val="%1."/>
      <w:lvlJc w:val="left"/>
      <w:pPr>
        <w:tabs>
          <w:tab w:val="left" w:pos="312"/>
        </w:tabs>
      </w:pPr>
    </w:lvl>
  </w:abstractNum>
  <w:abstractNum w:abstractNumId="1">
    <w:nsid w:val="73ACFAD8"/>
    <w:multiLevelType w:val="multilevel"/>
    <w:tmpl w:val="73ACFAD8"/>
    <w:lvl w:ilvl="0" w:tentative="0">
      <w:start w:val="1"/>
      <w:numFmt w:val="upperRoman"/>
      <w:pStyle w:val="3"/>
      <w:lvlText w:val="第 %1 条"/>
      <w:lvlJc w:val="left"/>
      <w:pPr>
        <w:tabs>
          <w:tab w:val="left" w:pos="1440"/>
        </w:tabs>
        <w:ind w:left="0" w:firstLine="0"/>
      </w:pPr>
    </w:lvl>
    <w:lvl w:ilvl="1" w:tentative="0">
      <w:start w:val="1"/>
      <w:numFmt w:val="decimalZero"/>
      <w:pStyle w:val="4"/>
      <w:isLgl/>
      <w:lvlText w:val="节 %1.%2"/>
      <w:lvlJc w:val="left"/>
      <w:pPr>
        <w:tabs>
          <w:tab w:val="left" w:pos="720"/>
        </w:tabs>
        <w:ind w:left="0"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pStyle w:val="8"/>
      <w:lvlText w:val="%5)"/>
      <w:lvlJc w:val="left"/>
      <w:pPr>
        <w:tabs>
          <w:tab w:val="left" w:pos="1008"/>
        </w:tabs>
        <w:ind w:left="1008" w:hanging="432"/>
      </w:pPr>
    </w:lvl>
    <w:lvl w:ilvl="5" w:tentative="0">
      <w:start w:val="1"/>
      <w:numFmt w:val="lowerLetter"/>
      <w:pStyle w:val="9"/>
      <w:lvlText w:val="%6)"/>
      <w:lvlJc w:val="left"/>
      <w:pPr>
        <w:tabs>
          <w:tab w:val="left" w:pos="1152"/>
        </w:tabs>
        <w:ind w:left="1152" w:hanging="432"/>
      </w:pPr>
    </w:lvl>
    <w:lvl w:ilvl="6" w:tentative="0">
      <w:start w:val="1"/>
      <w:numFmt w:val="lowerRoman"/>
      <w:pStyle w:val="10"/>
      <w:lvlText w:val="%7)"/>
      <w:lvlJc w:val="right"/>
      <w:pPr>
        <w:tabs>
          <w:tab w:val="left" w:pos="1296"/>
        </w:tabs>
        <w:ind w:left="1296" w:hanging="288"/>
      </w:pPr>
    </w:lvl>
    <w:lvl w:ilvl="7" w:tentative="0">
      <w:start w:val="1"/>
      <w:numFmt w:val="lowerLetter"/>
      <w:pStyle w:val="11"/>
      <w:lvlText w:val="%8."/>
      <w:lvlJc w:val="left"/>
      <w:pPr>
        <w:tabs>
          <w:tab w:val="left" w:pos="1440"/>
        </w:tabs>
        <w:ind w:left="1440" w:hanging="432"/>
      </w:pPr>
    </w:lvl>
    <w:lvl w:ilvl="8" w:tentative="0">
      <w:start w:val="1"/>
      <w:numFmt w:val="lowerRoman"/>
      <w:pStyle w:val="12"/>
      <w:lvlText w:val="%9."/>
      <w:lvlJc w:val="right"/>
      <w:pPr>
        <w:tabs>
          <w:tab w:val="left" w:pos="1584"/>
        </w:tabs>
        <w:ind w:left="1584" w:hanging="14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MmUzZDNlMDg2YjgxODMzZjgwNmNlMTRmNDM1M2MifQ=="/>
  </w:docVars>
  <w:rsids>
    <w:rsidRoot w:val="7BBC15D0"/>
    <w:rsid w:val="052C6A8B"/>
    <w:rsid w:val="07480DA2"/>
    <w:rsid w:val="0F8D39DE"/>
    <w:rsid w:val="0FC66514"/>
    <w:rsid w:val="1B21475B"/>
    <w:rsid w:val="26AD55EE"/>
    <w:rsid w:val="28374DB3"/>
    <w:rsid w:val="2D5D1A8A"/>
    <w:rsid w:val="3327119C"/>
    <w:rsid w:val="43F42913"/>
    <w:rsid w:val="662F356D"/>
    <w:rsid w:val="6B2F53F9"/>
    <w:rsid w:val="6E191310"/>
    <w:rsid w:val="700D3938"/>
    <w:rsid w:val="7BBC15D0"/>
    <w:rsid w:val="7E487E75"/>
    <w:rsid w:val="EAB87C95"/>
    <w:rsid w:val="EFFB1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20" w:lineRule="atLeast"/>
      <w:ind w:firstLine="454"/>
      <w:jc w:val="both"/>
      <w:textAlignment w:val="baseline"/>
    </w:pPr>
    <w:rPr>
      <w:rFonts w:ascii="Times New Roman" w:hAnsi="Times New Roman" w:eastAsia="宋体" w:cs="Times New Roman"/>
      <w:sz w:val="21"/>
      <w:szCs w:val="22"/>
      <w:lang w:val="en-US" w:eastAsia="zh-CN" w:bidi="ar-SA"/>
    </w:rPr>
  </w:style>
  <w:style w:type="paragraph" w:styleId="3">
    <w:name w:val="heading 1"/>
    <w:basedOn w:val="1"/>
    <w:next w:val="1"/>
    <w:link w:val="17"/>
    <w:autoRedefine/>
    <w:qFormat/>
    <w:uiPriority w:val="0"/>
    <w:pPr>
      <w:keepNext/>
      <w:numPr>
        <w:ilvl w:val="0"/>
        <w:numId w:val="1"/>
      </w:numPr>
      <w:autoSpaceDE w:val="0"/>
      <w:autoSpaceDN w:val="0"/>
      <w:adjustRightInd w:val="0"/>
      <w:jc w:val="left"/>
      <w:textAlignment w:val="baseline"/>
      <w:outlineLvl w:val="0"/>
    </w:pPr>
    <w:rPr>
      <w:rFonts w:ascii="宋体" w:hAnsi="宋体" w:eastAsia="宋体" w:cs="Times New Roman"/>
      <w:color w:val="000000"/>
      <w:kern w:val="0"/>
      <w:sz w:val="30"/>
      <w:szCs w:val="20"/>
    </w:rPr>
  </w:style>
  <w:style w:type="paragraph" w:styleId="4">
    <w:name w:val="heading 2"/>
    <w:basedOn w:val="1"/>
    <w:next w:val="1"/>
    <w:link w:val="18"/>
    <w:semiHidden/>
    <w:unhideWhenUsed/>
    <w:qFormat/>
    <w:uiPriority w:val="0"/>
    <w:pPr>
      <w:keepNext/>
      <w:keepLines/>
      <w:numPr>
        <w:ilvl w:val="1"/>
        <w:numId w:val="1"/>
      </w:numPr>
      <w:autoSpaceDE w:val="0"/>
      <w:autoSpaceDN w:val="0"/>
      <w:adjustRightInd w:val="0"/>
      <w:spacing w:before="260" w:after="260" w:line="415" w:lineRule="auto"/>
      <w:jc w:val="left"/>
      <w:textAlignment w:val="baseline"/>
      <w:outlineLvl w:val="1"/>
    </w:pPr>
    <w:rPr>
      <w:rFonts w:ascii="Arial" w:hAnsi="Arial" w:eastAsia="宋体" w:cs="Times New Roman"/>
      <w:bCs/>
      <w:kern w:val="0"/>
      <w:sz w:val="28"/>
      <w:szCs w:val="32"/>
    </w:rPr>
  </w:style>
  <w:style w:type="paragraph" w:styleId="5">
    <w:name w:val="heading 3"/>
    <w:basedOn w:val="1"/>
    <w:next w:val="1"/>
    <w:link w:val="19"/>
    <w:semiHidden/>
    <w:unhideWhenUsed/>
    <w:qFormat/>
    <w:uiPriority w:val="0"/>
    <w:pPr>
      <w:keepNext/>
      <w:keepLines/>
      <w:spacing w:before="260" w:after="260" w:line="416" w:lineRule="auto"/>
      <w:outlineLvl w:val="2"/>
    </w:pPr>
    <w:rPr>
      <w:rFonts w:ascii="Times New Roman" w:hAnsi="Times New Roman" w:eastAsia="宋体" w:cs="Times New Roman"/>
      <w:b/>
      <w:bCs/>
      <w:sz w:val="24"/>
      <w:szCs w:val="32"/>
    </w:rPr>
  </w:style>
  <w:style w:type="paragraph" w:styleId="6">
    <w:name w:val="heading 4"/>
    <w:basedOn w:val="1"/>
    <w:next w:val="7"/>
    <w:link w:val="20"/>
    <w:autoRedefine/>
    <w:semiHidden/>
    <w:unhideWhenUsed/>
    <w:qFormat/>
    <w:uiPriority w:val="0"/>
    <w:pPr>
      <w:keepNext/>
      <w:keepLines/>
      <w:spacing w:before="280" w:after="290" w:line="376" w:lineRule="auto"/>
      <w:outlineLvl w:val="3"/>
    </w:pPr>
    <w:rPr>
      <w:rFonts w:asciiTheme="majorAscii" w:hAnsiTheme="majorAscii" w:eastAsiaTheme="majorEastAsia" w:cstheme="majorBidi"/>
      <w:bCs/>
      <w:sz w:val="24"/>
      <w:szCs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1008" w:hanging="432"/>
      <w:outlineLvl w:val="4"/>
    </w:pPr>
    <w:rPr>
      <w:b/>
      <w:sz w:val="28"/>
    </w:rPr>
  </w:style>
  <w:style w:type="paragraph" w:styleId="9">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2" w:hanging="432"/>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288"/>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432"/>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44"/>
      <w:outlineLvl w:val="8"/>
    </w:pPr>
    <w:rPr>
      <w:rFonts w:ascii="Arial" w:hAnsi="Arial" w:eastAsia="黑体"/>
      <w:sz w:val="21"/>
    </w:rPr>
  </w:style>
  <w:style w:type="character" w:default="1" w:styleId="16">
    <w:name w:val="Default Paragraph Font"/>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customStyle="1" w:styleId="2">
    <w:name w:val="报告正文1"/>
    <w:basedOn w:val="1"/>
    <w:autoRedefine/>
    <w:qFormat/>
    <w:uiPriority w:val="0"/>
    <w:pPr>
      <w:spacing w:line="400" w:lineRule="exact"/>
      <w:ind w:firstLine="200" w:firstLineChars="200"/>
    </w:pPr>
    <w:rPr>
      <w:rFonts w:ascii="宋体" w:hAnsi="宋体"/>
      <w:bCs/>
      <w:szCs w:val="21"/>
    </w:rPr>
  </w:style>
  <w:style w:type="paragraph" w:styleId="7">
    <w:name w:val="Normal Indent"/>
    <w:basedOn w:val="1"/>
    <w:autoRedefine/>
    <w:qFormat/>
    <w:uiPriority w:val="0"/>
    <w:pPr>
      <w:ind w:firstLine="420" w:firstLineChars="200"/>
    </w:pPr>
  </w:style>
  <w:style w:type="paragraph" w:styleId="13">
    <w:name w:val="annotation text"/>
    <w:basedOn w:val="1"/>
    <w:autoRedefine/>
    <w:qFormat/>
    <w:uiPriority w:val="0"/>
  </w:style>
  <w:style w:type="paragraph" w:styleId="14">
    <w:name w:val="Body Text Indent 2"/>
    <w:basedOn w:val="1"/>
    <w:autoRedefine/>
    <w:qFormat/>
    <w:uiPriority w:val="0"/>
    <w:pPr>
      <w:autoSpaceDE w:val="0"/>
      <w:autoSpaceDN w:val="0"/>
      <w:spacing w:line="240" w:lineRule="auto"/>
      <w:ind w:firstLine="480" w:firstLineChars="200"/>
    </w:pPr>
    <w:rPr>
      <w:rFonts w:ascii="仿宋_GB2312" w:eastAsia="仿宋_GB2312"/>
      <w:sz w:val="24"/>
      <w:szCs w:val="20"/>
    </w:rPr>
  </w:style>
  <w:style w:type="character" w:customStyle="1" w:styleId="17">
    <w:name w:val="标题 1 字符"/>
    <w:link w:val="3"/>
    <w:autoRedefine/>
    <w:qFormat/>
    <w:locked/>
    <w:uiPriority w:val="99"/>
    <w:rPr>
      <w:rFonts w:ascii="宋体" w:hAnsi="宋体" w:eastAsia="宋体" w:cs="Times New Roman"/>
      <w:color w:val="000000"/>
      <w:sz w:val="30"/>
    </w:rPr>
  </w:style>
  <w:style w:type="character" w:customStyle="1" w:styleId="18">
    <w:name w:val="标题 2 字符"/>
    <w:link w:val="4"/>
    <w:autoRedefine/>
    <w:qFormat/>
    <w:locked/>
    <w:uiPriority w:val="99"/>
    <w:rPr>
      <w:rFonts w:ascii="Arial" w:hAnsi="Arial" w:eastAsia="宋体" w:cs="Times New Roman"/>
      <w:b/>
      <w:bCs/>
      <w:sz w:val="28"/>
      <w:szCs w:val="32"/>
    </w:rPr>
  </w:style>
  <w:style w:type="character" w:customStyle="1" w:styleId="19">
    <w:name w:val="标题 3 字符"/>
    <w:link w:val="5"/>
    <w:autoRedefine/>
    <w:qFormat/>
    <w:locked/>
    <w:uiPriority w:val="99"/>
    <w:rPr>
      <w:rFonts w:ascii="Times New Roman" w:hAnsi="Times New Roman" w:eastAsia="宋体" w:cs="Times New Roman"/>
      <w:b/>
      <w:bCs/>
      <w:sz w:val="24"/>
      <w:szCs w:val="32"/>
    </w:rPr>
  </w:style>
  <w:style w:type="character" w:customStyle="1" w:styleId="20">
    <w:name w:val="标题 4 字符"/>
    <w:link w:val="6"/>
    <w:autoRedefine/>
    <w:qFormat/>
    <w:locked/>
    <w:uiPriority w:val="99"/>
    <w:rPr>
      <w:rFonts w:ascii="Arial" w:hAnsi="Arial" w:eastAsia="宋体" w:cs="Times New Roman"/>
      <w:kern w:val="2"/>
      <w:sz w:val="24"/>
    </w:rPr>
  </w:style>
  <w:style w:type="paragraph" w:styleId="21">
    <w:name w:val="List Paragraph"/>
    <w:basedOn w:val="1"/>
    <w:autoRedefine/>
    <w:qFormat/>
    <w:uiPriority w:val="34"/>
    <w:pPr>
      <w:ind w:firstLine="420" w:firstLineChars="200"/>
    </w:pPr>
  </w:style>
  <w:style w:type="paragraph" w:customStyle="1" w:styleId="22">
    <w:name w:val="Table Paragraph"/>
    <w:basedOn w:val="1"/>
    <w:autoRedefine/>
    <w:qFormat/>
    <w:uiPriority w:val="0"/>
    <w:pPr>
      <w:autoSpaceDE w:val="0"/>
      <w:autoSpaceDN w:val="0"/>
      <w:adjustRightInd w:val="0"/>
      <w:jc w:val="left"/>
    </w:pPr>
    <w:rPr>
      <w:rFonts w:ascii="宋体" w:cs="宋体"/>
      <w:kern w:val="0"/>
      <w:sz w:val="24"/>
    </w:rPr>
  </w:style>
  <w:style w:type="paragraph" w:customStyle="1" w:styleId="23">
    <w:name w:val="标题 Char Char"/>
    <w:basedOn w:val="24"/>
    <w:autoRedefine/>
    <w:qFormat/>
    <w:uiPriority w:val="0"/>
    <w:pPr>
      <w:jc w:val="center"/>
      <w:outlineLvl w:val="0"/>
    </w:pPr>
    <w:rPr>
      <w:rFonts w:ascii="Arial" w:hAnsi="Arial" w:cs="Arial"/>
      <w:b/>
      <w:bCs/>
      <w:sz w:val="32"/>
      <w:szCs w:val="32"/>
    </w:rPr>
  </w:style>
  <w:style w:type="paragraph" w:customStyle="1" w:styleId="24">
    <w:name w:val="正文 New New New New New New New New New New New New New New New New New New New New New New New New New New New New New New New New New New New New New New New New New New New New New New New New New"/>
    <w:next w:val="23"/>
    <w:autoRedefine/>
    <w:qFormat/>
    <w:uiPriority w:val="0"/>
    <w:pPr>
      <w:adjustRightInd w:val="0"/>
      <w:snapToGrid w:val="0"/>
      <w:spacing w:after="200"/>
    </w:pPr>
    <w:rPr>
      <w:rFonts w:ascii="Tahoma" w:hAnsi="Tahoma" w:eastAsia="宋体" w:cs="Times New Roman"/>
      <w:sz w:val="22"/>
      <w:szCs w:val="22"/>
      <w:lang w:val="en-US" w:eastAsia="zh-CN" w:bidi="ar-SA"/>
    </w:rPr>
  </w:style>
  <w:style w:type="paragraph" w:customStyle="1" w:styleId="2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6314</Words>
  <Characters>6688</Characters>
  <Lines>0</Lines>
  <Paragraphs>0</Paragraphs>
  <TotalTime>3</TotalTime>
  <ScaleCrop>false</ScaleCrop>
  <LinksUpToDate>false</LinksUpToDate>
  <CharactersWithSpaces>6760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2023-05-10T18:17:00Z</dcterms:created>
  <dc:creator>候凯</dc:creator>
  <cp:lastModifiedBy>卓子</cp:lastModifiedBy>
  <dcterms:modified xsi:type="dcterms:W3CDTF">2024-02-23T03:02:17Z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71F5E001FB0B43CAA2492B78A9069EE2_11</vt:lpwstr>
  </property>
</Properties>
</file>