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0" w:after="240" w:line="240" w:lineRule="atLeast"/>
        <w:jc w:val="center"/>
      </w:pPr>
      <w:bookmarkStart w:id="0" w:name="_Toc8643"/>
      <w:bookmarkStart w:id="1" w:name="_Toc234832863"/>
      <w:bookmarkStart w:id="2" w:name="_Toc17542"/>
      <w:bookmarkStart w:id="3" w:name="_Toc2894487"/>
      <w:r>
        <w:rPr>
          <w:rFonts w:hint="eastAsia" w:eastAsia="黑体"/>
          <w:sz w:val="28"/>
          <w:szCs w:val="28"/>
        </w:rPr>
        <w:t>附录</w:t>
      </w:r>
      <w:r>
        <w:rPr>
          <w:rFonts w:eastAsia="黑体"/>
          <w:sz w:val="28"/>
          <w:szCs w:val="28"/>
        </w:rPr>
        <w:t xml:space="preserve">1  </w:t>
      </w:r>
      <w:r>
        <w:rPr>
          <w:rFonts w:hint="eastAsia" w:eastAsia="黑体"/>
          <w:sz w:val="28"/>
          <w:szCs w:val="28"/>
        </w:rPr>
        <w:t>资格审查条件（资质最低要求）</w:t>
      </w:r>
      <w:bookmarkEnd w:id="0"/>
      <w:bookmarkEnd w:id="1"/>
      <w:bookmarkEnd w:id="2"/>
      <w:bookmarkEnd w:id="3"/>
    </w:p>
    <w:p>
      <w:pPr>
        <w:wordWrap w:val="0"/>
        <w:topLinePunct/>
        <w:adjustRightInd w:val="0"/>
        <w:snapToGrid w:val="0"/>
        <w:spacing w:line="300" w:lineRule="exact"/>
        <w:rPr>
          <w:rFonts w:eastAsia="隶书"/>
          <w:b/>
          <w:sz w:val="32"/>
        </w:rPr>
      </w:pPr>
    </w:p>
    <w:tbl>
      <w:tblPr>
        <w:tblStyle w:val="9"/>
        <w:tblW w:w="928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01"/>
        <w:gridCol w:w="81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80" w:hRule="atLeast"/>
        </w:trPr>
        <w:tc>
          <w:tcPr>
            <w:tcW w:w="1101" w:type="dxa"/>
            <w:noWrap w:val="0"/>
            <w:vAlign w:val="center"/>
          </w:tcPr>
          <w:p>
            <w:pPr>
              <w:topLinePunct/>
              <w:spacing w:line="400" w:lineRule="exact"/>
              <w:jc w:val="center"/>
              <w:rPr>
                <w:rFonts w:eastAsia="黑体"/>
                <w:szCs w:val="21"/>
              </w:rPr>
            </w:pPr>
            <w:r>
              <w:rPr>
                <w:rFonts w:hint="eastAsia" w:eastAsia="黑体"/>
                <w:szCs w:val="21"/>
              </w:rPr>
              <w:t>标段号</w:t>
            </w:r>
          </w:p>
        </w:tc>
        <w:tc>
          <w:tcPr>
            <w:tcW w:w="8186" w:type="dxa"/>
            <w:noWrap w:val="0"/>
            <w:vAlign w:val="center"/>
          </w:tcPr>
          <w:p>
            <w:pPr>
              <w:topLinePunct/>
              <w:spacing w:line="400" w:lineRule="exact"/>
              <w:jc w:val="center"/>
              <w:rPr>
                <w:rFonts w:eastAsia="黑体"/>
                <w:szCs w:val="21"/>
              </w:rPr>
            </w:pPr>
            <w:r>
              <w:rPr>
                <w:rFonts w:hint="eastAsia" w:eastAsia="黑体"/>
                <w:szCs w:val="21"/>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258" w:hRule="atLeast"/>
        </w:trPr>
        <w:tc>
          <w:tcPr>
            <w:tcW w:w="1101" w:type="dxa"/>
            <w:noWrap w:val="0"/>
            <w:vAlign w:val="center"/>
          </w:tcPr>
          <w:p>
            <w:pPr>
              <w:topLinePunct/>
              <w:spacing w:line="400" w:lineRule="exact"/>
              <w:jc w:val="center"/>
              <w:rPr>
                <w:szCs w:val="21"/>
              </w:rPr>
            </w:pPr>
            <w:r>
              <w:rPr>
                <w:szCs w:val="21"/>
              </w:rPr>
              <w:t>1</w:t>
            </w:r>
          </w:p>
        </w:tc>
        <w:tc>
          <w:tcPr>
            <w:tcW w:w="8186" w:type="dxa"/>
            <w:noWrap w:val="0"/>
            <w:vAlign w:val="center"/>
          </w:tcPr>
          <w:p>
            <w:pPr>
              <w:topLinePunct/>
              <w:spacing w:line="400" w:lineRule="exact"/>
              <w:ind w:firstLine="420" w:firstLineChars="200"/>
              <w:jc w:val="left"/>
              <w:rPr>
                <w:szCs w:val="21"/>
              </w:rPr>
            </w:pPr>
            <w:r>
              <w:rPr>
                <w:rFonts w:hint="eastAsia"/>
                <w:szCs w:val="21"/>
              </w:rPr>
              <w:t>1、投标人必须具有国内独立法人资格及有效的企业法人营业执照。</w:t>
            </w:r>
          </w:p>
          <w:p>
            <w:pPr>
              <w:topLinePunct/>
              <w:spacing w:line="400" w:lineRule="exact"/>
              <w:ind w:firstLine="420" w:firstLineChars="200"/>
              <w:jc w:val="left"/>
              <w:rPr>
                <w:b/>
                <w:bCs/>
                <w:szCs w:val="21"/>
              </w:rPr>
            </w:pPr>
            <w:r>
              <w:rPr>
                <w:rFonts w:hint="eastAsia"/>
                <w:szCs w:val="21"/>
              </w:rPr>
              <w:t>2、投标人须同时具备交通运输主管部门颁发的以下四种资质：</w:t>
            </w:r>
            <w:r>
              <w:rPr>
                <w:rFonts w:hint="eastAsia"/>
                <w:b/>
                <w:bCs/>
                <w:szCs w:val="21"/>
              </w:rPr>
              <w:t>路基路面养护甲级、桥梁养护甲级、隧道养护甲级及交通安全设施养护资质。</w:t>
            </w:r>
          </w:p>
          <w:p>
            <w:pPr>
              <w:topLinePunct/>
              <w:spacing w:line="400" w:lineRule="exact"/>
              <w:ind w:firstLine="420" w:firstLineChars="200"/>
              <w:jc w:val="left"/>
              <w:rPr>
                <w:szCs w:val="21"/>
              </w:rPr>
            </w:pPr>
            <w:r>
              <w:rPr>
                <w:rFonts w:hint="eastAsia"/>
                <w:szCs w:val="21"/>
              </w:rPr>
              <w:t>3、投标人必须具有建设行政主管部门颁发的有效安全生产许可证。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318" w:hRule="atLeast"/>
        </w:trPr>
        <w:tc>
          <w:tcPr>
            <w:tcW w:w="9287" w:type="dxa"/>
            <w:gridSpan w:val="2"/>
            <w:noWrap w:val="0"/>
            <w:vAlign w:val="center"/>
          </w:tcPr>
          <w:p>
            <w:pPr>
              <w:topLinePunct/>
              <w:spacing w:line="400" w:lineRule="exact"/>
              <w:ind w:firstLine="420" w:firstLineChars="200"/>
              <w:jc w:val="left"/>
              <w:rPr>
                <w:szCs w:val="21"/>
              </w:rPr>
            </w:pPr>
            <w:r>
              <w:rPr>
                <w:rFonts w:hint="eastAsia" w:eastAsia="黑体"/>
                <w:szCs w:val="21"/>
              </w:rPr>
              <w:t>注：</w:t>
            </w:r>
            <w:r>
              <w:rPr>
                <w:rFonts w:eastAsia="黑体"/>
                <w:szCs w:val="21"/>
              </w:rPr>
              <w:t>1</w:t>
            </w:r>
            <w:r>
              <w:rPr>
                <w:rFonts w:hint="eastAsia" w:eastAsia="黑体"/>
                <w:szCs w:val="21"/>
              </w:rPr>
              <w:t>、</w:t>
            </w:r>
            <w:r>
              <w:rPr>
                <w:rFonts w:ascii="宋体" w:hAnsi="宋体"/>
                <w:szCs w:val="21"/>
              </w:rPr>
              <w:t>“</w:t>
            </w:r>
            <w:r>
              <w:rPr>
                <w:rFonts w:hint="eastAsia" w:eastAsia="黑体"/>
                <w:szCs w:val="21"/>
              </w:rPr>
              <w:t>投标人基本情况表</w:t>
            </w:r>
            <w:r>
              <w:rPr>
                <w:rFonts w:ascii="宋体" w:hAnsi="宋体"/>
                <w:szCs w:val="21"/>
              </w:rPr>
              <w:t>”</w:t>
            </w:r>
            <w:r>
              <w:rPr>
                <w:rFonts w:hint="eastAsia" w:eastAsia="黑体"/>
                <w:szCs w:val="21"/>
              </w:rPr>
              <w:t>后应附企业法人营业执照副本、资质证书副本、安全生产许可证副本、基本账户开户信息的彩色影印件，以及投标人在国家企业信用信息公示系统中基础信息（体现股东及出资详细信息）的网页截图或由法定的社会验资机构出具的验资报告或注册地工商部门出具的股东出资情况证明彩色影印件，并逐页加盖投标人单位章。</w:t>
            </w:r>
          </w:p>
        </w:tc>
      </w:tr>
    </w:tbl>
    <w:p>
      <w:pPr>
        <w:pStyle w:val="3"/>
        <w:spacing w:before="240" w:after="240" w:line="240" w:lineRule="atLeast"/>
        <w:jc w:val="center"/>
      </w:pPr>
      <w:r>
        <w:rPr>
          <w:rFonts w:eastAsia="黑体"/>
          <w:sz w:val="28"/>
          <w:szCs w:val="28"/>
        </w:rPr>
        <w:br w:type="page"/>
      </w:r>
      <w:bookmarkStart w:id="4" w:name="_Toc234832866"/>
      <w:bookmarkStart w:id="5" w:name="_Toc2894490"/>
    </w:p>
    <w:p>
      <w:pPr>
        <w:pStyle w:val="3"/>
        <w:spacing w:before="240" w:after="240" w:line="240" w:lineRule="atLeast"/>
        <w:jc w:val="center"/>
        <w:rPr>
          <w:rFonts w:eastAsia="黑体"/>
          <w:sz w:val="28"/>
          <w:szCs w:val="28"/>
        </w:rPr>
      </w:pPr>
      <w:bookmarkStart w:id="6" w:name="_Toc23340"/>
      <w:bookmarkStart w:id="7" w:name="_Toc5058"/>
      <w:r>
        <w:rPr>
          <w:rFonts w:hint="eastAsia" w:eastAsia="黑体"/>
          <w:sz w:val="28"/>
          <w:szCs w:val="28"/>
        </w:rPr>
        <w:t>附录</w:t>
      </w:r>
      <w:r>
        <w:rPr>
          <w:rFonts w:eastAsia="黑体"/>
          <w:sz w:val="28"/>
          <w:szCs w:val="28"/>
        </w:rPr>
        <w:t xml:space="preserve">2  </w:t>
      </w:r>
      <w:r>
        <w:rPr>
          <w:rFonts w:hint="eastAsia" w:eastAsia="黑体"/>
          <w:sz w:val="28"/>
          <w:szCs w:val="28"/>
        </w:rPr>
        <w:t>资格审查条件（信誉最低要求）</w:t>
      </w:r>
      <w:bookmarkEnd w:id="4"/>
      <w:bookmarkEnd w:id="5"/>
      <w:bookmarkEnd w:id="6"/>
      <w:bookmarkEnd w:id="7"/>
    </w:p>
    <w:p>
      <w:pPr>
        <w:adjustRightInd w:val="0"/>
        <w:snapToGrid w:val="0"/>
        <w:spacing w:line="300" w:lineRule="exact"/>
        <w:rPr>
          <w:rFonts w:eastAsia="隶书"/>
          <w:sz w:val="32"/>
        </w:rPr>
      </w:pPr>
    </w:p>
    <w:tbl>
      <w:tblPr>
        <w:tblStyle w:val="9"/>
        <w:tblW w:w="928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37"/>
        <w:gridCol w:w="81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46" w:hRule="atLeast"/>
        </w:trPr>
        <w:tc>
          <w:tcPr>
            <w:tcW w:w="1137" w:type="dxa"/>
            <w:noWrap w:val="0"/>
            <w:vAlign w:val="center"/>
          </w:tcPr>
          <w:p>
            <w:pPr>
              <w:wordWrap w:val="0"/>
              <w:topLinePunct/>
              <w:spacing w:line="400" w:lineRule="exact"/>
              <w:jc w:val="center"/>
              <w:rPr>
                <w:rFonts w:eastAsia="黑体"/>
                <w:szCs w:val="21"/>
              </w:rPr>
            </w:pPr>
            <w:r>
              <w:rPr>
                <w:rFonts w:hint="eastAsia" w:eastAsia="黑体"/>
                <w:szCs w:val="21"/>
              </w:rPr>
              <w:t>标段号</w:t>
            </w:r>
          </w:p>
        </w:tc>
        <w:tc>
          <w:tcPr>
            <w:tcW w:w="8150" w:type="dxa"/>
            <w:noWrap w:val="0"/>
            <w:vAlign w:val="center"/>
          </w:tcPr>
          <w:p>
            <w:pPr>
              <w:wordWrap w:val="0"/>
              <w:topLinePunct/>
              <w:spacing w:line="400" w:lineRule="exact"/>
              <w:jc w:val="center"/>
              <w:rPr>
                <w:rFonts w:eastAsia="黑体"/>
                <w:szCs w:val="21"/>
              </w:rPr>
            </w:pPr>
            <w:r>
              <w:rPr>
                <w:rFonts w:hint="eastAsia" w:eastAsia="黑体"/>
                <w:szCs w:val="21"/>
              </w:rPr>
              <w:t>信誉要求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791" w:hRule="atLeast"/>
        </w:trPr>
        <w:tc>
          <w:tcPr>
            <w:tcW w:w="1137" w:type="dxa"/>
            <w:noWrap w:val="0"/>
            <w:vAlign w:val="center"/>
          </w:tcPr>
          <w:p>
            <w:pPr>
              <w:wordWrap w:val="0"/>
              <w:topLinePunct/>
              <w:spacing w:line="380" w:lineRule="exact"/>
              <w:jc w:val="center"/>
              <w:rPr>
                <w:szCs w:val="21"/>
              </w:rPr>
            </w:pPr>
            <w:r>
              <w:rPr>
                <w:szCs w:val="21"/>
              </w:rPr>
              <w:t>1</w:t>
            </w:r>
          </w:p>
        </w:tc>
        <w:tc>
          <w:tcPr>
            <w:tcW w:w="8150" w:type="dxa"/>
            <w:noWrap w:val="0"/>
            <w:vAlign w:val="center"/>
          </w:tcPr>
          <w:p>
            <w:pPr>
              <w:numPr>
                <w:ilvl w:val="0"/>
                <w:numId w:val="1"/>
              </w:numPr>
              <w:snapToGrid w:val="0"/>
              <w:spacing w:before="120" w:beforeLines="50" w:line="400" w:lineRule="exact"/>
              <w:ind w:firstLine="420" w:firstLineChars="200"/>
              <w:rPr>
                <w:szCs w:val="21"/>
              </w:rPr>
            </w:pPr>
            <w:r>
              <w:rPr>
                <w:rFonts w:hint="eastAsia"/>
                <w:szCs w:val="21"/>
              </w:rPr>
              <w:t>未被省级及以上交通运输主管部门取消招标项目所在地的投标资格且处于有效期内。</w:t>
            </w:r>
          </w:p>
          <w:p>
            <w:pPr>
              <w:numPr>
                <w:ilvl w:val="0"/>
                <w:numId w:val="1"/>
              </w:numPr>
              <w:snapToGrid w:val="0"/>
              <w:spacing w:before="120" w:beforeLines="50" w:line="400" w:lineRule="exact"/>
              <w:ind w:firstLine="420" w:firstLineChars="200"/>
              <w:rPr>
                <w:szCs w:val="21"/>
              </w:rPr>
            </w:pPr>
            <w:r>
              <w:rPr>
                <w:rFonts w:hint="eastAsia"/>
                <w:szCs w:val="21"/>
              </w:rPr>
              <w:t>未被责令停业，暂扣或吊销执照，或吊销资质证书。</w:t>
            </w:r>
          </w:p>
          <w:p>
            <w:pPr>
              <w:numPr>
                <w:ilvl w:val="0"/>
                <w:numId w:val="1"/>
              </w:numPr>
              <w:snapToGrid w:val="0"/>
              <w:spacing w:before="120" w:beforeLines="50" w:line="400" w:lineRule="exact"/>
              <w:ind w:firstLine="420" w:firstLineChars="200"/>
              <w:rPr>
                <w:szCs w:val="21"/>
              </w:rPr>
            </w:pPr>
            <w:r>
              <w:rPr>
                <w:rFonts w:hint="eastAsia"/>
                <w:szCs w:val="21"/>
              </w:rPr>
              <w:t>未进入清算程序，或被宣告破产，或其他丧失履约能力的情形。</w:t>
            </w:r>
          </w:p>
          <w:p>
            <w:pPr>
              <w:numPr>
                <w:ilvl w:val="0"/>
                <w:numId w:val="1"/>
              </w:numPr>
              <w:snapToGrid w:val="0"/>
              <w:spacing w:before="120" w:beforeLines="50" w:line="400" w:lineRule="exact"/>
              <w:ind w:firstLine="420" w:firstLineChars="200"/>
              <w:rPr>
                <w:szCs w:val="21"/>
              </w:rPr>
            </w:pPr>
            <w:r>
              <w:rPr>
                <w:rFonts w:hint="eastAsia"/>
                <w:szCs w:val="21"/>
              </w:rPr>
              <w:t>在国家企业信用信息公示系统（http://www.gsxt.gov.cn/）中未被列入严重违法失信企业名单；</w:t>
            </w:r>
          </w:p>
          <w:p>
            <w:pPr>
              <w:numPr>
                <w:ilvl w:val="0"/>
                <w:numId w:val="1"/>
              </w:numPr>
              <w:snapToGrid w:val="0"/>
              <w:spacing w:before="120" w:beforeLines="50" w:line="400" w:lineRule="exact"/>
              <w:ind w:firstLine="420" w:firstLineChars="200"/>
              <w:rPr>
                <w:szCs w:val="21"/>
              </w:rPr>
            </w:pPr>
            <w:r>
              <w:rPr>
                <w:rFonts w:hint="eastAsia"/>
                <w:szCs w:val="21"/>
              </w:rPr>
              <w:t>在“信用中国”网站（http://www.creditchina.gov.cn/）中未被列入失信被执行人名单；</w:t>
            </w:r>
          </w:p>
          <w:p>
            <w:pPr>
              <w:numPr>
                <w:ilvl w:val="0"/>
                <w:numId w:val="1"/>
              </w:numPr>
              <w:snapToGrid w:val="0"/>
              <w:spacing w:before="120" w:beforeLines="50" w:line="400" w:lineRule="exact"/>
              <w:ind w:firstLine="420" w:firstLineChars="200"/>
              <w:rPr>
                <w:szCs w:val="21"/>
              </w:rPr>
            </w:pPr>
            <w:r>
              <w:rPr>
                <w:rFonts w:hint="eastAsia"/>
                <w:szCs w:val="21"/>
              </w:rPr>
              <w:t>投标人或其法定代表人、拟委任的项目经理</w:t>
            </w:r>
            <w:r>
              <w:rPr>
                <w:rFonts w:hint="eastAsia"/>
                <w:szCs w:val="21"/>
                <w:lang w:eastAsia="zh-CN"/>
              </w:rPr>
              <w:t>、</w:t>
            </w:r>
            <w:r>
              <w:rPr>
                <w:rFonts w:hint="eastAsia"/>
                <w:szCs w:val="21"/>
                <w:lang w:val="en-US" w:eastAsia="zh-CN"/>
              </w:rPr>
              <w:t>项目总工</w:t>
            </w:r>
            <w:r>
              <w:rPr>
                <w:rFonts w:hint="eastAsia"/>
                <w:szCs w:val="21"/>
              </w:rPr>
              <w:t>在近三年（自2020年起）内有行贿犯罪行为的行贿犯罪行为的认定以中国裁判文书网查询的结果为准，投标人应自行提供承诺。</w:t>
            </w:r>
          </w:p>
          <w:p>
            <w:pPr>
              <w:numPr>
                <w:ilvl w:val="0"/>
                <w:numId w:val="1"/>
              </w:numPr>
              <w:snapToGrid w:val="0"/>
              <w:spacing w:before="120" w:beforeLines="50" w:line="400" w:lineRule="exact"/>
              <w:ind w:firstLine="420" w:firstLineChars="200"/>
              <w:rPr>
                <w:szCs w:val="21"/>
              </w:rPr>
            </w:pPr>
            <w:r>
              <w:rPr>
                <w:rFonts w:hint="eastAsia"/>
                <w:szCs w:val="21"/>
              </w:rPr>
              <w:t>投标人在</w:t>
            </w:r>
            <w:r>
              <w:t>20</w:t>
            </w:r>
            <w:r>
              <w:rPr>
                <w:rFonts w:hint="eastAsia"/>
              </w:rPr>
              <w:t>22年贵州省交通运输厅公路工程施工企业信用等级评价中未</w:t>
            </w:r>
            <w:r>
              <w:rPr>
                <w:rFonts w:hint="eastAsia"/>
                <w:szCs w:val="21"/>
              </w:rPr>
              <w:t>被评为</w:t>
            </w:r>
            <w:r>
              <w:rPr>
                <w:szCs w:val="21"/>
              </w:rPr>
              <w:t>D</w:t>
            </w:r>
            <w:r>
              <w:rPr>
                <w:rFonts w:hint="eastAsia"/>
                <w:szCs w:val="21"/>
              </w:rPr>
              <w:t>级。</w:t>
            </w:r>
          </w:p>
          <w:p>
            <w:pPr>
              <w:numPr>
                <w:ilvl w:val="0"/>
                <w:numId w:val="1"/>
              </w:numPr>
              <w:snapToGrid w:val="0"/>
              <w:spacing w:before="120" w:beforeLines="50" w:line="400" w:lineRule="exact"/>
              <w:ind w:firstLine="420" w:firstLineChars="200"/>
              <w:rPr>
                <w:szCs w:val="21"/>
              </w:rPr>
            </w:pPr>
            <w:r>
              <w:rPr>
                <w:rFonts w:hint="eastAsia"/>
                <w:szCs w:val="21"/>
              </w:rPr>
              <w:t>投标人未在近两年（指法院出具判决书的日期为2021年7月1日至投标文件递交截止日）涉及贵州省高速公路工程建设项目且与招标人相关的已判决案件中存在不正当经济行为。投标人应自行提供承诺。（注：工程建设项目以《中华人民共和国招标投标法实施条例》第二条定义为准。）</w:t>
            </w:r>
          </w:p>
          <w:p>
            <w:pPr>
              <w:snapToGrid w:val="0"/>
              <w:spacing w:before="120" w:beforeLines="50" w:line="400" w:lineRule="exact"/>
              <w:ind w:firstLine="420" w:firstLineChars="200"/>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674" w:hRule="atLeast"/>
        </w:trPr>
        <w:tc>
          <w:tcPr>
            <w:tcW w:w="9287" w:type="dxa"/>
            <w:gridSpan w:val="2"/>
            <w:noWrap w:val="0"/>
            <w:vAlign w:val="center"/>
          </w:tcPr>
          <w:p>
            <w:pPr>
              <w:wordWrap w:val="0"/>
              <w:topLinePunct/>
              <w:spacing w:line="400" w:lineRule="exact"/>
              <w:ind w:firstLine="420" w:firstLineChars="200"/>
              <w:jc w:val="left"/>
              <w:rPr>
                <w:szCs w:val="21"/>
              </w:rPr>
            </w:pPr>
            <w:r>
              <w:rPr>
                <w:rFonts w:hint="eastAsia" w:eastAsia="黑体"/>
                <w:szCs w:val="21"/>
              </w:rPr>
              <w:t>注：</w:t>
            </w:r>
            <w:r>
              <w:rPr>
                <w:rFonts w:ascii="宋体" w:hAnsi="宋体"/>
                <w:szCs w:val="21"/>
              </w:rPr>
              <w:t>“</w:t>
            </w:r>
            <w:r>
              <w:rPr>
                <w:rFonts w:hint="eastAsia" w:eastAsia="黑体"/>
                <w:szCs w:val="21"/>
              </w:rPr>
              <w:t>投标人的信誉情况</w:t>
            </w:r>
            <w:r>
              <w:rPr>
                <w:rFonts w:ascii="宋体" w:hAnsi="宋体"/>
                <w:szCs w:val="21"/>
              </w:rPr>
              <w:t>”</w:t>
            </w:r>
            <w:r>
              <w:rPr>
                <w:rFonts w:hint="eastAsia" w:eastAsia="黑体"/>
                <w:szCs w:val="21"/>
              </w:rPr>
              <w:t>后应附投标人在全国企业信用信息公示系统中未被列入严重违法失信企业名单、在</w:t>
            </w:r>
            <w:r>
              <w:rPr>
                <w:rFonts w:ascii="宋体" w:hAnsi="宋体"/>
                <w:szCs w:val="21"/>
              </w:rPr>
              <w:t>“</w:t>
            </w:r>
            <w:r>
              <w:rPr>
                <w:rFonts w:hint="eastAsia" w:eastAsia="黑体"/>
                <w:szCs w:val="21"/>
              </w:rPr>
              <w:t>信用中国</w:t>
            </w:r>
            <w:r>
              <w:rPr>
                <w:rFonts w:ascii="宋体" w:hAnsi="宋体"/>
                <w:szCs w:val="21"/>
              </w:rPr>
              <w:t>”</w:t>
            </w:r>
            <w:r>
              <w:rPr>
                <w:rFonts w:hint="eastAsia" w:eastAsia="黑体"/>
                <w:szCs w:val="21"/>
              </w:rPr>
              <w:t>网站中未被列入失信被执行人名单的网页截图彩色影印件，以及由投标人出具的近三年内（自2020年起）投标人及其法定代表人、拟委任的项目经理</w:t>
            </w:r>
            <w:r>
              <w:rPr>
                <w:rFonts w:hint="eastAsia" w:eastAsia="黑体"/>
                <w:szCs w:val="21"/>
                <w:lang w:eastAsia="zh-CN"/>
              </w:rPr>
              <w:t>、</w:t>
            </w:r>
            <w:r>
              <w:rPr>
                <w:rFonts w:hint="eastAsia" w:eastAsia="黑体"/>
                <w:szCs w:val="21"/>
                <w:lang w:val="en-US" w:eastAsia="zh-CN"/>
              </w:rPr>
              <w:t>项目总工</w:t>
            </w:r>
            <w:r>
              <w:rPr>
                <w:rFonts w:hint="eastAsia" w:eastAsia="黑体"/>
                <w:szCs w:val="21"/>
              </w:rPr>
              <w:t>均无行贿犯罪行为加盖公章的承诺和中国裁判文书网查询的结果彩色打印件。</w:t>
            </w:r>
          </w:p>
        </w:tc>
      </w:tr>
    </w:tbl>
    <w:p>
      <w:pPr>
        <w:adjustRightInd w:val="0"/>
        <w:snapToGrid w:val="0"/>
        <w:spacing w:line="300" w:lineRule="auto"/>
        <w:rPr>
          <w:bCs/>
        </w:rPr>
      </w:pPr>
    </w:p>
    <w:p>
      <w:pPr>
        <w:pStyle w:val="3"/>
        <w:spacing w:before="240" w:after="240" w:line="240" w:lineRule="atLeast"/>
        <w:jc w:val="center"/>
        <w:rPr>
          <w:rFonts w:eastAsia="黑体"/>
          <w:sz w:val="28"/>
          <w:szCs w:val="28"/>
        </w:rPr>
      </w:pPr>
      <w:r>
        <w:rPr>
          <w:rFonts w:eastAsia="黑体"/>
          <w:b w:val="0"/>
          <w:sz w:val="24"/>
        </w:rPr>
        <w:br w:type="page"/>
      </w:r>
      <w:bookmarkStart w:id="8" w:name="_Toc2894491"/>
      <w:bookmarkStart w:id="9" w:name="_Toc30215"/>
      <w:bookmarkStart w:id="10" w:name="_Toc234832867"/>
      <w:bookmarkStart w:id="11" w:name="_Toc8932"/>
      <w:r>
        <w:rPr>
          <w:rFonts w:hint="eastAsia" w:eastAsia="黑体"/>
          <w:sz w:val="28"/>
          <w:szCs w:val="28"/>
        </w:rPr>
        <w:t>附录</w:t>
      </w:r>
      <w:r>
        <w:rPr>
          <w:rFonts w:eastAsia="黑体"/>
          <w:sz w:val="28"/>
          <w:szCs w:val="28"/>
        </w:rPr>
        <w:t xml:space="preserve">3 </w:t>
      </w:r>
      <w:r>
        <w:rPr>
          <w:rFonts w:hint="eastAsia" w:eastAsia="黑体"/>
          <w:sz w:val="28"/>
          <w:szCs w:val="28"/>
        </w:rPr>
        <w:t>资格审查条件（主要人员最低要求）</w:t>
      </w:r>
      <w:bookmarkEnd w:id="8"/>
      <w:bookmarkEnd w:id="9"/>
      <w:bookmarkEnd w:id="10"/>
      <w:bookmarkEnd w:id="11"/>
    </w:p>
    <w:tbl>
      <w:tblPr>
        <w:tblStyle w:val="9"/>
        <w:tblW w:w="907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16"/>
        <w:gridCol w:w="745"/>
        <w:gridCol w:w="708"/>
        <w:gridCol w:w="68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85" w:hRule="atLeast"/>
          <w:tblHeader/>
          <w:jc w:val="center"/>
        </w:trPr>
        <w:tc>
          <w:tcPr>
            <w:tcW w:w="816" w:type="dxa"/>
            <w:noWrap w:val="0"/>
            <w:vAlign w:val="center"/>
          </w:tcPr>
          <w:p>
            <w:pPr>
              <w:snapToGrid w:val="0"/>
              <w:spacing w:line="340" w:lineRule="exact"/>
              <w:jc w:val="center"/>
              <w:rPr>
                <w:rFonts w:eastAsia="黑体"/>
                <w:spacing w:val="-10"/>
                <w:szCs w:val="21"/>
              </w:rPr>
            </w:pPr>
            <w:r>
              <w:rPr>
                <w:rFonts w:hint="eastAsia" w:eastAsia="黑体"/>
                <w:spacing w:val="-10"/>
                <w:szCs w:val="21"/>
              </w:rPr>
              <w:t>标段号</w:t>
            </w:r>
          </w:p>
        </w:tc>
        <w:tc>
          <w:tcPr>
            <w:tcW w:w="745" w:type="dxa"/>
            <w:noWrap w:val="0"/>
            <w:vAlign w:val="center"/>
          </w:tcPr>
          <w:p>
            <w:pPr>
              <w:snapToGrid w:val="0"/>
              <w:spacing w:line="340" w:lineRule="exact"/>
              <w:jc w:val="center"/>
              <w:rPr>
                <w:rFonts w:eastAsia="黑体"/>
                <w:szCs w:val="21"/>
              </w:rPr>
            </w:pPr>
            <w:r>
              <w:rPr>
                <w:rFonts w:hint="eastAsia" w:eastAsia="黑体"/>
                <w:szCs w:val="21"/>
              </w:rPr>
              <w:t>人员</w:t>
            </w:r>
          </w:p>
        </w:tc>
        <w:tc>
          <w:tcPr>
            <w:tcW w:w="708" w:type="dxa"/>
            <w:noWrap w:val="0"/>
            <w:vAlign w:val="center"/>
          </w:tcPr>
          <w:p>
            <w:pPr>
              <w:snapToGrid w:val="0"/>
              <w:spacing w:line="340" w:lineRule="exact"/>
              <w:jc w:val="center"/>
              <w:rPr>
                <w:rFonts w:eastAsia="黑体"/>
                <w:szCs w:val="21"/>
              </w:rPr>
            </w:pPr>
            <w:r>
              <w:rPr>
                <w:rFonts w:hint="eastAsia" w:eastAsia="黑体"/>
                <w:szCs w:val="21"/>
              </w:rPr>
              <w:t>数量</w:t>
            </w:r>
          </w:p>
        </w:tc>
        <w:tc>
          <w:tcPr>
            <w:tcW w:w="6803" w:type="dxa"/>
            <w:noWrap w:val="0"/>
            <w:vAlign w:val="center"/>
          </w:tcPr>
          <w:p>
            <w:pPr>
              <w:snapToGrid w:val="0"/>
              <w:spacing w:line="340" w:lineRule="exact"/>
              <w:jc w:val="center"/>
              <w:rPr>
                <w:rFonts w:eastAsia="黑体"/>
                <w:szCs w:val="21"/>
              </w:rPr>
            </w:pPr>
            <w:r>
              <w:rPr>
                <w:rFonts w:hint="eastAsia" w:eastAsia="黑体"/>
                <w:szCs w:val="21"/>
              </w:rPr>
              <w:t>主要人员要求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284" w:hRule="atLeast"/>
          <w:jc w:val="center"/>
        </w:trPr>
        <w:tc>
          <w:tcPr>
            <w:tcW w:w="816" w:type="dxa"/>
            <w:noWrap w:val="0"/>
            <w:vAlign w:val="center"/>
          </w:tcPr>
          <w:p>
            <w:pPr>
              <w:snapToGrid w:val="0"/>
              <w:spacing w:line="340" w:lineRule="exact"/>
              <w:jc w:val="center"/>
              <w:rPr>
                <w:rFonts w:eastAsia="黑体"/>
                <w:szCs w:val="21"/>
              </w:rPr>
            </w:pPr>
          </w:p>
        </w:tc>
        <w:tc>
          <w:tcPr>
            <w:tcW w:w="745" w:type="dxa"/>
            <w:noWrap w:val="0"/>
            <w:vAlign w:val="center"/>
          </w:tcPr>
          <w:p>
            <w:pPr>
              <w:snapToGrid w:val="0"/>
              <w:spacing w:line="340" w:lineRule="exact"/>
              <w:jc w:val="center"/>
              <w:rPr>
                <w:szCs w:val="21"/>
              </w:rPr>
            </w:pPr>
            <w:r>
              <w:rPr>
                <w:rFonts w:hint="eastAsia"/>
                <w:szCs w:val="21"/>
              </w:rPr>
              <w:t>项目经理</w:t>
            </w:r>
          </w:p>
        </w:tc>
        <w:tc>
          <w:tcPr>
            <w:tcW w:w="708" w:type="dxa"/>
            <w:noWrap w:val="0"/>
            <w:vAlign w:val="center"/>
          </w:tcPr>
          <w:p>
            <w:pPr>
              <w:spacing w:line="340" w:lineRule="exact"/>
              <w:jc w:val="center"/>
              <w:rPr>
                <w:szCs w:val="21"/>
              </w:rPr>
            </w:pPr>
            <w:r>
              <w:rPr>
                <w:szCs w:val="21"/>
              </w:rPr>
              <w:t>1</w:t>
            </w:r>
          </w:p>
        </w:tc>
        <w:tc>
          <w:tcPr>
            <w:tcW w:w="6803" w:type="dxa"/>
            <w:noWrap w:val="0"/>
            <w:vAlign w:val="center"/>
          </w:tcPr>
          <w:p>
            <w:pPr>
              <w:spacing w:line="340" w:lineRule="exact"/>
              <w:ind w:firstLine="420" w:firstLineChars="200"/>
              <w:jc w:val="left"/>
            </w:pPr>
            <w:r>
              <w:rPr>
                <w:rFonts w:hint="eastAsia"/>
              </w:rPr>
              <w:t>中级及以上技术职称，具有公路工程专业一级建造师证书且证书必须注册在投标人单位，具有交通运输行业主管部门颁发的安全生产考核合格“B”类证书，且证书在有效期内。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284" w:hRule="atLeast"/>
          <w:jc w:val="center"/>
        </w:trPr>
        <w:tc>
          <w:tcPr>
            <w:tcW w:w="816" w:type="dxa"/>
            <w:noWrap w:val="0"/>
            <w:vAlign w:val="center"/>
          </w:tcPr>
          <w:p>
            <w:pPr>
              <w:snapToGrid w:val="0"/>
              <w:spacing w:line="340" w:lineRule="exact"/>
              <w:jc w:val="center"/>
              <w:rPr>
                <w:rFonts w:eastAsia="黑体"/>
                <w:szCs w:val="21"/>
              </w:rPr>
            </w:pPr>
          </w:p>
        </w:tc>
        <w:tc>
          <w:tcPr>
            <w:tcW w:w="745" w:type="dxa"/>
            <w:noWrap w:val="0"/>
            <w:vAlign w:val="center"/>
          </w:tcPr>
          <w:p>
            <w:pPr>
              <w:snapToGrid w:val="0"/>
              <w:spacing w:line="340" w:lineRule="exact"/>
              <w:jc w:val="center"/>
              <w:rPr>
                <w:rFonts w:hint="eastAsia"/>
                <w:szCs w:val="21"/>
              </w:rPr>
            </w:pPr>
            <w:r>
              <w:rPr>
                <w:rFonts w:hint="eastAsia"/>
              </w:rPr>
              <w:t>项目总工</w:t>
            </w:r>
          </w:p>
        </w:tc>
        <w:tc>
          <w:tcPr>
            <w:tcW w:w="708" w:type="dxa"/>
            <w:noWrap w:val="0"/>
            <w:vAlign w:val="center"/>
          </w:tcPr>
          <w:p>
            <w:pPr>
              <w:spacing w:line="340" w:lineRule="exact"/>
              <w:jc w:val="center"/>
              <w:rPr>
                <w:rFonts w:hint="eastAsia" w:eastAsia="宋体"/>
                <w:szCs w:val="21"/>
                <w:lang w:val="en-US" w:eastAsia="zh-CN"/>
              </w:rPr>
            </w:pPr>
            <w:r>
              <w:rPr>
                <w:rFonts w:hint="eastAsia"/>
                <w:szCs w:val="21"/>
                <w:lang w:val="en-US" w:eastAsia="zh-CN"/>
              </w:rPr>
              <w:t>1</w:t>
            </w:r>
          </w:p>
        </w:tc>
        <w:tc>
          <w:tcPr>
            <w:tcW w:w="6803" w:type="dxa"/>
            <w:noWrap w:val="0"/>
            <w:vAlign w:val="center"/>
          </w:tcPr>
          <w:p>
            <w:pPr>
              <w:spacing w:line="340" w:lineRule="exact"/>
              <w:ind w:firstLine="420" w:firstLineChars="200"/>
              <w:jc w:val="left"/>
              <w:rPr>
                <w:rFonts w:hint="eastAsia"/>
              </w:rPr>
            </w:pPr>
            <w:r>
              <w:rPr>
                <w:rFonts w:hint="eastAsia"/>
              </w:rPr>
              <w:t>高级工程师或以上职称（公路工程相关专业），持有有效的交通主管部门颁发的安全生产考核合格证书（B类证书）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3" w:hRule="atLeast"/>
          <w:jc w:val="center"/>
        </w:trPr>
        <w:tc>
          <w:tcPr>
            <w:tcW w:w="9072" w:type="dxa"/>
            <w:gridSpan w:val="4"/>
            <w:noWrap w:val="0"/>
            <w:vAlign w:val="center"/>
          </w:tcPr>
          <w:p>
            <w:pPr>
              <w:topLinePunct/>
              <w:spacing w:line="340" w:lineRule="exact"/>
              <w:ind w:firstLine="420" w:firstLineChars="200"/>
              <w:jc w:val="left"/>
              <w:rPr>
                <w:rFonts w:eastAsia="黑体"/>
                <w:szCs w:val="21"/>
              </w:rPr>
            </w:pPr>
            <w:r>
              <w:rPr>
                <w:rFonts w:hint="eastAsia" w:eastAsia="黑体"/>
              </w:rPr>
              <w:t>注：</w:t>
            </w:r>
            <w:r>
              <w:rPr>
                <w:rFonts w:eastAsia="黑体"/>
                <w:szCs w:val="21"/>
              </w:rPr>
              <w:t>1</w:t>
            </w:r>
            <w:r>
              <w:rPr>
                <w:rFonts w:hint="eastAsia" w:eastAsia="黑体"/>
                <w:szCs w:val="21"/>
              </w:rPr>
              <w:t>、</w:t>
            </w:r>
            <w:r>
              <w:rPr>
                <w:rFonts w:ascii="宋体" w:hAnsi="宋体"/>
                <w:szCs w:val="21"/>
              </w:rPr>
              <w:t>“</w:t>
            </w:r>
            <w:r>
              <w:rPr>
                <w:rFonts w:hint="eastAsia" w:eastAsia="黑体"/>
                <w:szCs w:val="21"/>
              </w:rPr>
              <w:t>拟委任主要人员资历表</w:t>
            </w:r>
            <w:r>
              <w:rPr>
                <w:rFonts w:ascii="宋体" w:hAnsi="宋体"/>
                <w:szCs w:val="21"/>
              </w:rPr>
              <w:t>”</w:t>
            </w:r>
            <w:r>
              <w:rPr>
                <w:rFonts w:hint="eastAsia" w:eastAsia="黑体"/>
                <w:szCs w:val="21"/>
              </w:rPr>
              <w:t>应附主要人员的身份证、职称资格证书以及资格审查条件所要求的其他相关证书（如建造师注册证书、安全生产考核合格证书等）的彩色影印件，建造师注册证书、安全生产考核合格证书在政府相关部门网站上公开信息的网页截图彩色影印件，以及投标人所属社保机构出具的拟委任的主要人员的社保缴费证明或其他能够证明拟委任的主要人员参加社保（2023 年任意三个月）的有效证明材料彩色影印件。</w:t>
            </w:r>
          </w:p>
          <w:p>
            <w:pPr>
              <w:topLinePunct/>
              <w:spacing w:line="340" w:lineRule="exact"/>
              <w:ind w:firstLine="420" w:firstLineChars="200"/>
              <w:jc w:val="left"/>
              <w:rPr>
                <w:rFonts w:eastAsia="黑体"/>
                <w:szCs w:val="21"/>
              </w:rPr>
            </w:pPr>
            <w:r>
              <w:rPr>
                <w:rFonts w:eastAsia="黑体"/>
                <w:szCs w:val="21"/>
              </w:rPr>
              <w:t>2</w:t>
            </w:r>
            <w:r>
              <w:rPr>
                <w:rFonts w:hint="eastAsia" w:eastAsia="黑体"/>
                <w:szCs w:val="21"/>
              </w:rPr>
              <w:t>、如投标人是列入</w:t>
            </w:r>
            <w:r>
              <w:rPr>
                <w:rFonts w:ascii="宋体" w:hAnsi="宋体"/>
                <w:szCs w:val="21"/>
              </w:rPr>
              <w:t>“</w:t>
            </w:r>
            <w:r>
              <w:rPr>
                <w:rFonts w:hint="eastAsia" w:eastAsia="黑体"/>
                <w:szCs w:val="21"/>
              </w:rPr>
              <w:t>全国公路建设市场信用信息管理系统</w:t>
            </w:r>
            <w:r>
              <w:rPr>
                <w:rFonts w:ascii="宋体" w:hAnsi="宋体"/>
                <w:szCs w:val="21"/>
              </w:rPr>
              <w:t>”</w:t>
            </w:r>
            <w:r>
              <w:rPr>
                <w:rFonts w:hint="eastAsia" w:eastAsia="黑体"/>
                <w:szCs w:val="21"/>
              </w:rPr>
              <w:t>（</w:t>
            </w:r>
            <w:r>
              <w:rPr>
                <w:rFonts w:eastAsia="黑体"/>
                <w:szCs w:val="21"/>
              </w:rPr>
              <w:t>http://glxy.mot.gov.cn</w:t>
            </w:r>
            <w:r>
              <w:rPr>
                <w:rFonts w:hint="eastAsia" w:eastAsia="黑体"/>
                <w:szCs w:val="21"/>
              </w:rPr>
              <w:t>）中的从业单位，则投标人填报的主要人员个人业绩应是已列入交通运输部或省级交通运输主管部门主办的</w:t>
            </w:r>
            <w:r>
              <w:rPr>
                <w:rFonts w:ascii="宋体" w:hAnsi="宋体"/>
                <w:szCs w:val="21"/>
              </w:rPr>
              <w:t>“</w:t>
            </w:r>
            <w:r>
              <w:rPr>
                <w:rFonts w:hint="eastAsia" w:eastAsia="黑体"/>
                <w:szCs w:val="21"/>
              </w:rPr>
              <w:t>公路建设市场信用信息管理系统</w:t>
            </w:r>
            <w:r>
              <w:rPr>
                <w:rFonts w:ascii="宋体" w:hAnsi="宋体"/>
                <w:szCs w:val="21"/>
              </w:rPr>
              <w:t>”</w:t>
            </w:r>
            <w:r>
              <w:rPr>
                <w:rFonts w:hint="eastAsia" w:eastAsia="黑体"/>
                <w:szCs w:val="21"/>
              </w:rPr>
              <w:t>并公开的业绩。</w:t>
            </w:r>
            <w:r>
              <w:rPr>
                <w:rFonts w:ascii="宋体" w:hAnsi="宋体"/>
                <w:szCs w:val="21"/>
              </w:rPr>
              <w:t>“</w:t>
            </w:r>
            <w:r>
              <w:rPr>
                <w:rFonts w:hint="eastAsia" w:eastAsia="黑体"/>
                <w:szCs w:val="21"/>
              </w:rPr>
              <w:t>拟委任主要人员资历表</w:t>
            </w:r>
            <w:r>
              <w:rPr>
                <w:rFonts w:ascii="宋体" w:hAnsi="宋体"/>
                <w:szCs w:val="21"/>
              </w:rPr>
              <w:t>”</w:t>
            </w:r>
            <w:r>
              <w:rPr>
                <w:rFonts w:hint="eastAsia" w:eastAsia="黑体"/>
                <w:szCs w:val="21"/>
              </w:rPr>
              <w:t>应附</w:t>
            </w:r>
            <w:r>
              <w:rPr>
                <w:rFonts w:ascii="宋体" w:hAnsi="宋体"/>
                <w:szCs w:val="21"/>
              </w:rPr>
              <w:t>“</w:t>
            </w:r>
            <w:r>
              <w:rPr>
                <w:rFonts w:hint="eastAsia" w:eastAsia="黑体"/>
                <w:szCs w:val="21"/>
              </w:rPr>
              <w:t>公路建设市场信用信息管理系统</w:t>
            </w:r>
            <w:r>
              <w:rPr>
                <w:rFonts w:ascii="宋体" w:hAnsi="宋体"/>
                <w:szCs w:val="21"/>
              </w:rPr>
              <w:t>”</w:t>
            </w:r>
            <w:r>
              <w:rPr>
                <w:rFonts w:hint="eastAsia" w:eastAsia="黑体"/>
                <w:szCs w:val="21"/>
              </w:rPr>
              <w:t>中查询到的相关项目网页截图彩色影印件，即包括主要人员个人业绩的考核指标（姓名、职务、任职时段、公路等级、项目类型、合同金额、合同内容、合同规模等）在内的项目详细信息网页截图彩色影印件作为个人业绩证明材料。</w:t>
            </w:r>
          </w:p>
          <w:p>
            <w:pPr>
              <w:topLinePunct/>
              <w:spacing w:line="340" w:lineRule="exact"/>
              <w:ind w:firstLine="420" w:firstLineChars="200"/>
              <w:jc w:val="left"/>
              <w:rPr>
                <w:rFonts w:eastAsia="黑体"/>
                <w:szCs w:val="21"/>
              </w:rPr>
            </w:pPr>
            <w:r>
              <w:rPr>
                <w:rFonts w:hint="eastAsia" w:eastAsia="黑体"/>
                <w:szCs w:val="21"/>
              </w:rPr>
              <w:t>如上述网页截图彩色影印件未体现个人业绩考核指标，则可提供：中标通知书（若有）、合同协议书或工程接收证明（工程竣（交）工验收证明材料））或省级交通运输主管部门出具的证明材料或委托人出具的证明或由质量监督部门出具的公路工程质量鉴定书（或质量鉴定报告等资料）复印件或扫描件）彩色影印件作为个人业绩补充证明材料。</w:t>
            </w:r>
          </w:p>
          <w:p>
            <w:pPr>
              <w:topLinePunct/>
              <w:spacing w:line="340" w:lineRule="exact"/>
              <w:ind w:firstLine="420" w:firstLineChars="200"/>
              <w:jc w:val="left"/>
              <w:rPr>
                <w:rFonts w:eastAsia="黑体"/>
                <w:szCs w:val="21"/>
              </w:rPr>
            </w:pPr>
            <w:r>
              <w:rPr>
                <w:rFonts w:hint="eastAsia" w:eastAsia="黑体"/>
                <w:szCs w:val="21"/>
              </w:rPr>
              <w:t>如投标人未按要求提供个人业绩证明材料或个人业绩证明材料中的信息无法证实投标人满足招标文件规定的资格审查条件（主要人员最低要求），则该项目业绩不予认定。</w:t>
            </w:r>
          </w:p>
          <w:p>
            <w:pPr>
              <w:numPr>
                <w:ilvl w:val="0"/>
                <w:numId w:val="2"/>
              </w:numPr>
              <w:topLinePunct/>
              <w:spacing w:line="340" w:lineRule="exact"/>
              <w:ind w:firstLine="420" w:firstLineChars="200"/>
              <w:jc w:val="left"/>
              <w:rPr>
                <w:rFonts w:eastAsia="黑体"/>
                <w:szCs w:val="21"/>
              </w:rPr>
            </w:pPr>
            <w:r>
              <w:rPr>
                <w:rFonts w:hint="eastAsia" w:eastAsia="黑体"/>
                <w:szCs w:val="21"/>
              </w:rPr>
              <w:t>如投标人未列入</w:t>
            </w:r>
            <w:r>
              <w:rPr>
                <w:rFonts w:ascii="宋体" w:hAnsi="宋体"/>
                <w:szCs w:val="21"/>
              </w:rPr>
              <w:t>“</w:t>
            </w:r>
            <w:r>
              <w:rPr>
                <w:rFonts w:hint="eastAsia" w:eastAsia="黑体"/>
                <w:szCs w:val="21"/>
              </w:rPr>
              <w:t>全国公路建设市场信用信息管理系统</w:t>
            </w:r>
            <w:r>
              <w:rPr>
                <w:rFonts w:ascii="宋体" w:hAnsi="宋体"/>
                <w:szCs w:val="21"/>
              </w:rPr>
              <w:t>”</w:t>
            </w:r>
            <w:r>
              <w:rPr>
                <w:rFonts w:hint="eastAsia" w:eastAsia="黑体"/>
                <w:szCs w:val="21"/>
              </w:rPr>
              <w:t>，则主要人员个人业绩及其考核指标以个人业绩证明材料（个人业绩证明材料是指：中标通知书、或合同协议书、或验收证书、或发包人</w:t>
            </w:r>
            <w:r>
              <w:rPr>
                <w:rFonts w:eastAsia="黑体"/>
                <w:szCs w:val="21"/>
              </w:rPr>
              <w:t>&lt;</w:t>
            </w:r>
            <w:r>
              <w:rPr>
                <w:rFonts w:hint="eastAsia" w:eastAsia="黑体"/>
                <w:szCs w:val="21"/>
              </w:rPr>
              <w:t>或项目业主、或项目所在地交通运输主管部门</w:t>
            </w:r>
            <w:r>
              <w:rPr>
                <w:rFonts w:eastAsia="黑体"/>
                <w:szCs w:val="21"/>
              </w:rPr>
              <w:t>&gt;</w:t>
            </w:r>
            <w:r>
              <w:rPr>
                <w:rFonts w:hint="eastAsia" w:eastAsia="黑体"/>
                <w:szCs w:val="21"/>
              </w:rPr>
              <w:t>开具的加盖公章的履约证明）中载明的信息为准。</w:t>
            </w:r>
            <w:r>
              <w:rPr>
                <w:rFonts w:ascii="宋体" w:hAnsi="宋体"/>
                <w:szCs w:val="21"/>
              </w:rPr>
              <w:t>“</w:t>
            </w:r>
            <w:r>
              <w:rPr>
                <w:rFonts w:hint="eastAsia" w:eastAsia="黑体"/>
                <w:szCs w:val="21"/>
              </w:rPr>
              <w:t>拟委任主要人员资历表</w:t>
            </w:r>
            <w:r>
              <w:rPr>
                <w:rFonts w:ascii="宋体" w:hAnsi="宋体"/>
                <w:szCs w:val="21"/>
              </w:rPr>
              <w:t>”</w:t>
            </w:r>
            <w:r>
              <w:rPr>
                <w:rFonts w:hint="eastAsia" w:eastAsia="黑体"/>
                <w:szCs w:val="21"/>
              </w:rPr>
              <w:t>后应附个人业绩证明材料的彩色影印件。</w:t>
            </w:r>
          </w:p>
          <w:p>
            <w:pPr>
              <w:topLinePunct/>
              <w:spacing w:line="340" w:lineRule="exact"/>
              <w:ind w:firstLine="630" w:firstLineChars="300"/>
              <w:jc w:val="left"/>
              <w:rPr>
                <w:rFonts w:eastAsia="黑体"/>
                <w:szCs w:val="21"/>
              </w:rPr>
            </w:pPr>
            <w:r>
              <w:rPr>
                <w:rFonts w:hint="eastAsia" w:eastAsia="黑体"/>
                <w:szCs w:val="21"/>
              </w:rPr>
              <w:t>如投标人未按要求提供个人业绩证明材料或个人业绩证明材料中的信息无法证实投标人满足招标文件规定的资格审查条件（主要人员最低要求），则该项目业绩不予认定。</w:t>
            </w:r>
          </w:p>
          <w:p>
            <w:pPr>
              <w:adjustRightInd w:val="0"/>
              <w:snapToGrid w:val="0"/>
              <w:spacing w:line="340" w:lineRule="exact"/>
              <w:ind w:firstLine="420" w:firstLineChars="200"/>
              <w:rPr>
                <w:rFonts w:eastAsia="黑体"/>
                <w:b/>
              </w:rPr>
            </w:pPr>
            <w:r>
              <w:rPr>
                <w:rFonts w:eastAsia="黑体"/>
                <w:szCs w:val="21"/>
              </w:rPr>
              <w:t>4</w:t>
            </w:r>
            <w:r>
              <w:rPr>
                <w:rFonts w:hint="eastAsia" w:eastAsia="黑体"/>
                <w:szCs w:val="21"/>
              </w:rPr>
              <w:t>、主要人员应无在岗项目（指目前未在其他项目上任职，或虽在其他项目上任职但本项目中标后能够从该项目撤离）。如主要人员目前仍在其他项目上任职，则投标人应提供由该项目发包人出具的、承诺上述人员能够从该项目撤离的书面证明材料原件，证明材料原件应加盖出具者公章并装订在投标文件正本之中。</w:t>
            </w:r>
          </w:p>
        </w:tc>
      </w:tr>
    </w:tbl>
    <w:p>
      <w:r>
        <w:br w:type="page"/>
      </w:r>
    </w:p>
    <w:p>
      <w:pPr>
        <w:pStyle w:val="3"/>
        <w:widowControl/>
        <w:spacing w:before="480" w:after="240" w:line="380" w:lineRule="atLeast"/>
        <w:jc w:val="center"/>
        <w:rPr>
          <w:rFonts w:ascii="黑体" w:eastAsia="黑体" w:cs="黑体"/>
          <w:b w:val="0"/>
        </w:rPr>
      </w:pPr>
      <w:bookmarkStart w:id="12" w:name="_Toc501257140"/>
      <w:bookmarkStart w:id="13" w:name="_Toc16288"/>
      <w:bookmarkStart w:id="14" w:name="_Toc6760"/>
      <w:bookmarkStart w:id="15" w:name="_Toc513427202"/>
      <w:bookmarkStart w:id="16" w:name="_Toc2150948"/>
      <w:bookmarkStart w:id="17" w:name="_Toc2894559"/>
      <w:bookmarkStart w:id="18" w:name="_Toc234832943"/>
      <w:bookmarkStart w:id="19" w:name="_Toc510950820"/>
      <w:r>
        <w:rPr>
          <w:rFonts w:hint="eastAsia" w:ascii="黑体" w:eastAsia="黑体" w:cs="黑体"/>
          <w:b w:val="0"/>
        </w:rPr>
        <w:t>第三章  评标办法（技术评分最低标价法）</w:t>
      </w:r>
      <w:bookmarkEnd w:id="12"/>
      <w:bookmarkEnd w:id="13"/>
      <w:bookmarkEnd w:id="14"/>
    </w:p>
    <w:p>
      <w:pPr>
        <w:pStyle w:val="3"/>
        <w:spacing w:before="0" w:after="0" w:line="240" w:lineRule="auto"/>
      </w:pPr>
      <w:bookmarkStart w:id="20" w:name="_Toc2958"/>
      <w:bookmarkStart w:id="21" w:name="_Toc15756"/>
      <w:r>
        <w:rPr>
          <w:rFonts w:hint="eastAsia" w:eastAsia="黑体"/>
          <w:b w:val="0"/>
          <w:sz w:val="24"/>
          <w:szCs w:val="24"/>
        </w:rPr>
        <w:t>评标办法前附表</w:t>
      </w:r>
      <w:bookmarkEnd w:id="15"/>
      <w:r>
        <w:rPr>
          <w:rStyle w:val="11"/>
          <w:rFonts w:eastAsia="黑体"/>
          <w:sz w:val="28"/>
          <w:szCs w:val="28"/>
        </w:rPr>
        <w:footnoteReference w:id="0"/>
      </w:r>
      <w:bookmarkEnd w:id="16"/>
      <w:bookmarkEnd w:id="17"/>
      <w:bookmarkEnd w:id="20"/>
      <w:bookmarkEnd w:id="21"/>
    </w:p>
    <w:tbl>
      <w:tblPr>
        <w:tblStyle w:val="9"/>
        <w:tblW w:w="928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7"/>
        <w:gridCol w:w="871"/>
        <w:gridCol w:w="761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blHeader/>
        </w:trPr>
        <w:tc>
          <w:tcPr>
            <w:tcW w:w="1668" w:type="dxa"/>
            <w:gridSpan w:val="2"/>
            <w:noWrap w:val="0"/>
            <w:vAlign w:val="center"/>
          </w:tcPr>
          <w:p>
            <w:pPr>
              <w:wordWrap w:val="0"/>
              <w:spacing w:line="400" w:lineRule="atLeast"/>
              <w:jc w:val="center"/>
              <w:rPr>
                <w:rFonts w:eastAsia="黑体"/>
                <w:szCs w:val="21"/>
              </w:rPr>
            </w:pPr>
            <w:r>
              <w:rPr>
                <w:rFonts w:hint="eastAsia" w:eastAsia="黑体"/>
                <w:szCs w:val="21"/>
              </w:rPr>
              <w:t>条款号</w:t>
            </w:r>
          </w:p>
        </w:tc>
        <w:tc>
          <w:tcPr>
            <w:tcW w:w="7618" w:type="dxa"/>
            <w:noWrap w:val="0"/>
            <w:vAlign w:val="center"/>
          </w:tcPr>
          <w:p>
            <w:pPr>
              <w:wordWrap w:val="0"/>
              <w:spacing w:line="400" w:lineRule="atLeast"/>
              <w:jc w:val="center"/>
              <w:rPr>
                <w:rFonts w:eastAsia="黑体"/>
                <w:szCs w:val="21"/>
              </w:rPr>
            </w:pPr>
            <w:r>
              <w:rPr>
                <w:rFonts w:hint="eastAsia" w:eastAsia="黑体"/>
                <w:szCs w:val="21"/>
              </w:rPr>
              <w:t>评审因素与标准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797" w:type="dxa"/>
            <w:noWrap w:val="0"/>
            <w:vAlign w:val="center"/>
          </w:tcPr>
          <w:p>
            <w:pPr>
              <w:spacing w:line="400" w:lineRule="atLeast"/>
              <w:jc w:val="center"/>
              <w:rPr>
                <w:szCs w:val="21"/>
              </w:rPr>
            </w:pPr>
            <w:r>
              <w:rPr>
                <w:szCs w:val="21"/>
                <w:lang w:bidi="ar"/>
              </w:rPr>
              <w:t>1</w:t>
            </w:r>
          </w:p>
        </w:tc>
        <w:tc>
          <w:tcPr>
            <w:tcW w:w="871" w:type="dxa"/>
            <w:noWrap w:val="0"/>
            <w:vAlign w:val="center"/>
          </w:tcPr>
          <w:p>
            <w:pPr>
              <w:spacing w:line="400" w:lineRule="atLeast"/>
              <w:jc w:val="center"/>
              <w:rPr>
                <w:rFonts w:eastAsia="黑体"/>
                <w:szCs w:val="21"/>
              </w:rPr>
            </w:pPr>
            <w:r>
              <w:rPr>
                <w:rFonts w:hint="eastAsia" w:cs="宋体"/>
                <w:szCs w:val="21"/>
                <w:lang w:bidi="ar"/>
              </w:rPr>
              <w:t>评标方法</w:t>
            </w:r>
          </w:p>
        </w:tc>
        <w:tc>
          <w:tcPr>
            <w:tcW w:w="7618" w:type="dxa"/>
            <w:noWrap w:val="0"/>
            <w:vAlign w:val="center"/>
          </w:tcPr>
          <w:p>
            <w:pPr>
              <w:spacing w:line="360" w:lineRule="atLeast"/>
              <w:ind w:firstLine="420" w:firstLineChars="200"/>
            </w:pPr>
            <w:r>
              <w:rPr>
                <w:rFonts w:hint="eastAsia"/>
              </w:rPr>
              <w:t>评标价相等时，评标委员会依次按照以下优先顺序推荐中标候选人或确定中标人：</w:t>
            </w:r>
          </w:p>
          <w:p>
            <w:pPr>
              <w:spacing w:line="360" w:lineRule="atLeast"/>
              <w:ind w:firstLine="420" w:firstLineChars="200"/>
            </w:pPr>
            <w:r>
              <w:rPr>
                <w:rFonts w:hint="eastAsia"/>
              </w:rPr>
              <w:t>（</w:t>
            </w:r>
            <w:r>
              <w:t>1</w:t>
            </w:r>
            <w:r>
              <w:rPr>
                <w:rFonts w:hint="eastAsia"/>
              </w:rPr>
              <w:t>）投标报价低的投标人优先；</w:t>
            </w:r>
          </w:p>
          <w:p>
            <w:pPr>
              <w:spacing w:line="360" w:lineRule="atLeast"/>
              <w:ind w:firstLine="420" w:firstLineChars="200"/>
            </w:pPr>
            <w:r>
              <w:rPr>
                <w:rFonts w:hint="eastAsia"/>
              </w:rPr>
              <w:t>（</w:t>
            </w:r>
            <w:r>
              <w:t>2</w:t>
            </w:r>
            <w:r>
              <w:rPr>
                <w:rFonts w:hint="eastAsia"/>
              </w:rPr>
              <w:t>）被招标项目所在地省级交通运输主管部门评为较高信用等级的投标人优先；</w:t>
            </w:r>
          </w:p>
          <w:p>
            <w:pPr>
              <w:spacing w:line="360" w:lineRule="atLeast"/>
              <w:ind w:firstLine="420" w:firstLineChars="200"/>
            </w:pPr>
            <w:r>
              <w:rPr>
                <w:rFonts w:hint="eastAsia"/>
              </w:rPr>
              <w:t>（</w:t>
            </w:r>
            <w:r>
              <w:t>3</w:t>
            </w:r>
            <w:r>
              <w:rPr>
                <w:rFonts w:hint="eastAsia"/>
              </w:rPr>
              <w:t>）商务和技术得分较高的投标人优先；</w:t>
            </w:r>
          </w:p>
          <w:p>
            <w:pPr>
              <w:spacing w:line="360" w:lineRule="atLeast"/>
              <w:ind w:firstLine="420" w:firstLineChars="200"/>
              <w:rPr>
                <w:rFonts w:hint="eastAsia"/>
              </w:rPr>
            </w:pPr>
            <w:r>
              <w:rPr>
                <w:rFonts w:hint="eastAsia"/>
              </w:rPr>
              <w:t>（</w:t>
            </w:r>
            <w:r>
              <w:t>4</w:t>
            </w:r>
            <w:r>
              <w:rPr>
                <w:rFonts w:hint="eastAsia"/>
              </w:rPr>
              <w:t>）系统获取投标文件时间较早的。</w:t>
            </w:r>
          </w:p>
          <w:p>
            <w:pPr>
              <w:pStyle w:val="4"/>
              <w:ind w:firstLine="542"/>
            </w:pPr>
            <w:r>
              <w:rPr>
                <w:rFonts w:hint="eastAsia"/>
                <w:b/>
                <w:bCs/>
              </w:rPr>
              <w:t>若投标人在两个标段最终排名均为第一，则优先推荐其最高投标限价较高的标段，并取消另外一个标段中标候选人资格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797" w:type="dxa"/>
            <w:noWrap w:val="0"/>
            <w:vAlign w:val="center"/>
          </w:tcPr>
          <w:p>
            <w:pPr>
              <w:wordWrap w:val="0"/>
              <w:spacing w:line="400" w:lineRule="atLeast"/>
              <w:jc w:val="center"/>
              <w:rPr>
                <w:szCs w:val="21"/>
              </w:rPr>
            </w:pPr>
            <w:r>
              <w:rPr>
                <w:szCs w:val="21"/>
              </w:rPr>
              <w:t>2.1.1</w:t>
            </w:r>
          </w:p>
          <w:p>
            <w:pPr>
              <w:wordWrap w:val="0"/>
              <w:spacing w:line="400" w:lineRule="atLeast"/>
              <w:jc w:val="center"/>
              <w:rPr>
                <w:szCs w:val="21"/>
              </w:rPr>
            </w:pPr>
            <w:r>
              <w:rPr>
                <w:szCs w:val="21"/>
              </w:rPr>
              <w:t>2.1.3</w:t>
            </w:r>
          </w:p>
        </w:tc>
        <w:tc>
          <w:tcPr>
            <w:tcW w:w="871" w:type="dxa"/>
            <w:noWrap w:val="0"/>
            <w:vAlign w:val="center"/>
          </w:tcPr>
          <w:p>
            <w:pPr>
              <w:wordWrap w:val="0"/>
              <w:snapToGrid w:val="0"/>
              <w:spacing w:line="400" w:lineRule="exact"/>
              <w:ind w:left="55" w:leftChars="26" w:right="118" w:rightChars="56"/>
              <w:jc w:val="center"/>
              <w:rPr>
                <w:rFonts w:eastAsia="黑体"/>
                <w:szCs w:val="21"/>
              </w:rPr>
            </w:pPr>
            <w:r>
              <w:rPr>
                <w:rFonts w:hint="eastAsia" w:eastAsia="黑体"/>
                <w:szCs w:val="21"/>
              </w:rPr>
              <w:t>形式</w:t>
            </w:r>
          </w:p>
          <w:p>
            <w:pPr>
              <w:wordWrap w:val="0"/>
              <w:snapToGrid w:val="0"/>
              <w:spacing w:line="400" w:lineRule="exact"/>
              <w:ind w:left="55" w:leftChars="26" w:right="118" w:rightChars="56"/>
              <w:jc w:val="center"/>
              <w:rPr>
                <w:rFonts w:eastAsia="黑体"/>
                <w:szCs w:val="21"/>
              </w:rPr>
            </w:pPr>
            <w:r>
              <w:rPr>
                <w:rFonts w:hint="eastAsia" w:eastAsia="黑体"/>
                <w:szCs w:val="21"/>
              </w:rPr>
              <w:t>评审</w:t>
            </w:r>
          </w:p>
          <w:p>
            <w:pPr>
              <w:wordWrap w:val="0"/>
              <w:snapToGrid w:val="0"/>
              <w:spacing w:line="400" w:lineRule="exact"/>
              <w:ind w:left="55" w:leftChars="26" w:right="118" w:rightChars="56"/>
              <w:jc w:val="center"/>
              <w:rPr>
                <w:rFonts w:eastAsia="黑体"/>
                <w:szCs w:val="21"/>
              </w:rPr>
            </w:pPr>
            <w:r>
              <w:rPr>
                <w:rFonts w:hint="eastAsia" w:eastAsia="黑体"/>
                <w:szCs w:val="21"/>
              </w:rPr>
              <w:t>与响</w:t>
            </w:r>
          </w:p>
          <w:p>
            <w:pPr>
              <w:wordWrap w:val="0"/>
              <w:snapToGrid w:val="0"/>
              <w:spacing w:line="400" w:lineRule="exact"/>
              <w:ind w:left="55" w:leftChars="26" w:right="118" w:rightChars="56"/>
              <w:jc w:val="center"/>
              <w:rPr>
                <w:rFonts w:eastAsia="黑体"/>
                <w:szCs w:val="21"/>
              </w:rPr>
            </w:pPr>
            <w:r>
              <w:rPr>
                <w:rFonts w:hint="eastAsia" w:eastAsia="黑体"/>
                <w:szCs w:val="21"/>
              </w:rPr>
              <w:t>应性</w:t>
            </w:r>
          </w:p>
          <w:p>
            <w:pPr>
              <w:wordWrap w:val="0"/>
              <w:snapToGrid w:val="0"/>
              <w:spacing w:line="400" w:lineRule="exact"/>
              <w:ind w:left="55" w:leftChars="26" w:right="118" w:rightChars="56"/>
              <w:jc w:val="center"/>
              <w:rPr>
                <w:rFonts w:eastAsia="黑体"/>
                <w:szCs w:val="21"/>
              </w:rPr>
            </w:pPr>
            <w:r>
              <w:rPr>
                <w:rFonts w:hint="eastAsia" w:eastAsia="黑体"/>
                <w:szCs w:val="21"/>
              </w:rPr>
              <w:t>评审</w:t>
            </w:r>
          </w:p>
          <w:p>
            <w:pPr>
              <w:wordWrap w:val="0"/>
              <w:spacing w:line="400" w:lineRule="atLeast"/>
              <w:jc w:val="center"/>
              <w:rPr>
                <w:szCs w:val="21"/>
              </w:rPr>
            </w:pPr>
            <w:r>
              <w:rPr>
                <w:rFonts w:hint="eastAsia" w:eastAsia="黑体"/>
                <w:szCs w:val="21"/>
              </w:rPr>
              <w:t>标准</w:t>
            </w:r>
          </w:p>
        </w:tc>
        <w:tc>
          <w:tcPr>
            <w:tcW w:w="7618" w:type="dxa"/>
            <w:noWrap w:val="0"/>
            <w:vAlign w:val="center"/>
          </w:tcPr>
          <w:p>
            <w:pPr>
              <w:spacing w:line="400" w:lineRule="exact"/>
              <w:ind w:firstLine="422" w:firstLineChars="200"/>
              <w:rPr>
                <w:rFonts w:eastAsia="黑体"/>
                <w:b/>
                <w:szCs w:val="21"/>
              </w:rPr>
            </w:pPr>
            <w:r>
              <w:rPr>
                <w:rFonts w:hint="eastAsia" w:eastAsia="黑体"/>
                <w:b/>
                <w:szCs w:val="21"/>
              </w:rPr>
              <w:t>第一个信封（商务及技术文件）评审标准：</w:t>
            </w:r>
          </w:p>
          <w:p>
            <w:pPr>
              <w:spacing w:line="400" w:lineRule="exact"/>
              <w:ind w:firstLine="420" w:firstLineChars="200"/>
              <w:rPr>
                <w:rFonts w:eastAsia="黑体"/>
                <w:szCs w:val="21"/>
              </w:rPr>
            </w:pPr>
            <w:r>
              <w:rPr>
                <w:rFonts w:hint="eastAsia" w:eastAsia="黑体"/>
                <w:szCs w:val="21"/>
              </w:rPr>
              <w:t>（</w:t>
            </w:r>
            <w:r>
              <w:rPr>
                <w:rFonts w:eastAsia="黑体"/>
                <w:szCs w:val="21"/>
              </w:rPr>
              <w:t>1</w:t>
            </w:r>
            <w:r>
              <w:rPr>
                <w:rFonts w:hint="eastAsia" w:eastAsia="黑体"/>
                <w:szCs w:val="21"/>
              </w:rPr>
              <w:t>）投标文件按照招标文件规定的格式、内容填写，字迹清晰可辨：</w:t>
            </w:r>
          </w:p>
          <w:p>
            <w:pPr>
              <w:spacing w:line="400" w:lineRule="exact"/>
              <w:ind w:firstLine="420" w:firstLineChars="200"/>
              <w:rPr>
                <w:rFonts w:eastAsia="黑体"/>
                <w:szCs w:val="21"/>
              </w:rPr>
            </w:pPr>
            <w:r>
              <w:rPr>
                <w:rFonts w:eastAsia="黑体"/>
                <w:szCs w:val="21"/>
              </w:rPr>
              <w:t>a</w:t>
            </w:r>
            <w:r>
              <w:rPr>
                <w:rFonts w:hint="eastAsia" w:eastAsia="黑体"/>
                <w:szCs w:val="21"/>
              </w:rPr>
              <w:t>、投标函按招标文件规定填报了项目名称、补遗书编号（如有）、养护周期、质量要求及安全目标、投标保证金金额等；</w:t>
            </w:r>
          </w:p>
          <w:p>
            <w:pPr>
              <w:spacing w:line="400" w:lineRule="exact"/>
              <w:ind w:firstLine="420" w:firstLineChars="200"/>
              <w:rPr>
                <w:rFonts w:eastAsia="黑体"/>
                <w:szCs w:val="21"/>
              </w:rPr>
            </w:pPr>
            <w:r>
              <w:rPr>
                <w:rFonts w:eastAsia="黑体"/>
                <w:szCs w:val="21"/>
              </w:rPr>
              <w:t>b</w:t>
            </w:r>
            <w:r>
              <w:rPr>
                <w:rFonts w:hint="eastAsia" w:eastAsia="黑体"/>
                <w:szCs w:val="21"/>
              </w:rPr>
              <w:t>、投标函附录的所有数据均符合招标文件规定；</w:t>
            </w:r>
          </w:p>
          <w:p>
            <w:pPr>
              <w:spacing w:line="400" w:lineRule="exact"/>
              <w:ind w:firstLine="420" w:firstLineChars="200"/>
              <w:rPr>
                <w:rFonts w:eastAsia="黑体"/>
                <w:szCs w:val="21"/>
              </w:rPr>
            </w:pPr>
            <w:r>
              <w:rPr>
                <w:rFonts w:eastAsia="黑体"/>
                <w:szCs w:val="21"/>
              </w:rPr>
              <w:t>c</w:t>
            </w:r>
            <w:r>
              <w:rPr>
                <w:rFonts w:hint="eastAsia" w:eastAsia="黑体"/>
                <w:szCs w:val="21"/>
              </w:rPr>
              <w:t>、投标函文字与招标文件规定一致，未进行实质性的修改和删减；</w:t>
            </w:r>
          </w:p>
          <w:p>
            <w:pPr>
              <w:spacing w:line="400" w:lineRule="exact"/>
              <w:ind w:firstLine="420" w:firstLineChars="200"/>
              <w:rPr>
                <w:rFonts w:eastAsia="黑体"/>
                <w:szCs w:val="21"/>
              </w:rPr>
            </w:pPr>
            <w:r>
              <w:rPr>
                <w:rFonts w:eastAsia="黑体"/>
                <w:szCs w:val="21"/>
              </w:rPr>
              <w:t>d</w:t>
            </w:r>
            <w:r>
              <w:rPr>
                <w:rFonts w:hint="eastAsia" w:eastAsia="黑体"/>
                <w:szCs w:val="21"/>
              </w:rPr>
              <w:t>、按照招标文件规定内容编制了养护工作计划；</w:t>
            </w:r>
          </w:p>
          <w:p>
            <w:pPr>
              <w:spacing w:line="400" w:lineRule="exact"/>
              <w:ind w:firstLine="420" w:firstLineChars="200"/>
              <w:rPr>
                <w:rFonts w:eastAsia="黑体"/>
                <w:szCs w:val="21"/>
              </w:rPr>
            </w:pPr>
            <w:r>
              <w:rPr>
                <w:rFonts w:eastAsia="黑体"/>
                <w:szCs w:val="21"/>
              </w:rPr>
              <w:t>e</w:t>
            </w:r>
            <w:r>
              <w:rPr>
                <w:rFonts w:hint="eastAsia" w:eastAsia="黑体"/>
                <w:szCs w:val="21"/>
              </w:rPr>
              <w:t>、投标文件组成齐全完整，内容均按规定填写。</w:t>
            </w:r>
          </w:p>
          <w:p>
            <w:pPr>
              <w:spacing w:line="400" w:lineRule="exact"/>
              <w:ind w:firstLine="420" w:firstLineChars="200"/>
              <w:rPr>
                <w:rFonts w:eastAsia="黑体"/>
                <w:szCs w:val="21"/>
              </w:rPr>
            </w:pPr>
            <w:r>
              <w:rPr>
                <w:rFonts w:hint="eastAsia" w:eastAsia="黑体"/>
                <w:szCs w:val="21"/>
              </w:rPr>
              <w:t>（</w:t>
            </w:r>
            <w:r>
              <w:rPr>
                <w:rFonts w:eastAsia="黑体"/>
                <w:szCs w:val="21"/>
              </w:rPr>
              <w:t>2</w:t>
            </w:r>
            <w:r>
              <w:rPr>
                <w:rFonts w:hint="eastAsia" w:eastAsia="黑体"/>
                <w:szCs w:val="21"/>
              </w:rPr>
              <w:t>）投标文件上法定代表人或其授权代理人的签字、投标人的单位章盖章齐全，符合招标文件规定。</w:t>
            </w:r>
          </w:p>
          <w:p>
            <w:pPr>
              <w:spacing w:line="400" w:lineRule="exact"/>
              <w:ind w:firstLine="420" w:firstLineChars="200"/>
              <w:rPr>
                <w:rFonts w:eastAsia="黑体"/>
                <w:szCs w:val="21"/>
              </w:rPr>
            </w:pPr>
            <w:r>
              <w:rPr>
                <w:rFonts w:hint="eastAsia" w:eastAsia="黑体"/>
                <w:szCs w:val="21"/>
              </w:rPr>
              <w:t>（</w:t>
            </w:r>
            <w:r>
              <w:rPr>
                <w:rFonts w:eastAsia="黑体"/>
                <w:szCs w:val="21"/>
              </w:rPr>
              <w:t>3</w:t>
            </w:r>
            <w:r>
              <w:rPr>
                <w:rFonts w:hint="eastAsia" w:eastAsia="黑体"/>
                <w:szCs w:val="21"/>
              </w:rPr>
              <w:t>）投标人按照招标文件的规定提供了投标保证金：</w:t>
            </w:r>
          </w:p>
          <w:p>
            <w:pPr>
              <w:spacing w:line="400" w:lineRule="exact"/>
              <w:ind w:firstLine="420" w:firstLineChars="200"/>
              <w:rPr>
                <w:rFonts w:eastAsia="黑体"/>
                <w:szCs w:val="21"/>
              </w:rPr>
            </w:pPr>
            <w:r>
              <w:rPr>
                <w:rFonts w:eastAsia="黑体"/>
                <w:szCs w:val="21"/>
              </w:rPr>
              <w:t>a</w:t>
            </w:r>
            <w:r>
              <w:rPr>
                <w:rFonts w:hint="eastAsia" w:eastAsia="黑体"/>
                <w:szCs w:val="21"/>
              </w:rPr>
              <w:t>、投标保证金金额符合招标文件规定的金额，且投标保证金有效期不少于投标有效期；</w:t>
            </w:r>
          </w:p>
          <w:p>
            <w:pPr>
              <w:spacing w:line="400" w:lineRule="exact"/>
              <w:ind w:firstLine="420" w:firstLineChars="200"/>
              <w:rPr>
                <w:rFonts w:eastAsia="黑体"/>
                <w:szCs w:val="21"/>
              </w:rPr>
            </w:pPr>
            <w:r>
              <w:rPr>
                <w:rFonts w:hint="eastAsia" w:eastAsia="黑体"/>
                <w:szCs w:val="21"/>
              </w:rPr>
              <w:t>b.若投标保证金采用现金或支票形式提交，投标人应在递交投标文件截止时间之前，将投标保证金由投标人的基本账户转入招标人指定账户；</w:t>
            </w:r>
          </w:p>
          <w:p>
            <w:pPr>
              <w:spacing w:line="400" w:lineRule="exact"/>
              <w:ind w:firstLine="420" w:firstLineChars="200"/>
              <w:rPr>
                <w:rFonts w:eastAsia="黑体"/>
                <w:szCs w:val="21"/>
              </w:rPr>
            </w:pPr>
            <w:r>
              <w:rPr>
                <w:rFonts w:hint="eastAsia" w:eastAsia="黑体"/>
                <w:szCs w:val="21"/>
              </w:rPr>
              <w:t>c.若投标保证金采用银行保函形式提交，银行保函的格式、开具保函的银行均满足招标文件要求，且在递交投标文件截止时间之前向招标人提交了银行保函原件。</w:t>
            </w:r>
          </w:p>
          <w:p>
            <w:pPr>
              <w:spacing w:line="400" w:lineRule="exact"/>
              <w:ind w:firstLine="420" w:firstLineChars="200"/>
              <w:rPr>
                <w:rFonts w:eastAsia="黑体"/>
                <w:szCs w:val="21"/>
              </w:rPr>
            </w:pPr>
            <w:r>
              <w:rPr>
                <w:rFonts w:eastAsia="黑体"/>
                <w:szCs w:val="21"/>
              </w:rPr>
              <w:t>d</w:t>
            </w:r>
            <w:r>
              <w:rPr>
                <w:rFonts w:hint="eastAsia" w:eastAsia="黑体"/>
                <w:szCs w:val="21"/>
              </w:rPr>
              <w:t>、若投标保证金采用保证金保险形式提交，保证金保险满足开具要求，且在递交投标文件截止时间之前向招标人提交了保证金保险电子凭证书面原件。</w:t>
            </w:r>
          </w:p>
          <w:p>
            <w:pPr>
              <w:spacing w:line="400" w:lineRule="exact"/>
              <w:ind w:firstLine="420" w:firstLineChars="200"/>
              <w:rPr>
                <w:rFonts w:eastAsia="黑体"/>
                <w:szCs w:val="21"/>
              </w:rPr>
            </w:pPr>
            <w:r>
              <w:rPr>
                <w:rFonts w:hint="eastAsia" w:eastAsia="黑体"/>
                <w:szCs w:val="21"/>
              </w:rPr>
              <w:t>（</w:t>
            </w:r>
            <w:r>
              <w:rPr>
                <w:rFonts w:eastAsia="黑体"/>
                <w:szCs w:val="21"/>
              </w:rPr>
              <w:t>4</w:t>
            </w:r>
            <w:r>
              <w:rPr>
                <w:rFonts w:hint="eastAsia" w:eastAsia="黑体"/>
                <w:szCs w:val="21"/>
              </w:rPr>
              <w:t>）投标人法定代表人授权委托代理人签署投标文件的，须提交授权委托书，且授权人和被授权人均在授权委托书上签名，未使用印章、签名章或其他电子制版签名代替。</w:t>
            </w:r>
          </w:p>
          <w:p>
            <w:pPr>
              <w:spacing w:line="400" w:lineRule="exact"/>
              <w:ind w:firstLine="420" w:firstLineChars="200"/>
              <w:rPr>
                <w:rFonts w:eastAsia="黑体"/>
                <w:szCs w:val="21"/>
              </w:rPr>
            </w:pPr>
            <w:r>
              <w:rPr>
                <w:rFonts w:hint="eastAsia" w:eastAsia="黑体"/>
                <w:szCs w:val="21"/>
              </w:rPr>
              <w:t>（</w:t>
            </w:r>
            <w:r>
              <w:rPr>
                <w:rFonts w:eastAsia="黑体"/>
                <w:szCs w:val="21"/>
              </w:rPr>
              <w:t>5</w:t>
            </w:r>
            <w:r>
              <w:rPr>
                <w:rFonts w:hint="eastAsia" w:eastAsia="黑体"/>
                <w:szCs w:val="21"/>
              </w:rPr>
              <w:t>）投标人法定代表人亲自签署投标文件的，提供了法定代表人身份证明，且法定代表人在法定代表人身份证明上签名，未使用印章、签名章或其他电子制版签名代替。</w:t>
            </w:r>
          </w:p>
          <w:p>
            <w:pPr>
              <w:spacing w:line="400" w:lineRule="exact"/>
              <w:ind w:firstLine="420" w:firstLineChars="200"/>
              <w:rPr>
                <w:rFonts w:eastAsia="黑体"/>
                <w:szCs w:val="21"/>
              </w:rPr>
            </w:pPr>
            <w:r>
              <w:rPr>
                <w:rFonts w:hint="eastAsia" w:eastAsia="黑体"/>
                <w:szCs w:val="21"/>
              </w:rPr>
              <w:t>（</w:t>
            </w:r>
            <w:r>
              <w:rPr>
                <w:rFonts w:eastAsia="黑体"/>
                <w:szCs w:val="21"/>
              </w:rPr>
              <w:t>6</w:t>
            </w:r>
            <w:r>
              <w:rPr>
                <w:rFonts w:hint="eastAsia" w:eastAsia="黑体"/>
                <w:szCs w:val="21"/>
              </w:rPr>
              <w:t>）投标人未以联合体形式进行投标。</w:t>
            </w:r>
          </w:p>
          <w:p>
            <w:pPr>
              <w:spacing w:line="400" w:lineRule="exact"/>
              <w:ind w:firstLine="420" w:firstLineChars="200"/>
              <w:rPr>
                <w:rFonts w:eastAsia="黑体"/>
                <w:szCs w:val="21"/>
              </w:rPr>
            </w:pPr>
            <w:r>
              <w:rPr>
                <w:rFonts w:hint="eastAsia" w:eastAsia="黑体"/>
                <w:szCs w:val="21"/>
              </w:rPr>
              <w:t>（</w:t>
            </w:r>
            <w:r>
              <w:rPr>
                <w:rFonts w:eastAsia="黑体"/>
                <w:szCs w:val="21"/>
              </w:rPr>
              <w:t>7</w:t>
            </w:r>
            <w:r>
              <w:rPr>
                <w:rFonts w:hint="eastAsia" w:eastAsia="黑体"/>
                <w:szCs w:val="21"/>
              </w:rPr>
              <w:t>）投标人未对标段项目进行分包。</w:t>
            </w:r>
          </w:p>
          <w:p>
            <w:pPr>
              <w:spacing w:line="400" w:lineRule="exact"/>
              <w:ind w:firstLine="420" w:firstLineChars="200"/>
              <w:rPr>
                <w:rFonts w:eastAsia="黑体"/>
                <w:szCs w:val="21"/>
              </w:rPr>
            </w:pPr>
            <w:r>
              <w:rPr>
                <w:rFonts w:hint="eastAsia" w:eastAsia="黑体"/>
                <w:szCs w:val="21"/>
              </w:rPr>
              <w:t>（</w:t>
            </w:r>
            <w:r>
              <w:rPr>
                <w:rFonts w:eastAsia="黑体"/>
                <w:szCs w:val="21"/>
              </w:rPr>
              <w:t>8</w:t>
            </w:r>
            <w:r>
              <w:rPr>
                <w:rFonts w:hint="eastAsia" w:eastAsia="黑体"/>
                <w:szCs w:val="21"/>
              </w:rPr>
              <w:t>）同一投标人未提交两个以上不同的投标文件，但招标文件要求提交备选投标的除外。</w:t>
            </w:r>
          </w:p>
          <w:p>
            <w:pPr>
              <w:spacing w:line="400" w:lineRule="exact"/>
              <w:ind w:firstLine="420" w:firstLineChars="200"/>
              <w:rPr>
                <w:rFonts w:eastAsia="黑体"/>
                <w:szCs w:val="21"/>
              </w:rPr>
            </w:pPr>
            <w:r>
              <w:rPr>
                <w:rFonts w:hint="eastAsia" w:eastAsia="黑体"/>
                <w:szCs w:val="21"/>
              </w:rPr>
              <w:t>（</w:t>
            </w:r>
            <w:r>
              <w:rPr>
                <w:rFonts w:eastAsia="黑体"/>
                <w:szCs w:val="21"/>
              </w:rPr>
              <w:t>9</w:t>
            </w:r>
            <w:r>
              <w:rPr>
                <w:rFonts w:hint="eastAsia" w:eastAsia="黑体"/>
                <w:szCs w:val="21"/>
              </w:rPr>
              <w:t>）投标文件中未出现有关投标报价的内容。</w:t>
            </w:r>
          </w:p>
          <w:p>
            <w:pPr>
              <w:spacing w:line="400" w:lineRule="exact"/>
              <w:ind w:firstLine="420" w:firstLineChars="200"/>
              <w:rPr>
                <w:rFonts w:eastAsia="黑体"/>
                <w:szCs w:val="21"/>
              </w:rPr>
            </w:pPr>
            <w:r>
              <w:rPr>
                <w:rFonts w:hint="eastAsia" w:eastAsia="黑体"/>
                <w:szCs w:val="21"/>
              </w:rPr>
              <w:t>（</w:t>
            </w:r>
            <w:r>
              <w:rPr>
                <w:rFonts w:eastAsia="黑体"/>
                <w:szCs w:val="21"/>
              </w:rPr>
              <w:t>10</w:t>
            </w:r>
            <w:r>
              <w:rPr>
                <w:rFonts w:hint="eastAsia" w:eastAsia="黑体"/>
                <w:szCs w:val="21"/>
              </w:rPr>
              <w:t>）投标文件载明的招标项目完成期限未超过招标文件规定的时限。</w:t>
            </w:r>
          </w:p>
          <w:p>
            <w:pPr>
              <w:spacing w:line="400" w:lineRule="exact"/>
              <w:ind w:firstLine="420" w:firstLineChars="200"/>
              <w:rPr>
                <w:rFonts w:eastAsia="黑体"/>
                <w:szCs w:val="21"/>
              </w:rPr>
            </w:pPr>
            <w:r>
              <w:rPr>
                <w:rFonts w:hint="eastAsia" w:eastAsia="黑体"/>
                <w:szCs w:val="21"/>
              </w:rPr>
              <w:t>（</w:t>
            </w:r>
            <w:r>
              <w:rPr>
                <w:rFonts w:eastAsia="黑体"/>
                <w:szCs w:val="21"/>
              </w:rPr>
              <w:t>11</w:t>
            </w:r>
            <w:r>
              <w:rPr>
                <w:rFonts w:hint="eastAsia" w:eastAsia="黑体"/>
                <w:szCs w:val="21"/>
              </w:rPr>
              <w:t>）投标文件对招标文件的实质性要求和条件作出响应。</w:t>
            </w:r>
          </w:p>
          <w:p>
            <w:pPr>
              <w:spacing w:line="400" w:lineRule="exact"/>
              <w:ind w:firstLine="420" w:firstLineChars="200"/>
              <w:rPr>
                <w:rFonts w:eastAsia="黑体"/>
                <w:szCs w:val="21"/>
              </w:rPr>
            </w:pPr>
            <w:r>
              <w:rPr>
                <w:rFonts w:hint="eastAsia" w:eastAsia="黑体"/>
                <w:szCs w:val="21"/>
              </w:rPr>
              <w:t>（</w:t>
            </w:r>
            <w:r>
              <w:rPr>
                <w:rFonts w:eastAsia="黑体"/>
                <w:szCs w:val="21"/>
              </w:rPr>
              <w:t>12</w:t>
            </w:r>
            <w:r>
              <w:rPr>
                <w:rFonts w:hint="eastAsia" w:eastAsia="黑体"/>
                <w:szCs w:val="21"/>
              </w:rPr>
              <w:t>）权利义务符合招标文件规定：</w:t>
            </w:r>
          </w:p>
          <w:p>
            <w:pPr>
              <w:spacing w:line="400" w:lineRule="exact"/>
              <w:ind w:firstLine="420" w:firstLineChars="200"/>
              <w:rPr>
                <w:rFonts w:eastAsia="黑体"/>
                <w:szCs w:val="21"/>
              </w:rPr>
            </w:pPr>
            <w:r>
              <w:rPr>
                <w:rFonts w:eastAsia="黑体"/>
                <w:szCs w:val="21"/>
              </w:rPr>
              <w:t>a</w:t>
            </w:r>
            <w:r>
              <w:rPr>
                <w:rFonts w:hint="eastAsia" w:eastAsia="黑体"/>
                <w:szCs w:val="21"/>
              </w:rPr>
              <w:t>、投标人应接受招标文件规定的风险划分原则，未提出新的风险划分办法；</w:t>
            </w:r>
          </w:p>
          <w:p>
            <w:pPr>
              <w:spacing w:line="400" w:lineRule="exact"/>
              <w:ind w:firstLine="420" w:firstLineChars="200"/>
              <w:rPr>
                <w:rFonts w:eastAsia="黑体"/>
                <w:szCs w:val="21"/>
              </w:rPr>
            </w:pPr>
            <w:r>
              <w:rPr>
                <w:rFonts w:eastAsia="黑体"/>
                <w:szCs w:val="21"/>
              </w:rPr>
              <w:t>b</w:t>
            </w:r>
            <w:r>
              <w:rPr>
                <w:rFonts w:hint="eastAsia" w:eastAsia="黑体"/>
                <w:szCs w:val="21"/>
              </w:rPr>
              <w:t>、投标人未增加发包人的责任范围，或减少投标人义务；</w:t>
            </w:r>
          </w:p>
          <w:p>
            <w:pPr>
              <w:spacing w:line="400" w:lineRule="exact"/>
              <w:ind w:firstLine="420" w:firstLineChars="200"/>
              <w:rPr>
                <w:rFonts w:eastAsia="黑体"/>
                <w:szCs w:val="21"/>
              </w:rPr>
            </w:pPr>
            <w:r>
              <w:rPr>
                <w:rFonts w:eastAsia="黑体"/>
                <w:szCs w:val="21"/>
              </w:rPr>
              <w:t>c</w:t>
            </w:r>
            <w:r>
              <w:rPr>
                <w:rFonts w:hint="eastAsia" w:eastAsia="黑体"/>
                <w:szCs w:val="21"/>
              </w:rPr>
              <w:t>、投标人未提出不同的工程验收、计量、支付办法；</w:t>
            </w:r>
          </w:p>
          <w:p>
            <w:pPr>
              <w:spacing w:line="400" w:lineRule="exact"/>
              <w:ind w:firstLine="420" w:firstLineChars="200"/>
              <w:rPr>
                <w:rFonts w:eastAsia="黑体"/>
                <w:szCs w:val="21"/>
              </w:rPr>
            </w:pPr>
            <w:r>
              <w:rPr>
                <w:rFonts w:eastAsia="黑体"/>
                <w:szCs w:val="21"/>
              </w:rPr>
              <w:t>d</w:t>
            </w:r>
            <w:r>
              <w:rPr>
                <w:rFonts w:hint="eastAsia" w:eastAsia="黑体"/>
                <w:szCs w:val="21"/>
              </w:rPr>
              <w:t>、投标人对合同纠纷、事故处理办法未提出异议；</w:t>
            </w:r>
          </w:p>
          <w:p>
            <w:pPr>
              <w:spacing w:line="400" w:lineRule="exact"/>
              <w:ind w:firstLine="420" w:firstLineChars="200"/>
              <w:rPr>
                <w:rFonts w:eastAsia="黑体"/>
                <w:szCs w:val="21"/>
              </w:rPr>
            </w:pPr>
            <w:r>
              <w:rPr>
                <w:rFonts w:eastAsia="黑体"/>
                <w:szCs w:val="21"/>
              </w:rPr>
              <w:t>e</w:t>
            </w:r>
            <w:r>
              <w:rPr>
                <w:rFonts w:hint="eastAsia" w:eastAsia="黑体"/>
                <w:szCs w:val="21"/>
              </w:rPr>
              <w:t>、投标人在投标活动中无欺诈行为；</w:t>
            </w:r>
          </w:p>
          <w:p>
            <w:pPr>
              <w:spacing w:line="400" w:lineRule="exact"/>
              <w:ind w:firstLine="420" w:firstLineChars="200"/>
              <w:rPr>
                <w:rFonts w:eastAsia="黑体"/>
                <w:szCs w:val="21"/>
              </w:rPr>
            </w:pPr>
            <w:r>
              <w:rPr>
                <w:rFonts w:eastAsia="黑体"/>
                <w:szCs w:val="21"/>
              </w:rPr>
              <w:t>f</w:t>
            </w:r>
            <w:r>
              <w:rPr>
                <w:rFonts w:hint="eastAsia" w:eastAsia="黑体"/>
                <w:szCs w:val="21"/>
              </w:rPr>
              <w:t>、投标人未对合同条款有重要保留。</w:t>
            </w:r>
          </w:p>
          <w:p>
            <w:pPr>
              <w:spacing w:line="400" w:lineRule="exact"/>
              <w:ind w:firstLine="422" w:firstLineChars="200"/>
              <w:rPr>
                <w:rFonts w:eastAsia="黑体"/>
                <w:b/>
                <w:szCs w:val="21"/>
              </w:rPr>
            </w:pPr>
            <w:r>
              <w:rPr>
                <w:rFonts w:hint="eastAsia" w:eastAsia="黑体"/>
                <w:b/>
                <w:szCs w:val="21"/>
              </w:rPr>
              <w:t>第二个信封（报价文件）评审标准：</w:t>
            </w:r>
          </w:p>
          <w:p>
            <w:pPr>
              <w:spacing w:line="400" w:lineRule="exact"/>
              <w:ind w:firstLine="420" w:firstLineChars="200"/>
              <w:rPr>
                <w:rFonts w:eastAsia="黑体"/>
                <w:szCs w:val="21"/>
              </w:rPr>
            </w:pPr>
            <w:r>
              <w:rPr>
                <w:rFonts w:hint="eastAsia" w:eastAsia="黑体"/>
                <w:szCs w:val="21"/>
              </w:rPr>
              <w:t>（</w:t>
            </w:r>
            <w:r>
              <w:rPr>
                <w:rFonts w:eastAsia="黑体"/>
                <w:szCs w:val="21"/>
              </w:rPr>
              <w:t>1</w:t>
            </w:r>
            <w:r>
              <w:rPr>
                <w:rFonts w:hint="eastAsia" w:eastAsia="黑体"/>
                <w:szCs w:val="21"/>
              </w:rPr>
              <w:t>）投标文件按照招标文件规定的格式、内容填写，字迹清晰可辨：</w:t>
            </w:r>
          </w:p>
          <w:p>
            <w:pPr>
              <w:spacing w:line="400" w:lineRule="exact"/>
              <w:ind w:firstLine="420" w:firstLineChars="200"/>
              <w:rPr>
                <w:rFonts w:eastAsia="黑体"/>
                <w:szCs w:val="21"/>
              </w:rPr>
            </w:pPr>
            <w:r>
              <w:rPr>
                <w:rFonts w:eastAsia="黑体"/>
                <w:szCs w:val="21"/>
              </w:rPr>
              <w:t>a</w:t>
            </w:r>
            <w:r>
              <w:rPr>
                <w:rFonts w:hint="eastAsia" w:eastAsia="黑体"/>
                <w:szCs w:val="21"/>
              </w:rPr>
              <w:t>、投标函按招标文件规定填报了项目名称、补遗书编号（如有）、投标价（包括大写金额和小写金额）；</w:t>
            </w:r>
          </w:p>
          <w:p>
            <w:pPr>
              <w:spacing w:line="400" w:lineRule="exact"/>
              <w:ind w:firstLine="420" w:firstLineChars="200"/>
              <w:rPr>
                <w:rFonts w:eastAsia="黑体"/>
                <w:szCs w:val="21"/>
              </w:rPr>
            </w:pPr>
            <w:r>
              <w:rPr>
                <w:rFonts w:eastAsia="黑体"/>
                <w:szCs w:val="21"/>
              </w:rPr>
              <w:t>b</w:t>
            </w:r>
            <w:r>
              <w:rPr>
                <w:rFonts w:hint="eastAsia" w:eastAsia="黑体"/>
                <w:szCs w:val="21"/>
              </w:rPr>
              <w:t>、投标函与招标文件规定一致，未进行实质性的修改和删减；</w:t>
            </w:r>
          </w:p>
          <w:p>
            <w:pPr>
              <w:spacing w:line="400" w:lineRule="exact"/>
              <w:ind w:firstLine="420" w:firstLineChars="200"/>
              <w:rPr>
                <w:rFonts w:eastAsia="黑体"/>
                <w:szCs w:val="21"/>
              </w:rPr>
            </w:pPr>
            <w:r>
              <w:rPr>
                <w:rFonts w:eastAsia="黑体"/>
                <w:szCs w:val="21"/>
              </w:rPr>
              <w:t>c</w:t>
            </w:r>
            <w:r>
              <w:rPr>
                <w:rFonts w:hint="eastAsia" w:eastAsia="黑体"/>
                <w:szCs w:val="21"/>
              </w:rPr>
              <w:t>、投标文件组成齐全完整，内容均按规定填写。</w:t>
            </w:r>
          </w:p>
          <w:p>
            <w:pPr>
              <w:spacing w:line="400" w:lineRule="exact"/>
              <w:ind w:firstLine="420" w:firstLineChars="200"/>
              <w:rPr>
                <w:rFonts w:eastAsia="黑体"/>
                <w:szCs w:val="21"/>
              </w:rPr>
            </w:pPr>
            <w:r>
              <w:rPr>
                <w:rFonts w:hint="eastAsia" w:eastAsia="黑体"/>
                <w:szCs w:val="21"/>
              </w:rPr>
              <w:t>（</w:t>
            </w:r>
            <w:r>
              <w:rPr>
                <w:rFonts w:eastAsia="黑体"/>
                <w:szCs w:val="21"/>
              </w:rPr>
              <w:t>2</w:t>
            </w:r>
            <w:r>
              <w:rPr>
                <w:rFonts w:hint="eastAsia" w:eastAsia="黑体"/>
                <w:szCs w:val="21"/>
              </w:rPr>
              <w:t>）投标文件上法定代表人或其授权代理人的签字、投标人的单位章盖章齐全，符合招标文件规定。</w:t>
            </w:r>
          </w:p>
          <w:p>
            <w:pPr>
              <w:spacing w:line="400" w:lineRule="exact"/>
              <w:ind w:firstLine="420" w:firstLineChars="200"/>
              <w:rPr>
                <w:rFonts w:eastAsia="黑体"/>
                <w:szCs w:val="21"/>
              </w:rPr>
            </w:pPr>
            <w:r>
              <w:rPr>
                <w:rFonts w:hint="eastAsia" w:eastAsia="黑体"/>
                <w:szCs w:val="21"/>
              </w:rPr>
              <w:t>（</w:t>
            </w:r>
            <w:r>
              <w:rPr>
                <w:rFonts w:eastAsia="黑体"/>
                <w:szCs w:val="21"/>
              </w:rPr>
              <w:t>3</w:t>
            </w:r>
            <w:r>
              <w:rPr>
                <w:rFonts w:hint="eastAsia" w:eastAsia="黑体"/>
                <w:szCs w:val="21"/>
              </w:rPr>
              <w:t>）投标报价中的报价未超过招标文件设定的最高投标限价。</w:t>
            </w:r>
          </w:p>
          <w:p>
            <w:pPr>
              <w:spacing w:line="400" w:lineRule="exact"/>
              <w:ind w:firstLine="420" w:firstLineChars="200"/>
              <w:rPr>
                <w:rFonts w:eastAsia="黑体"/>
                <w:szCs w:val="21"/>
              </w:rPr>
            </w:pPr>
            <w:r>
              <w:rPr>
                <w:rFonts w:hint="eastAsia" w:eastAsia="黑体"/>
                <w:szCs w:val="21"/>
              </w:rPr>
              <w:t>（</w:t>
            </w:r>
            <w:r>
              <w:rPr>
                <w:rFonts w:eastAsia="黑体"/>
                <w:szCs w:val="21"/>
              </w:rPr>
              <w:t>4</w:t>
            </w:r>
            <w:r>
              <w:rPr>
                <w:rFonts w:hint="eastAsia" w:eastAsia="黑体"/>
                <w:szCs w:val="21"/>
              </w:rPr>
              <w:t>）投标报价的大写金额能够确定具体数值。</w:t>
            </w:r>
          </w:p>
          <w:p>
            <w:pPr>
              <w:spacing w:line="400" w:lineRule="exact"/>
              <w:ind w:firstLine="420" w:firstLineChars="200"/>
              <w:rPr>
                <w:rFonts w:eastAsia="黑体"/>
                <w:szCs w:val="21"/>
              </w:rPr>
            </w:pPr>
            <w:r>
              <w:rPr>
                <w:rFonts w:hint="eastAsia" w:eastAsia="黑体"/>
                <w:szCs w:val="21"/>
              </w:rPr>
              <w:t>（</w:t>
            </w:r>
            <w:r>
              <w:rPr>
                <w:rFonts w:eastAsia="黑体"/>
                <w:szCs w:val="21"/>
              </w:rPr>
              <w:t>5</w:t>
            </w:r>
            <w:r>
              <w:rPr>
                <w:rFonts w:hint="eastAsia" w:eastAsia="黑体"/>
                <w:szCs w:val="21"/>
              </w:rPr>
              <w:t>）同一投标人未提交两个以上不同的投标报价，但招标文件要求提交备选投标的除外。</w:t>
            </w:r>
          </w:p>
          <w:p>
            <w:pPr>
              <w:spacing w:line="400" w:lineRule="exact"/>
              <w:ind w:firstLine="420" w:firstLineChars="200"/>
              <w:rPr>
                <w:rFonts w:eastAsia="黑体"/>
                <w:szCs w:val="21"/>
              </w:rPr>
            </w:pPr>
            <w:r>
              <w:rPr>
                <w:rFonts w:hint="eastAsia" w:eastAsia="黑体"/>
                <w:szCs w:val="21"/>
              </w:rPr>
              <w:t>（</w:t>
            </w:r>
            <w:r>
              <w:rPr>
                <w:rFonts w:eastAsia="黑体"/>
                <w:szCs w:val="21"/>
              </w:rPr>
              <w:t>6</w:t>
            </w:r>
            <w:r>
              <w:rPr>
                <w:rFonts w:hint="eastAsia" w:eastAsia="黑体"/>
                <w:szCs w:val="21"/>
              </w:rPr>
              <w:t>）投标人未提交调价函。</w:t>
            </w:r>
          </w:p>
          <w:p>
            <w:pPr>
              <w:spacing w:line="400" w:lineRule="exact"/>
              <w:ind w:firstLine="404" w:firstLineChars="200"/>
              <w:rPr>
                <w:rFonts w:eastAsia="黑体"/>
                <w:szCs w:val="21"/>
              </w:rPr>
            </w:pPr>
            <w:r>
              <w:rPr>
                <w:rFonts w:hint="eastAsia" w:eastAsia="黑体"/>
                <w:spacing w:val="-4"/>
                <w:szCs w:val="21"/>
              </w:rPr>
              <w:t>投标文件未满足以上任一条件的，其投标视为无效，评标委员会将否决其投标。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797" w:type="dxa"/>
            <w:noWrap w:val="0"/>
            <w:vAlign w:val="center"/>
          </w:tcPr>
          <w:p>
            <w:pPr>
              <w:wordWrap w:val="0"/>
              <w:spacing w:line="400" w:lineRule="atLeast"/>
              <w:jc w:val="center"/>
              <w:rPr>
                <w:szCs w:val="21"/>
              </w:rPr>
            </w:pPr>
            <w:r>
              <w:rPr>
                <w:szCs w:val="21"/>
              </w:rPr>
              <w:t>2.1.2</w:t>
            </w:r>
          </w:p>
        </w:tc>
        <w:tc>
          <w:tcPr>
            <w:tcW w:w="871" w:type="dxa"/>
            <w:noWrap w:val="0"/>
            <w:vAlign w:val="center"/>
          </w:tcPr>
          <w:p>
            <w:pPr>
              <w:wordWrap w:val="0"/>
              <w:snapToGrid w:val="0"/>
              <w:spacing w:line="400" w:lineRule="exact"/>
              <w:ind w:left="55" w:leftChars="26" w:right="118" w:rightChars="56"/>
              <w:jc w:val="center"/>
              <w:rPr>
                <w:szCs w:val="21"/>
              </w:rPr>
            </w:pPr>
            <w:r>
              <w:rPr>
                <w:rFonts w:hint="eastAsia" w:eastAsia="黑体"/>
                <w:szCs w:val="21"/>
              </w:rPr>
              <w:t>资格评审标准</w:t>
            </w:r>
          </w:p>
        </w:tc>
        <w:tc>
          <w:tcPr>
            <w:tcW w:w="7618" w:type="dxa"/>
            <w:noWrap w:val="0"/>
            <w:vAlign w:val="top"/>
          </w:tcPr>
          <w:p>
            <w:pPr>
              <w:spacing w:line="400" w:lineRule="exact"/>
              <w:ind w:firstLine="420" w:firstLineChars="200"/>
              <w:rPr>
                <w:rFonts w:eastAsia="黑体"/>
                <w:szCs w:val="21"/>
              </w:rPr>
            </w:pPr>
            <w:r>
              <w:rPr>
                <w:rFonts w:hint="eastAsia" w:eastAsia="黑体"/>
                <w:szCs w:val="21"/>
              </w:rPr>
              <w:t>（</w:t>
            </w:r>
            <w:r>
              <w:rPr>
                <w:rFonts w:eastAsia="黑体"/>
                <w:szCs w:val="21"/>
              </w:rPr>
              <w:t>1</w:t>
            </w:r>
            <w:r>
              <w:rPr>
                <w:rFonts w:hint="eastAsia" w:eastAsia="黑体"/>
                <w:szCs w:val="21"/>
              </w:rPr>
              <w:t>）投标人具备有效的营业执照、资质证书、安全生产许可证和基本账户开户信息。</w:t>
            </w:r>
          </w:p>
          <w:p>
            <w:pPr>
              <w:spacing w:line="400" w:lineRule="exact"/>
              <w:ind w:firstLine="420" w:firstLineChars="200"/>
              <w:rPr>
                <w:rFonts w:eastAsia="黑体"/>
                <w:szCs w:val="21"/>
              </w:rPr>
            </w:pPr>
            <w:r>
              <w:rPr>
                <w:rFonts w:hint="eastAsia" w:eastAsia="黑体"/>
                <w:szCs w:val="21"/>
              </w:rPr>
              <w:t>（</w:t>
            </w:r>
            <w:r>
              <w:rPr>
                <w:rFonts w:eastAsia="黑体"/>
                <w:szCs w:val="21"/>
              </w:rPr>
              <w:t>2</w:t>
            </w:r>
            <w:r>
              <w:rPr>
                <w:rFonts w:hint="eastAsia" w:eastAsia="黑体"/>
                <w:szCs w:val="21"/>
              </w:rPr>
              <w:t>）投标人的资质等级符合招标文件投标人须知前附表附录</w:t>
            </w:r>
            <w:r>
              <w:rPr>
                <w:rFonts w:eastAsia="黑体"/>
                <w:szCs w:val="21"/>
              </w:rPr>
              <w:t>1</w:t>
            </w:r>
            <w:r>
              <w:rPr>
                <w:rFonts w:hint="eastAsia" w:eastAsia="黑体"/>
                <w:szCs w:val="21"/>
              </w:rPr>
              <w:t>的规定。</w:t>
            </w:r>
          </w:p>
          <w:p>
            <w:pPr>
              <w:spacing w:line="400" w:lineRule="exact"/>
              <w:ind w:firstLine="420" w:firstLineChars="200"/>
              <w:rPr>
                <w:rFonts w:eastAsia="黑体"/>
                <w:szCs w:val="21"/>
              </w:rPr>
            </w:pPr>
            <w:r>
              <w:rPr>
                <w:rFonts w:hint="eastAsia" w:eastAsia="黑体"/>
                <w:szCs w:val="21"/>
              </w:rPr>
              <w:t>（</w:t>
            </w:r>
            <w:r>
              <w:rPr>
                <w:rFonts w:eastAsia="黑体"/>
                <w:szCs w:val="21"/>
              </w:rPr>
              <w:t>3</w:t>
            </w:r>
            <w:r>
              <w:rPr>
                <w:rFonts w:hint="eastAsia" w:eastAsia="黑体"/>
                <w:szCs w:val="21"/>
              </w:rPr>
              <w:t>）投标人的企业信誉符合招标文件投标人须知前附表附录</w:t>
            </w:r>
            <w:r>
              <w:rPr>
                <w:rFonts w:eastAsia="黑体"/>
                <w:szCs w:val="21"/>
              </w:rPr>
              <w:t>2</w:t>
            </w:r>
            <w:r>
              <w:rPr>
                <w:rFonts w:hint="eastAsia" w:eastAsia="黑体"/>
                <w:szCs w:val="21"/>
              </w:rPr>
              <w:t>的规定。</w:t>
            </w:r>
          </w:p>
          <w:p>
            <w:pPr>
              <w:spacing w:line="400" w:lineRule="exact"/>
              <w:ind w:firstLine="420" w:firstLineChars="200"/>
              <w:rPr>
                <w:rFonts w:eastAsia="黑体"/>
                <w:szCs w:val="21"/>
              </w:rPr>
            </w:pPr>
            <w:r>
              <w:rPr>
                <w:rFonts w:hint="eastAsia" w:eastAsia="黑体"/>
                <w:szCs w:val="21"/>
              </w:rPr>
              <w:t>（</w:t>
            </w:r>
            <w:r>
              <w:rPr>
                <w:rFonts w:eastAsia="黑体"/>
                <w:szCs w:val="21"/>
              </w:rPr>
              <w:t>4</w:t>
            </w:r>
            <w:r>
              <w:rPr>
                <w:rFonts w:hint="eastAsia" w:eastAsia="黑体"/>
                <w:szCs w:val="21"/>
              </w:rPr>
              <w:t>）投标人的主要人员资格、在岗情况符合招标文件投标人须知前附表附录</w:t>
            </w:r>
            <w:r>
              <w:rPr>
                <w:rFonts w:eastAsia="黑体"/>
                <w:szCs w:val="21"/>
              </w:rPr>
              <w:t>3</w:t>
            </w:r>
            <w:r>
              <w:rPr>
                <w:rFonts w:hint="eastAsia" w:eastAsia="黑体"/>
                <w:szCs w:val="21"/>
              </w:rPr>
              <w:t>的规定。</w:t>
            </w:r>
          </w:p>
          <w:p>
            <w:pPr>
              <w:spacing w:line="400" w:lineRule="exact"/>
              <w:ind w:firstLine="420" w:firstLineChars="200"/>
              <w:rPr>
                <w:rFonts w:eastAsia="黑体"/>
                <w:szCs w:val="21"/>
              </w:rPr>
            </w:pPr>
            <w:r>
              <w:rPr>
                <w:rFonts w:hint="eastAsia" w:eastAsia="黑体"/>
                <w:szCs w:val="21"/>
              </w:rPr>
              <w:t>（</w:t>
            </w:r>
            <w:r>
              <w:rPr>
                <w:rFonts w:eastAsia="黑体"/>
                <w:szCs w:val="21"/>
              </w:rPr>
              <w:t>5</w:t>
            </w:r>
            <w:r>
              <w:rPr>
                <w:rFonts w:hint="eastAsia" w:eastAsia="黑体"/>
                <w:szCs w:val="21"/>
              </w:rPr>
              <w:t>）投标人不存在第二章</w:t>
            </w:r>
            <w:r>
              <w:rPr>
                <w:rFonts w:ascii="宋体" w:hAnsi="宋体"/>
                <w:szCs w:val="21"/>
              </w:rPr>
              <w:t>“</w:t>
            </w:r>
            <w:r>
              <w:rPr>
                <w:rFonts w:hint="eastAsia" w:eastAsia="黑体"/>
                <w:szCs w:val="21"/>
              </w:rPr>
              <w:t>投标人须知</w:t>
            </w:r>
            <w:r>
              <w:rPr>
                <w:rFonts w:ascii="宋体" w:hAnsi="宋体"/>
                <w:szCs w:val="21"/>
              </w:rPr>
              <w:t>”</w:t>
            </w:r>
            <w:r>
              <w:rPr>
                <w:rFonts w:hint="eastAsia" w:eastAsia="黑体"/>
                <w:szCs w:val="21"/>
              </w:rPr>
              <w:t>第</w:t>
            </w:r>
            <w:r>
              <w:rPr>
                <w:rFonts w:eastAsia="黑体"/>
                <w:szCs w:val="21"/>
              </w:rPr>
              <w:t>1.4.3</w:t>
            </w:r>
            <w:r>
              <w:rPr>
                <w:rFonts w:hint="eastAsia" w:eastAsia="黑体"/>
                <w:szCs w:val="21"/>
              </w:rPr>
              <w:t>项或第</w:t>
            </w:r>
            <w:r>
              <w:rPr>
                <w:rFonts w:eastAsia="黑体"/>
                <w:szCs w:val="21"/>
              </w:rPr>
              <w:t>1.4.4</w:t>
            </w:r>
            <w:r>
              <w:rPr>
                <w:rFonts w:hint="eastAsia" w:eastAsia="黑体"/>
                <w:szCs w:val="21"/>
              </w:rPr>
              <w:t>项规定的任何一种情形。</w:t>
            </w:r>
          </w:p>
          <w:p>
            <w:pPr>
              <w:spacing w:line="400" w:lineRule="exact"/>
              <w:ind w:firstLine="404" w:firstLineChars="200"/>
              <w:rPr>
                <w:rFonts w:eastAsia="黑体"/>
                <w:spacing w:val="-4"/>
                <w:szCs w:val="21"/>
              </w:rPr>
            </w:pPr>
            <w:r>
              <w:rPr>
                <w:rFonts w:hint="eastAsia" w:eastAsia="黑体"/>
                <w:spacing w:val="-4"/>
                <w:szCs w:val="21"/>
              </w:rPr>
              <w:t>（</w:t>
            </w:r>
            <w:r>
              <w:rPr>
                <w:rFonts w:eastAsia="黑体"/>
                <w:spacing w:val="-4"/>
                <w:szCs w:val="21"/>
              </w:rPr>
              <w:t>6</w:t>
            </w:r>
            <w:r>
              <w:rPr>
                <w:rFonts w:hint="eastAsia" w:eastAsia="黑体"/>
                <w:spacing w:val="-4"/>
                <w:szCs w:val="21"/>
              </w:rPr>
              <w:t>）投标人满足第二章</w:t>
            </w:r>
            <w:r>
              <w:rPr>
                <w:rFonts w:ascii="宋体" w:hAnsi="宋体"/>
                <w:spacing w:val="-4"/>
                <w:szCs w:val="21"/>
              </w:rPr>
              <w:t>“</w:t>
            </w:r>
            <w:r>
              <w:rPr>
                <w:rFonts w:hint="eastAsia" w:eastAsia="黑体"/>
                <w:spacing w:val="-4"/>
                <w:szCs w:val="21"/>
              </w:rPr>
              <w:t>投标人须知</w:t>
            </w:r>
            <w:r>
              <w:rPr>
                <w:rFonts w:ascii="宋体" w:hAnsi="宋体"/>
                <w:spacing w:val="-4"/>
                <w:szCs w:val="21"/>
              </w:rPr>
              <w:t>”</w:t>
            </w:r>
            <w:r>
              <w:rPr>
                <w:rFonts w:hint="eastAsia" w:eastAsia="黑体"/>
                <w:spacing w:val="-4"/>
                <w:szCs w:val="21"/>
              </w:rPr>
              <w:t>第</w:t>
            </w:r>
            <w:r>
              <w:rPr>
                <w:rFonts w:eastAsia="黑体"/>
                <w:spacing w:val="-4"/>
                <w:szCs w:val="21"/>
              </w:rPr>
              <w:t>1.4.5</w:t>
            </w:r>
            <w:r>
              <w:rPr>
                <w:rFonts w:hint="eastAsia" w:eastAsia="黑体"/>
                <w:spacing w:val="-4"/>
                <w:szCs w:val="21"/>
              </w:rPr>
              <w:t>项规定。</w:t>
            </w:r>
          </w:p>
          <w:p>
            <w:pPr>
              <w:spacing w:line="400" w:lineRule="exact"/>
              <w:ind w:firstLine="404" w:firstLineChars="200"/>
              <w:rPr>
                <w:szCs w:val="21"/>
              </w:rPr>
            </w:pPr>
            <w:r>
              <w:rPr>
                <w:rFonts w:hint="eastAsia" w:eastAsia="黑体"/>
                <w:spacing w:val="-4"/>
                <w:szCs w:val="21"/>
              </w:rPr>
              <w:t>投标文件未满足以上任一条件的，其投标视为无效，评标委员会将否决其投标。</w:t>
            </w:r>
          </w:p>
        </w:tc>
      </w:tr>
    </w:tbl>
    <w:p/>
    <w:bookmarkEnd w:id="18"/>
    <w:bookmarkEnd w:id="19"/>
    <w:tbl>
      <w:tblPr>
        <w:tblStyle w:val="9"/>
        <w:tblW w:w="928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90"/>
        <w:gridCol w:w="1529"/>
        <w:gridCol w:w="676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blHeader/>
        </w:trPr>
        <w:tc>
          <w:tcPr>
            <w:tcW w:w="990" w:type="dxa"/>
            <w:noWrap w:val="0"/>
            <w:vAlign w:val="center"/>
          </w:tcPr>
          <w:p>
            <w:pPr>
              <w:spacing w:line="400" w:lineRule="atLeast"/>
              <w:jc w:val="center"/>
              <w:rPr>
                <w:rFonts w:eastAsia="黑体"/>
                <w:szCs w:val="21"/>
              </w:rPr>
            </w:pPr>
            <w:r>
              <w:rPr>
                <w:rFonts w:hint="eastAsia" w:eastAsia="黑体"/>
                <w:szCs w:val="21"/>
              </w:rPr>
              <w:t>条款号</w:t>
            </w:r>
          </w:p>
        </w:tc>
        <w:tc>
          <w:tcPr>
            <w:tcW w:w="1529" w:type="dxa"/>
            <w:noWrap w:val="0"/>
            <w:vAlign w:val="center"/>
          </w:tcPr>
          <w:p>
            <w:pPr>
              <w:spacing w:line="400" w:lineRule="atLeast"/>
              <w:jc w:val="center"/>
              <w:rPr>
                <w:rFonts w:eastAsia="黑体"/>
                <w:szCs w:val="21"/>
              </w:rPr>
            </w:pPr>
            <w:r>
              <w:rPr>
                <w:rFonts w:hint="eastAsia" w:eastAsia="黑体"/>
                <w:szCs w:val="21"/>
              </w:rPr>
              <w:t>条款内容</w:t>
            </w:r>
          </w:p>
        </w:tc>
        <w:tc>
          <w:tcPr>
            <w:tcW w:w="6768" w:type="dxa"/>
            <w:noWrap w:val="0"/>
            <w:vAlign w:val="center"/>
          </w:tcPr>
          <w:p>
            <w:pPr>
              <w:spacing w:line="400" w:lineRule="atLeast"/>
              <w:jc w:val="center"/>
              <w:rPr>
                <w:rFonts w:eastAsia="黑体"/>
                <w:szCs w:val="21"/>
              </w:rPr>
            </w:pPr>
            <w:r>
              <w:rPr>
                <w:rFonts w:hint="eastAsia" w:eastAsia="黑体"/>
                <w:szCs w:val="21"/>
              </w:rPr>
              <w:t>编列内容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990" w:type="dxa"/>
            <w:noWrap w:val="0"/>
            <w:vAlign w:val="center"/>
          </w:tcPr>
          <w:p>
            <w:pPr>
              <w:spacing w:line="400" w:lineRule="exact"/>
              <w:jc w:val="center"/>
              <w:rPr>
                <w:szCs w:val="21"/>
              </w:rPr>
            </w:pPr>
            <w:r>
              <w:rPr>
                <w:szCs w:val="21"/>
              </w:rPr>
              <w:t>2.2.1</w:t>
            </w:r>
          </w:p>
        </w:tc>
        <w:tc>
          <w:tcPr>
            <w:tcW w:w="1529" w:type="dxa"/>
            <w:noWrap w:val="0"/>
            <w:vAlign w:val="center"/>
          </w:tcPr>
          <w:p>
            <w:pPr>
              <w:spacing w:line="400" w:lineRule="exact"/>
              <w:jc w:val="center"/>
              <w:rPr>
                <w:rFonts w:eastAsia="黑体"/>
                <w:szCs w:val="21"/>
              </w:rPr>
            </w:pPr>
            <w:r>
              <w:rPr>
                <w:rFonts w:hint="eastAsia" w:eastAsia="黑体"/>
                <w:szCs w:val="21"/>
              </w:rPr>
              <w:t>分值构成</w:t>
            </w:r>
          </w:p>
          <w:p>
            <w:pPr>
              <w:spacing w:line="400" w:lineRule="exact"/>
              <w:jc w:val="center"/>
              <w:rPr>
                <w:rFonts w:eastAsia="黑体"/>
                <w:szCs w:val="21"/>
              </w:rPr>
            </w:pPr>
            <w:r>
              <w:rPr>
                <w:rFonts w:hint="eastAsia" w:eastAsia="黑体"/>
                <w:szCs w:val="21"/>
              </w:rPr>
              <w:t>（总分</w:t>
            </w:r>
            <w:r>
              <w:rPr>
                <w:rFonts w:eastAsia="黑体"/>
                <w:szCs w:val="21"/>
              </w:rPr>
              <w:t>100</w:t>
            </w:r>
            <w:r>
              <w:rPr>
                <w:rFonts w:hint="eastAsia" w:eastAsia="黑体"/>
                <w:szCs w:val="21"/>
              </w:rPr>
              <w:t>分）</w:t>
            </w:r>
          </w:p>
        </w:tc>
        <w:tc>
          <w:tcPr>
            <w:tcW w:w="6768" w:type="dxa"/>
            <w:noWrap w:val="0"/>
            <w:vAlign w:val="center"/>
          </w:tcPr>
          <w:p>
            <w:pPr>
              <w:keepNext/>
              <w:keepLines/>
              <w:spacing w:before="120" w:after="120" w:line="370" w:lineRule="atLeast"/>
              <w:outlineLvl w:val="2"/>
              <w:rPr>
                <w:szCs w:val="21"/>
              </w:rPr>
            </w:pPr>
            <w:bookmarkStart w:id="22" w:name="_Toc12984"/>
            <w:bookmarkStart w:id="23" w:name="_Toc5710"/>
            <w:r>
              <w:rPr>
                <w:rFonts w:hint="eastAsia"/>
                <w:szCs w:val="21"/>
              </w:rPr>
              <w:t>第一个信封（商务及技术文件）评分分值构成：</w:t>
            </w:r>
            <w:bookmarkEnd w:id="22"/>
            <w:bookmarkEnd w:id="23"/>
          </w:p>
          <w:p>
            <w:pPr>
              <w:keepNext/>
              <w:keepLines/>
              <w:spacing w:before="120" w:after="120" w:line="370" w:lineRule="atLeast"/>
              <w:outlineLvl w:val="2"/>
              <w:rPr>
                <w:szCs w:val="21"/>
              </w:rPr>
            </w:pPr>
            <w:bookmarkStart w:id="24" w:name="_Toc23763"/>
            <w:bookmarkStart w:id="25" w:name="_Toc10725"/>
            <w:r>
              <w:rPr>
                <w:rFonts w:hint="eastAsia"/>
                <w:szCs w:val="21"/>
              </w:rPr>
              <w:t>养护组织计划：</w:t>
            </w:r>
            <w:r>
              <w:rPr>
                <w:szCs w:val="21"/>
                <w:u w:val="single"/>
              </w:rPr>
              <w:t xml:space="preserve"> </w:t>
            </w:r>
            <w:r>
              <w:rPr>
                <w:rFonts w:hint="eastAsia"/>
                <w:szCs w:val="21"/>
                <w:u w:val="single"/>
              </w:rPr>
              <w:t>40</w:t>
            </w:r>
            <w:r>
              <w:rPr>
                <w:szCs w:val="21"/>
                <w:u w:val="single"/>
              </w:rPr>
              <w:t xml:space="preserve"> </w:t>
            </w:r>
            <w:r>
              <w:rPr>
                <w:rFonts w:hint="eastAsia"/>
                <w:szCs w:val="21"/>
              </w:rPr>
              <w:t>分</w:t>
            </w:r>
            <w:bookmarkEnd w:id="24"/>
            <w:bookmarkEnd w:id="25"/>
          </w:p>
          <w:p>
            <w:pPr>
              <w:keepNext/>
              <w:keepLines/>
              <w:spacing w:before="120" w:after="120" w:line="370" w:lineRule="atLeast"/>
              <w:outlineLvl w:val="2"/>
              <w:rPr>
                <w:rFonts w:hint="default"/>
                <w:szCs w:val="21"/>
                <w:u w:val="single"/>
              </w:rPr>
            </w:pPr>
            <w:bookmarkStart w:id="26" w:name="_Toc4456"/>
            <w:bookmarkStart w:id="27" w:name="_Toc5434"/>
            <w:r>
              <w:rPr>
                <w:rFonts w:hint="eastAsia"/>
                <w:szCs w:val="21"/>
                <w:u w:val="none"/>
              </w:rPr>
              <w:t>主</w:t>
            </w:r>
            <w:r>
              <w:rPr>
                <w:rFonts w:hint="default"/>
                <w:szCs w:val="21"/>
                <w:u w:val="none"/>
              </w:rPr>
              <w:t>要人员：</w:t>
            </w:r>
            <w:r>
              <w:rPr>
                <w:szCs w:val="21"/>
                <w:u w:val="single"/>
              </w:rPr>
              <w:t xml:space="preserve"> </w:t>
            </w:r>
            <w:r>
              <w:rPr>
                <w:rFonts w:hint="eastAsia"/>
                <w:szCs w:val="21"/>
                <w:u w:val="single"/>
              </w:rPr>
              <w:t>2</w:t>
            </w:r>
            <w:r>
              <w:rPr>
                <w:szCs w:val="21"/>
                <w:u w:val="single"/>
              </w:rPr>
              <w:t xml:space="preserve">5 </w:t>
            </w:r>
            <w:r>
              <w:rPr>
                <w:rFonts w:hint="default"/>
                <w:szCs w:val="21"/>
                <w:u w:val="single"/>
              </w:rPr>
              <w:t>分</w:t>
            </w:r>
            <w:bookmarkEnd w:id="26"/>
            <w:bookmarkEnd w:id="27"/>
            <w:r>
              <w:rPr>
                <w:rFonts w:hint="default"/>
                <w:szCs w:val="21"/>
                <w:u w:val="single"/>
              </w:rPr>
              <w:t xml:space="preserve"> </w:t>
            </w:r>
          </w:p>
          <w:p>
            <w:pPr>
              <w:keepNext/>
              <w:keepLines/>
              <w:spacing w:before="120" w:after="120" w:line="370" w:lineRule="atLeast"/>
              <w:outlineLvl w:val="2"/>
              <w:rPr>
                <w:rFonts w:hint="default" w:eastAsia="宋体"/>
                <w:szCs w:val="21"/>
                <w:u w:val="none"/>
                <w:lang w:val="en-US" w:eastAsia="zh-CN"/>
              </w:rPr>
            </w:pPr>
            <w:r>
              <w:rPr>
                <w:rFonts w:hint="default"/>
                <w:szCs w:val="21"/>
                <w:u w:val="none"/>
                <w:lang w:val="en-US" w:eastAsia="zh-CN"/>
              </w:rPr>
              <w:t>新技术、新设备应用</w:t>
            </w:r>
            <w:r>
              <w:rPr>
                <w:rFonts w:hint="default"/>
                <w:szCs w:val="21"/>
                <w:u w:val="single"/>
                <w:lang w:val="en-US" w:eastAsia="zh-CN"/>
              </w:rPr>
              <w:t>：10分</w:t>
            </w:r>
          </w:p>
          <w:p>
            <w:pPr>
              <w:keepNext/>
              <w:keepLines/>
              <w:spacing w:before="120" w:after="120" w:line="370" w:lineRule="atLeast"/>
              <w:outlineLvl w:val="2"/>
              <w:rPr>
                <w:szCs w:val="21"/>
              </w:rPr>
            </w:pPr>
            <w:bookmarkStart w:id="28" w:name="_Toc26088"/>
            <w:bookmarkStart w:id="29" w:name="_Toc8665"/>
            <w:r>
              <w:rPr>
                <w:rFonts w:hint="eastAsia"/>
                <w:szCs w:val="21"/>
              </w:rPr>
              <w:t>企业业绩：</w:t>
            </w:r>
            <w:r>
              <w:rPr>
                <w:szCs w:val="21"/>
                <w:u w:val="single"/>
              </w:rPr>
              <w:t xml:space="preserve"> </w:t>
            </w:r>
            <w:r>
              <w:rPr>
                <w:rFonts w:hint="eastAsia"/>
                <w:szCs w:val="21"/>
                <w:u w:val="single"/>
                <w:lang w:val="en-US" w:eastAsia="zh-CN"/>
              </w:rPr>
              <w:t>2</w:t>
            </w:r>
            <w:r>
              <w:rPr>
                <w:rFonts w:hint="eastAsia"/>
                <w:szCs w:val="21"/>
                <w:u w:val="single"/>
              </w:rPr>
              <w:t>2</w:t>
            </w:r>
            <w:r>
              <w:rPr>
                <w:szCs w:val="21"/>
                <w:u w:val="single"/>
              </w:rPr>
              <w:t xml:space="preserve"> </w:t>
            </w:r>
            <w:r>
              <w:rPr>
                <w:rFonts w:hint="eastAsia"/>
                <w:szCs w:val="21"/>
              </w:rPr>
              <w:t>分</w:t>
            </w:r>
            <w:bookmarkEnd w:id="28"/>
            <w:bookmarkEnd w:id="29"/>
          </w:p>
          <w:p>
            <w:pPr>
              <w:keepNext/>
              <w:keepLines/>
              <w:spacing w:before="120" w:after="120" w:line="370" w:lineRule="atLeast"/>
              <w:jc w:val="left"/>
              <w:outlineLvl w:val="2"/>
              <w:rPr>
                <w:szCs w:val="21"/>
              </w:rPr>
            </w:pPr>
            <w:bookmarkStart w:id="30" w:name="_Toc12509"/>
            <w:bookmarkStart w:id="31" w:name="_Toc3413"/>
            <w:r>
              <w:rPr>
                <w:rFonts w:hint="eastAsia" w:ascii="宋体" w:cs="宋体"/>
                <w:spacing w:val="-1"/>
                <w:szCs w:val="21"/>
              </w:rPr>
              <w:t>履</w:t>
            </w:r>
            <w:r>
              <w:rPr>
                <w:rFonts w:hint="eastAsia" w:ascii="宋体" w:cs="宋体"/>
                <w:spacing w:val="2"/>
                <w:szCs w:val="21"/>
              </w:rPr>
              <w:t>约</w:t>
            </w:r>
            <w:r>
              <w:rPr>
                <w:rFonts w:hint="eastAsia" w:ascii="宋体" w:cs="宋体"/>
                <w:spacing w:val="-1"/>
                <w:szCs w:val="21"/>
              </w:rPr>
              <w:t>信</w:t>
            </w:r>
            <w:r>
              <w:rPr>
                <w:rFonts w:hint="eastAsia" w:ascii="宋体" w:cs="宋体"/>
                <w:spacing w:val="2"/>
                <w:szCs w:val="21"/>
              </w:rPr>
              <w:t>誉</w:t>
            </w:r>
            <w:r>
              <w:rPr>
                <w:rFonts w:hint="eastAsia" w:ascii="宋体" w:cs="宋体"/>
                <w:spacing w:val="-1"/>
                <w:szCs w:val="21"/>
              </w:rPr>
              <w:t>：</w:t>
            </w:r>
            <w:r>
              <w:rPr>
                <w:rFonts w:ascii="宋体" w:cs="宋体"/>
                <w:spacing w:val="-7"/>
                <w:szCs w:val="21"/>
              </w:rPr>
              <w:t xml:space="preserve"> </w:t>
            </w:r>
            <w:r>
              <w:rPr>
                <w:rFonts w:hint="eastAsia"/>
                <w:szCs w:val="21"/>
                <w:u w:val="single"/>
              </w:rPr>
              <w:t>3</w:t>
            </w:r>
            <w:r>
              <w:rPr>
                <w:rFonts w:hint="eastAsia" w:ascii="宋体" w:cs="宋体"/>
                <w:szCs w:val="21"/>
              </w:rPr>
              <w:t>分</w:t>
            </w:r>
            <w:bookmarkEnd w:id="30"/>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990" w:type="dxa"/>
            <w:noWrap w:val="0"/>
            <w:vAlign w:val="center"/>
          </w:tcPr>
          <w:p>
            <w:pPr>
              <w:spacing w:line="380" w:lineRule="atLeast"/>
              <w:jc w:val="center"/>
              <w:rPr>
                <w:szCs w:val="21"/>
              </w:rPr>
            </w:pPr>
            <w:r>
              <w:rPr>
                <w:szCs w:val="21"/>
                <w:lang w:bidi="ar"/>
              </w:rPr>
              <w:t>2.2.3</w:t>
            </w:r>
          </w:p>
        </w:tc>
        <w:tc>
          <w:tcPr>
            <w:tcW w:w="1529" w:type="dxa"/>
            <w:noWrap w:val="0"/>
            <w:vAlign w:val="center"/>
          </w:tcPr>
          <w:p>
            <w:pPr>
              <w:spacing w:line="380" w:lineRule="atLeast"/>
              <w:jc w:val="center"/>
              <w:rPr>
                <w:szCs w:val="21"/>
              </w:rPr>
            </w:pPr>
            <w:r>
              <w:rPr>
                <w:rFonts w:hint="eastAsia" w:cs="宋体"/>
                <w:szCs w:val="21"/>
                <w:lang w:bidi="ar"/>
              </w:rPr>
              <w:t>第二个信封详细评审标准</w:t>
            </w:r>
          </w:p>
        </w:tc>
        <w:tc>
          <w:tcPr>
            <w:tcW w:w="6768" w:type="dxa"/>
            <w:noWrap w:val="0"/>
            <w:vAlign w:val="center"/>
          </w:tcPr>
          <w:p>
            <w:pPr>
              <w:spacing w:line="360" w:lineRule="atLeast"/>
              <w:rPr>
                <w:rFonts w:cs="宋体"/>
                <w:szCs w:val="21"/>
                <w:lang w:bidi="ar"/>
              </w:rPr>
            </w:pPr>
          </w:p>
          <w:p>
            <w:pPr>
              <w:spacing w:line="360" w:lineRule="atLeast"/>
              <w:rPr>
                <w:rFonts w:cs="宋体"/>
                <w:szCs w:val="21"/>
                <w:lang w:bidi="ar"/>
              </w:rPr>
            </w:pPr>
          </w:p>
          <w:p>
            <w:pPr>
              <w:spacing w:line="360" w:lineRule="atLeast"/>
              <w:rPr>
                <w:rFonts w:cs="宋体"/>
                <w:szCs w:val="21"/>
                <w:lang w:bidi="ar"/>
              </w:rPr>
            </w:pPr>
            <w:r>
              <w:rPr>
                <w:rFonts w:hint="eastAsia" w:cs="宋体"/>
                <w:szCs w:val="21"/>
                <w:lang w:bidi="ar"/>
              </w:rPr>
              <w:t>评标价计算公式：评标价＝修正后的投标报价-暂估价-暂列金额</w:t>
            </w:r>
          </w:p>
          <w:p>
            <w:pPr>
              <w:spacing w:line="360" w:lineRule="atLeast"/>
              <w:rPr>
                <w:rFonts w:cs="宋体"/>
                <w:szCs w:val="21"/>
                <w:lang w:bidi="ar"/>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22" w:hRule="atLeast"/>
        </w:trPr>
        <w:tc>
          <w:tcPr>
            <w:tcW w:w="990" w:type="dxa"/>
            <w:noWrap w:val="0"/>
            <w:vAlign w:val="center"/>
          </w:tcPr>
          <w:p>
            <w:pPr>
              <w:spacing w:line="380" w:lineRule="atLeast"/>
              <w:jc w:val="center"/>
              <w:rPr>
                <w:szCs w:val="21"/>
              </w:rPr>
            </w:pPr>
            <w:r>
              <w:rPr>
                <w:szCs w:val="21"/>
                <w:lang w:bidi="ar"/>
              </w:rPr>
              <w:t>3.2.4</w:t>
            </w:r>
          </w:p>
        </w:tc>
        <w:tc>
          <w:tcPr>
            <w:tcW w:w="1529" w:type="dxa"/>
            <w:noWrap w:val="0"/>
            <w:vAlign w:val="center"/>
          </w:tcPr>
          <w:p>
            <w:pPr>
              <w:spacing w:line="380" w:lineRule="atLeast"/>
              <w:jc w:val="center"/>
              <w:rPr>
                <w:szCs w:val="21"/>
              </w:rPr>
            </w:pPr>
            <w:r>
              <w:rPr>
                <w:rFonts w:hint="eastAsia" w:cs="宋体"/>
                <w:szCs w:val="21"/>
                <w:lang w:bidi="ar"/>
              </w:rPr>
              <w:t>通过第一个信封详细评审的投标人数量</w:t>
            </w:r>
          </w:p>
        </w:tc>
        <w:tc>
          <w:tcPr>
            <w:tcW w:w="6768" w:type="dxa"/>
            <w:noWrap w:val="0"/>
            <w:vAlign w:val="center"/>
          </w:tcPr>
          <w:p>
            <w:pPr>
              <w:spacing w:line="360" w:lineRule="atLeast"/>
              <w:ind w:firstLine="420" w:firstLineChars="200"/>
              <w:rPr>
                <w:rFonts w:hint="eastAsia" w:cs="宋体"/>
                <w:szCs w:val="21"/>
                <w:lang w:bidi="ar"/>
              </w:rPr>
            </w:pPr>
            <w:r>
              <w:rPr>
                <w:rFonts w:hint="eastAsia" w:cs="宋体"/>
                <w:szCs w:val="21"/>
                <w:lang w:bidi="ar"/>
              </w:rPr>
              <w:t>按照投标人的商务和技术得分由高到低排序，选择前</w:t>
            </w:r>
            <w:r>
              <w:rPr>
                <w:szCs w:val="21"/>
                <w:lang w:bidi="ar"/>
              </w:rPr>
              <w:t xml:space="preserve"> </w:t>
            </w:r>
            <w:r>
              <w:rPr>
                <w:rFonts w:hint="eastAsia"/>
                <w:szCs w:val="21"/>
                <w:lang w:bidi="ar"/>
              </w:rPr>
              <w:t>3</w:t>
            </w:r>
            <w:r>
              <w:rPr>
                <w:szCs w:val="21"/>
                <w:lang w:bidi="ar"/>
              </w:rPr>
              <w:t xml:space="preserve"> </w:t>
            </w:r>
            <w:r>
              <w:rPr>
                <w:rFonts w:hint="eastAsia" w:cs="宋体"/>
                <w:szCs w:val="21"/>
                <w:lang w:bidi="ar"/>
              </w:rPr>
              <w:t>名</w:t>
            </w:r>
            <w:r>
              <w:rPr>
                <w:rFonts w:hint="eastAsia" w:cs="宋体"/>
                <w:szCs w:val="21"/>
              </w:rPr>
              <w:t>通过详细</w:t>
            </w:r>
            <w:r>
              <w:rPr>
                <w:rFonts w:hint="eastAsia" w:cs="宋体"/>
                <w:szCs w:val="21"/>
                <w:lang w:bidi="ar"/>
              </w:rPr>
              <w:t>评审。</w:t>
            </w:r>
          </w:p>
          <w:p>
            <w:pPr>
              <w:spacing w:line="360" w:lineRule="atLeast"/>
              <w:ind w:firstLine="420" w:firstLineChars="200"/>
              <w:rPr>
                <w:szCs w:val="21"/>
              </w:rPr>
            </w:pPr>
            <w:r>
              <w:rPr>
                <w:rFonts w:hint="eastAsia" w:cs="宋体"/>
                <w:szCs w:val="21"/>
                <w:lang w:bidi="ar"/>
              </w:rPr>
              <w:t>注：综合得分前3名的投标人数量为开启报价文件的最大数量（</w:t>
            </w:r>
            <w:r>
              <w:rPr>
                <w:rFonts w:hint="eastAsia" w:cs="宋体"/>
                <w:b/>
                <w:bCs/>
                <w:szCs w:val="21"/>
                <w:lang w:bidi="ar"/>
              </w:rPr>
              <w:t>且开启报价文件的投标人数量不得少于3家</w:t>
            </w:r>
            <w:r>
              <w:rPr>
                <w:rFonts w:hint="eastAsia" w:cs="宋体"/>
                <w:szCs w:val="21"/>
                <w:lang w:bidi="ar"/>
              </w:rPr>
              <w:t>），不因出现综合得分相同时增加开启第二信封报价文件的投标人数量，若前3名范围内综合得分相同的投标人数量大于开启报价文件所剩名额时，以投标人信用评价等级高的优先，若信用评价等级相同，以第一信封商务和技术评审分值高的优先。</w:t>
            </w:r>
          </w:p>
        </w:tc>
      </w:tr>
    </w:tbl>
    <w:p/>
    <w:p>
      <w:pPr>
        <w:pStyle w:val="4"/>
      </w:pPr>
    </w:p>
    <w:tbl>
      <w:tblPr>
        <w:tblStyle w:val="9"/>
        <w:tblW w:w="928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6"/>
        <w:gridCol w:w="708"/>
        <w:gridCol w:w="1079"/>
        <w:gridCol w:w="1235"/>
        <w:gridCol w:w="619"/>
        <w:gridCol w:w="469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blHeader/>
        </w:trPr>
        <w:tc>
          <w:tcPr>
            <w:tcW w:w="4597" w:type="dxa"/>
            <w:gridSpan w:val="5"/>
            <w:noWrap w:val="0"/>
            <w:vAlign w:val="top"/>
          </w:tcPr>
          <w:p>
            <w:pPr>
              <w:spacing w:line="380" w:lineRule="atLeast"/>
              <w:jc w:val="center"/>
              <w:rPr>
                <w:rFonts w:eastAsia="黑体"/>
                <w:szCs w:val="21"/>
              </w:rPr>
            </w:pPr>
            <w:r>
              <w:rPr>
                <w:rFonts w:hint="eastAsia" w:eastAsia="黑体"/>
                <w:szCs w:val="21"/>
              </w:rPr>
              <w:t>评分因素与权重分值</w:t>
            </w:r>
          </w:p>
        </w:tc>
        <w:tc>
          <w:tcPr>
            <w:tcW w:w="4690" w:type="dxa"/>
            <w:vMerge w:val="restart"/>
            <w:noWrap w:val="0"/>
            <w:vAlign w:val="center"/>
          </w:tcPr>
          <w:p>
            <w:pPr>
              <w:spacing w:line="380" w:lineRule="atLeast"/>
              <w:jc w:val="center"/>
              <w:rPr>
                <w:rFonts w:eastAsia="黑体"/>
                <w:szCs w:val="21"/>
              </w:rPr>
            </w:pPr>
            <w:r>
              <w:rPr>
                <w:rFonts w:hint="eastAsia" w:eastAsia="黑体"/>
                <w:szCs w:val="21"/>
              </w:rPr>
              <w:t>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blHeader/>
        </w:trPr>
        <w:tc>
          <w:tcPr>
            <w:tcW w:w="956" w:type="dxa"/>
            <w:noWrap w:val="0"/>
            <w:vAlign w:val="center"/>
          </w:tcPr>
          <w:p>
            <w:pPr>
              <w:spacing w:line="380" w:lineRule="atLeast"/>
              <w:jc w:val="center"/>
              <w:rPr>
                <w:rFonts w:eastAsia="黑体"/>
                <w:szCs w:val="21"/>
              </w:rPr>
            </w:pPr>
            <w:r>
              <w:rPr>
                <w:rFonts w:hint="eastAsia" w:eastAsia="黑体"/>
                <w:szCs w:val="21"/>
              </w:rPr>
              <w:t>条款号</w:t>
            </w:r>
          </w:p>
        </w:tc>
        <w:tc>
          <w:tcPr>
            <w:tcW w:w="708" w:type="dxa"/>
            <w:noWrap w:val="0"/>
            <w:vAlign w:val="center"/>
          </w:tcPr>
          <w:p>
            <w:pPr>
              <w:spacing w:line="380" w:lineRule="atLeast"/>
              <w:jc w:val="center"/>
              <w:rPr>
                <w:rFonts w:eastAsia="黑体"/>
                <w:szCs w:val="21"/>
              </w:rPr>
            </w:pPr>
            <w:r>
              <w:rPr>
                <w:rFonts w:hint="eastAsia" w:eastAsia="黑体"/>
                <w:szCs w:val="21"/>
              </w:rPr>
              <w:t>评分因素</w:t>
            </w:r>
          </w:p>
        </w:tc>
        <w:tc>
          <w:tcPr>
            <w:tcW w:w="1079" w:type="dxa"/>
            <w:noWrap w:val="0"/>
            <w:vAlign w:val="center"/>
          </w:tcPr>
          <w:p>
            <w:pPr>
              <w:spacing w:line="380" w:lineRule="atLeast"/>
              <w:ind w:left="-105" w:leftChars="-50" w:right="-105" w:rightChars="-50"/>
              <w:jc w:val="center"/>
              <w:rPr>
                <w:rFonts w:eastAsia="黑体"/>
                <w:szCs w:val="21"/>
              </w:rPr>
            </w:pPr>
            <w:r>
              <w:rPr>
                <w:rFonts w:hint="eastAsia" w:eastAsia="黑体"/>
                <w:szCs w:val="21"/>
              </w:rPr>
              <w:t>评分因素权重分值</w:t>
            </w:r>
          </w:p>
        </w:tc>
        <w:tc>
          <w:tcPr>
            <w:tcW w:w="1235" w:type="dxa"/>
            <w:noWrap w:val="0"/>
            <w:vAlign w:val="center"/>
          </w:tcPr>
          <w:p>
            <w:pPr>
              <w:spacing w:line="380" w:lineRule="atLeast"/>
              <w:jc w:val="center"/>
              <w:rPr>
                <w:rFonts w:eastAsia="黑体"/>
                <w:szCs w:val="21"/>
              </w:rPr>
            </w:pPr>
            <w:r>
              <w:rPr>
                <w:rFonts w:hint="eastAsia" w:eastAsia="黑体"/>
                <w:szCs w:val="21"/>
              </w:rPr>
              <w:t>各评分因素细分项</w:t>
            </w:r>
          </w:p>
        </w:tc>
        <w:tc>
          <w:tcPr>
            <w:tcW w:w="619" w:type="dxa"/>
            <w:noWrap w:val="0"/>
            <w:vAlign w:val="center"/>
          </w:tcPr>
          <w:p>
            <w:pPr>
              <w:spacing w:line="380" w:lineRule="atLeast"/>
              <w:jc w:val="center"/>
              <w:rPr>
                <w:rFonts w:eastAsia="黑体"/>
                <w:szCs w:val="21"/>
              </w:rPr>
            </w:pPr>
            <w:r>
              <w:rPr>
                <w:rFonts w:hint="eastAsia" w:eastAsia="黑体"/>
                <w:szCs w:val="21"/>
              </w:rPr>
              <w:t>分值</w:t>
            </w:r>
          </w:p>
        </w:tc>
        <w:tc>
          <w:tcPr>
            <w:tcW w:w="4690" w:type="dxa"/>
            <w:vMerge w:val="continue"/>
            <w:noWrap w:val="0"/>
            <w:vAlign w:val="top"/>
          </w:tcPr>
          <w:p>
            <w:pPr>
              <w:keepNext/>
              <w:keepLines/>
              <w:spacing w:before="340" w:after="330" w:line="380" w:lineRule="atLeast"/>
              <w:jc w:val="center"/>
              <w:outlineLvl w:val="0"/>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956" w:type="dxa"/>
            <w:vMerge w:val="restart"/>
            <w:noWrap w:val="0"/>
            <w:vAlign w:val="center"/>
          </w:tcPr>
          <w:p>
            <w:pPr>
              <w:spacing w:line="380" w:lineRule="atLeast"/>
              <w:jc w:val="center"/>
              <w:rPr>
                <w:szCs w:val="21"/>
              </w:rPr>
            </w:pPr>
            <w:r>
              <w:rPr>
                <w:szCs w:val="21"/>
                <w:lang w:bidi="ar"/>
              </w:rPr>
              <w:t>2.2.2</w:t>
            </w:r>
            <w:r>
              <w:rPr>
                <w:rFonts w:hint="eastAsia" w:cs="宋体"/>
                <w:szCs w:val="21"/>
                <w:lang w:bidi="ar"/>
              </w:rPr>
              <w:t>（</w:t>
            </w:r>
            <w:r>
              <w:rPr>
                <w:szCs w:val="21"/>
                <w:lang w:bidi="ar"/>
              </w:rPr>
              <w:t>1</w:t>
            </w:r>
            <w:r>
              <w:rPr>
                <w:rFonts w:hint="eastAsia" w:cs="宋体"/>
                <w:szCs w:val="21"/>
                <w:lang w:bidi="ar"/>
              </w:rPr>
              <w:t>）</w:t>
            </w:r>
          </w:p>
        </w:tc>
        <w:tc>
          <w:tcPr>
            <w:tcW w:w="708" w:type="dxa"/>
            <w:vMerge w:val="restart"/>
            <w:noWrap w:val="0"/>
            <w:vAlign w:val="center"/>
          </w:tcPr>
          <w:p>
            <w:pPr>
              <w:spacing w:line="380" w:lineRule="atLeast"/>
              <w:jc w:val="center"/>
              <w:rPr>
                <w:szCs w:val="21"/>
              </w:rPr>
            </w:pPr>
            <w:r>
              <w:rPr>
                <w:rFonts w:hint="eastAsia"/>
                <w:szCs w:val="21"/>
              </w:rPr>
              <w:t>养护组织计划</w:t>
            </w:r>
          </w:p>
        </w:tc>
        <w:tc>
          <w:tcPr>
            <w:tcW w:w="1079" w:type="dxa"/>
            <w:vMerge w:val="restart"/>
            <w:noWrap w:val="0"/>
            <w:vAlign w:val="center"/>
          </w:tcPr>
          <w:p>
            <w:pPr>
              <w:spacing w:line="380" w:lineRule="atLeast"/>
              <w:jc w:val="center"/>
              <w:rPr>
                <w:szCs w:val="21"/>
              </w:rPr>
            </w:pPr>
            <w:r>
              <w:rPr>
                <w:rFonts w:hint="eastAsia"/>
                <w:szCs w:val="21"/>
              </w:rPr>
              <w:t>40</w:t>
            </w:r>
          </w:p>
        </w:tc>
        <w:tc>
          <w:tcPr>
            <w:tcW w:w="1235" w:type="dxa"/>
            <w:noWrap w:val="0"/>
            <w:vAlign w:val="center"/>
          </w:tcPr>
          <w:p>
            <w:pPr>
              <w:spacing w:line="400" w:lineRule="exact"/>
              <w:ind w:left="6" w:right="113"/>
              <w:jc w:val="center"/>
              <w:rPr>
                <w:szCs w:val="21"/>
              </w:rPr>
            </w:pPr>
            <w:r>
              <w:rPr>
                <w:rFonts w:hint="eastAsia"/>
                <w:szCs w:val="21"/>
              </w:rPr>
              <w:t>养护总体计划</w:t>
            </w:r>
          </w:p>
        </w:tc>
        <w:tc>
          <w:tcPr>
            <w:tcW w:w="619" w:type="dxa"/>
            <w:noWrap w:val="0"/>
            <w:vAlign w:val="center"/>
          </w:tcPr>
          <w:p>
            <w:pPr>
              <w:spacing w:line="380" w:lineRule="atLeast"/>
              <w:jc w:val="center"/>
              <w:rPr>
                <w:szCs w:val="21"/>
              </w:rPr>
            </w:pPr>
            <w:r>
              <w:rPr>
                <w:rFonts w:hint="eastAsia"/>
                <w:szCs w:val="21"/>
              </w:rPr>
              <w:t>6</w:t>
            </w:r>
          </w:p>
        </w:tc>
        <w:tc>
          <w:tcPr>
            <w:tcW w:w="4690" w:type="dxa"/>
            <w:vMerge w:val="restart"/>
            <w:noWrap w:val="0"/>
            <w:vAlign w:val="center"/>
          </w:tcPr>
          <w:p>
            <w:pPr>
              <w:spacing w:line="400" w:lineRule="exact"/>
              <w:ind w:left="6" w:right="113"/>
              <w:rPr>
                <w:rFonts w:hint="eastAsia"/>
                <w:szCs w:val="21"/>
              </w:rPr>
            </w:pPr>
            <w:r>
              <w:rPr>
                <w:rFonts w:hint="eastAsia"/>
                <w:szCs w:val="21"/>
              </w:rPr>
              <w:t>按4个等级评定：</w:t>
            </w:r>
          </w:p>
          <w:p>
            <w:pPr>
              <w:spacing w:line="400" w:lineRule="exact"/>
              <w:ind w:left="6" w:right="113"/>
              <w:rPr>
                <w:rFonts w:hint="eastAsia"/>
                <w:szCs w:val="21"/>
              </w:rPr>
            </w:pPr>
            <w:r>
              <w:rPr>
                <w:rFonts w:hint="eastAsia"/>
                <w:szCs w:val="21"/>
              </w:rPr>
              <w:t>“很好”计分值的90%~100%；</w:t>
            </w:r>
          </w:p>
          <w:p>
            <w:pPr>
              <w:spacing w:line="400" w:lineRule="exact"/>
              <w:ind w:left="6" w:right="113"/>
              <w:rPr>
                <w:rFonts w:hint="eastAsia"/>
                <w:szCs w:val="21"/>
              </w:rPr>
            </w:pPr>
            <w:r>
              <w:rPr>
                <w:rFonts w:hint="eastAsia"/>
                <w:szCs w:val="21"/>
              </w:rPr>
              <w:t>“较好”计80~90%；</w:t>
            </w:r>
          </w:p>
          <w:p>
            <w:pPr>
              <w:spacing w:line="400" w:lineRule="exact"/>
              <w:ind w:left="6" w:right="113"/>
              <w:rPr>
                <w:rFonts w:hint="eastAsia"/>
                <w:szCs w:val="21"/>
              </w:rPr>
            </w:pPr>
            <w:r>
              <w:rPr>
                <w:rFonts w:hint="eastAsia"/>
                <w:szCs w:val="21"/>
              </w:rPr>
              <w:t>“一般”计70%~80%；</w:t>
            </w:r>
          </w:p>
          <w:p>
            <w:pPr>
              <w:spacing w:line="400" w:lineRule="exact"/>
              <w:ind w:left="6" w:right="113"/>
              <w:rPr>
                <w:rFonts w:hint="eastAsia"/>
                <w:szCs w:val="21"/>
              </w:rPr>
            </w:pPr>
            <w:r>
              <w:rPr>
                <w:rFonts w:hint="eastAsia"/>
                <w:szCs w:val="21"/>
              </w:rPr>
              <w:t>“较差但可行”计60%~70%。</w:t>
            </w:r>
          </w:p>
          <w:p>
            <w:pPr>
              <w:spacing w:line="400" w:lineRule="exact"/>
              <w:ind w:left="6" w:right="113"/>
              <w:rPr>
                <w:rFonts w:hint="eastAsia"/>
                <w:szCs w:val="21"/>
              </w:rPr>
            </w:pPr>
            <w:r>
              <w:rPr>
                <w:rFonts w:hint="eastAsia"/>
                <w:szCs w:val="21"/>
              </w:rPr>
              <w:t>按4个等级评定：</w:t>
            </w:r>
          </w:p>
          <w:p>
            <w:pPr>
              <w:spacing w:line="400" w:lineRule="exact"/>
              <w:ind w:left="6" w:right="113"/>
              <w:rPr>
                <w:rFonts w:hint="eastAsia"/>
                <w:szCs w:val="21"/>
              </w:rPr>
            </w:pPr>
            <w:r>
              <w:rPr>
                <w:rFonts w:hint="eastAsia"/>
                <w:szCs w:val="21"/>
              </w:rPr>
              <w:t>“很好”计分值的90%~100%；</w:t>
            </w:r>
          </w:p>
          <w:p>
            <w:pPr>
              <w:spacing w:line="400" w:lineRule="exact"/>
              <w:ind w:left="6" w:right="113"/>
              <w:rPr>
                <w:rFonts w:hint="eastAsia"/>
                <w:szCs w:val="21"/>
              </w:rPr>
            </w:pPr>
            <w:r>
              <w:rPr>
                <w:rFonts w:hint="eastAsia"/>
                <w:szCs w:val="21"/>
              </w:rPr>
              <w:t>“较好”计80~90%；</w:t>
            </w:r>
          </w:p>
          <w:p>
            <w:pPr>
              <w:spacing w:line="400" w:lineRule="exact"/>
              <w:ind w:left="6" w:right="113"/>
              <w:rPr>
                <w:rFonts w:hint="eastAsia"/>
                <w:szCs w:val="21"/>
              </w:rPr>
            </w:pPr>
            <w:r>
              <w:rPr>
                <w:rFonts w:hint="eastAsia"/>
                <w:szCs w:val="21"/>
              </w:rPr>
              <w:t>“一般”计70%~80%；</w:t>
            </w:r>
          </w:p>
          <w:p>
            <w:pPr>
              <w:spacing w:line="400" w:lineRule="exact"/>
              <w:ind w:left="6" w:right="113"/>
              <w:rPr>
                <w:rFonts w:hint="eastAsia"/>
                <w:szCs w:val="21"/>
              </w:rPr>
            </w:pPr>
            <w:r>
              <w:rPr>
                <w:rFonts w:hint="eastAsia"/>
                <w:szCs w:val="21"/>
              </w:rPr>
              <w:t>“较差但可行”计60%~70%。</w:t>
            </w:r>
          </w:p>
          <w:p>
            <w:pPr>
              <w:spacing w:line="400" w:lineRule="exact"/>
              <w:ind w:left="6" w:right="113"/>
              <w:rPr>
                <w:szCs w:val="21"/>
              </w:rPr>
            </w:pPr>
            <w:r>
              <w:rPr>
                <w:rFonts w:hint="eastAsia"/>
                <w:szCs w:val="21"/>
              </w:rPr>
              <w:t>注：本项下各评分因素细分项由评标委员会按照上述规定，独立评分并签名，各评分因素细分项得分一般不得低于其满分的60%，评标委员会成员对某一项评分因素细分项的评分低于权重分值60%的，应在评标报告中做出说明。各评分因素细分项得分应以评标委员会各成员打分的平均值确定（当评标委员会为5人时，该平均值以各成员打分的算术平均值确定；当评标委员会为7人及以上时，该平均值以去掉一个最高分和一个最低分后计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956" w:type="dxa"/>
            <w:vMerge w:val="continue"/>
            <w:noWrap w:val="0"/>
            <w:vAlign w:val="center"/>
          </w:tcPr>
          <w:p>
            <w:pPr>
              <w:keepNext/>
              <w:keepLines/>
              <w:spacing w:before="120" w:after="120" w:line="380" w:lineRule="atLeast"/>
              <w:jc w:val="center"/>
              <w:outlineLvl w:val="2"/>
              <w:rPr>
                <w:szCs w:val="21"/>
              </w:rPr>
            </w:pPr>
          </w:p>
        </w:tc>
        <w:tc>
          <w:tcPr>
            <w:tcW w:w="708" w:type="dxa"/>
            <w:vMerge w:val="continue"/>
            <w:noWrap w:val="0"/>
            <w:vAlign w:val="center"/>
          </w:tcPr>
          <w:p>
            <w:pPr>
              <w:keepNext/>
              <w:keepLines/>
              <w:spacing w:before="120" w:after="120" w:line="380" w:lineRule="atLeast"/>
              <w:jc w:val="center"/>
              <w:outlineLvl w:val="2"/>
              <w:rPr>
                <w:szCs w:val="21"/>
              </w:rPr>
            </w:pPr>
          </w:p>
        </w:tc>
        <w:tc>
          <w:tcPr>
            <w:tcW w:w="1079" w:type="dxa"/>
            <w:vMerge w:val="continue"/>
            <w:noWrap w:val="0"/>
            <w:vAlign w:val="center"/>
          </w:tcPr>
          <w:p>
            <w:pPr>
              <w:keepNext/>
              <w:keepLines/>
              <w:spacing w:before="120" w:after="120" w:line="380" w:lineRule="atLeast"/>
              <w:jc w:val="right"/>
              <w:outlineLvl w:val="2"/>
              <w:rPr>
                <w:szCs w:val="21"/>
                <w:u w:val="single"/>
              </w:rPr>
            </w:pPr>
          </w:p>
        </w:tc>
        <w:tc>
          <w:tcPr>
            <w:tcW w:w="1235" w:type="dxa"/>
            <w:noWrap w:val="0"/>
            <w:vAlign w:val="center"/>
          </w:tcPr>
          <w:p>
            <w:pPr>
              <w:spacing w:line="400" w:lineRule="exact"/>
              <w:ind w:left="6" w:right="113"/>
              <w:jc w:val="center"/>
              <w:rPr>
                <w:szCs w:val="21"/>
              </w:rPr>
            </w:pPr>
            <w:r>
              <w:rPr>
                <w:rFonts w:hint="eastAsia"/>
                <w:szCs w:val="21"/>
              </w:rPr>
              <w:t>质量保证措施</w:t>
            </w:r>
          </w:p>
        </w:tc>
        <w:tc>
          <w:tcPr>
            <w:tcW w:w="619" w:type="dxa"/>
            <w:noWrap w:val="0"/>
            <w:vAlign w:val="center"/>
          </w:tcPr>
          <w:p>
            <w:pPr>
              <w:spacing w:line="380" w:lineRule="atLeast"/>
              <w:jc w:val="center"/>
              <w:rPr>
                <w:szCs w:val="21"/>
              </w:rPr>
            </w:pPr>
            <w:r>
              <w:rPr>
                <w:rFonts w:hint="eastAsia"/>
                <w:szCs w:val="21"/>
              </w:rPr>
              <w:t>6</w:t>
            </w:r>
          </w:p>
        </w:tc>
        <w:tc>
          <w:tcPr>
            <w:tcW w:w="4690" w:type="dxa"/>
            <w:vMerge w:val="continue"/>
            <w:noWrap w:val="0"/>
            <w:vAlign w:val="center"/>
          </w:tcPr>
          <w:p>
            <w:pPr>
              <w:spacing w:line="400" w:lineRule="exact"/>
              <w:ind w:left="6" w:right="113"/>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956" w:type="dxa"/>
            <w:vMerge w:val="continue"/>
            <w:noWrap w:val="0"/>
            <w:vAlign w:val="center"/>
          </w:tcPr>
          <w:p>
            <w:pPr>
              <w:keepNext/>
              <w:keepLines/>
              <w:spacing w:before="120" w:after="120" w:line="380" w:lineRule="atLeast"/>
              <w:jc w:val="center"/>
              <w:outlineLvl w:val="2"/>
              <w:rPr>
                <w:szCs w:val="21"/>
              </w:rPr>
            </w:pPr>
          </w:p>
        </w:tc>
        <w:tc>
          <w:tcPr>
            <w:tcW w:w="708" w:type="dxa"/>
            <w:vMerge w:val="continue"/>
            <w:noWrap w:val="0"/>
            <w:vAlign w:val="center"/>
          </w:tcPr>
          <w:p>
            <w:pPr>
              <w:keepNext/>
              <w:keepLines/>
              <w:spacing w:before="120" w:after="120" w:line="380" w:lineRule="atLeast"/>
              <w:jc w:val="center"/>
              <w:outlineLvl w:val="2"/>
              <w:rPr>
                <w:szCs w:val="21"/>
              </w:rPr>
            </w:pPr>
          </w:p>
        </w:tc>
        <w:tc>
          <w:tcPr>
            <w:tcW w:w="1079" w:type="dxa"/>
            <w:vMerge w:val="continue"/>
            <w:noWrap w:val="0"/>
            <w:vAlign w:val="center"/>
          </w:tcPr>
          <w:p>
            <w:pPr>
              <w:keepNext/>
              <w:keepLines/>
              <w:spacing w:before="120" w:after="120" w:line="380" w:lineRule="atLeast"/>
              <w:jc w:val="right"/>
              <w:outlineLvl w:val="2"/>
              <w:rPr>
                <w:szCs w:val="21"/>
                <w:u w:val="single"/>
              </w:rPr>
            </w:pPr>
          </w:p>
        </w:tc>
        <w:tc>
          <w:tcPr>
            <w:tcW w:w="1235" w:type="dxa"/>
            <w:noWrap w:val="0"/>
            <w:vAlign w:val="center"/>
          </w:tcPr>
          <w:p>
            <w:pPr>
              <w:spacing w:line="400" w:lineRule="exact"/>
              <w:ind w:left="6" w:right="113"/>
              <w:jc w:val="center"/>
              <w:rPr>
                <w:szCs w:val="21"/>
              </w:rPr>
            </w:pPr>
            <w:r>
              <w:rPr>
                <w:rFonts w:hint="eastAsia"/>
              </w:rPr>
              <w:t>人工保洁养护的措施</w:t>
            </w:r>
          </w:p>
        </w:tc>
        <w:tc>
          <w:tcPr>
            <w:tcW w:w="619" w:type="dxa"/>
            <w:noWrap w:val="0"/>
            <w:vAlign w:val="center"/>
          </w:tcPr>
          <w:p>
            <w:pPr>
              <w:spacing w:line="380" w:lineRule="atLeast"/>
              <w:jc w:val="center"/>
              <w:rPr>
                <w:szCs w:val="21"/>
              </w:rPr>
            </w:pPr>
            <w:r>
              <w:rPr>
                <w:rFonts w:hint="eastAsia"/>
                <w:szCs w:val="21"/>
              </w:rPr>
              <w:t>6</w:t>
            </w:r>
          </w:p>
        </w:tc>
        <w:tc>
          <w:tcPr>
            <w:tcW w:w="4690" w:type="dxa"/>
            <w:vMerge w:val="continue"/>
            <w:noWrap w:val="0"/>
            <w:vAlign w:val="center"/>
          </w:tcPr>
          <w:p>
            <w:pPr>
              <w:spacing w:line="400" w:lineRule="exact"/>
              <w:ind w:left="6" w:right="113"/>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956" w:type="dxa"/>
            <w:vMerge w:val="continue"/>
            <w:noWrap w:val="0"/>
            <w:vAlign w:val="center"/>
          </w:tcPr>
          <w:p>
            <w:pPr>
              <w:keepNext/>
              <w:keepLines/>
              <w:spacing w:before="120" w:after="120" w:line="380" w:lineRule="atLeast"/>
              <w:jc w:val="center"/>
              <w:outlineLvl w:val="2"/>
              <w:rPr>
                <w:szCs w:val="21"/>
              </w:rPr>
            </w:pPr>
          </w:p>
        </w:tc>
        <w:tc>
          <w:tcPr>
            <w:tcW w:w="708" w:type="dxa"/>
            <w:vMerge w:val="continue"/>
            <w:noWrap w:val="0"/>
            <w:vAlign w:val="center"/>
          </w:tcPr>
          <w:p>
            <w:pPr>
              <w:keepNext/>
              <w:keepLines/>
              <w:spacing w:before="120" w:after="120" w:line="380" w:lineRule="atLeast"/>
              <w:jc w:val="center"/>
              <w:outlineLvl w:val="2"/>
              <w:rPr>
                <w:szCs w:val="21"/>
              </w:rPr>
            </w:pPr>
          </w:p>
        </w:tc>
        <w:tc>
          <w:tcPr>
            <w:tcW w:w="1079" w:type="dxa"/>
            <w:vMerge w:val="continue"/>
            <w:noWrap w:val="0"/>
            <w:vAlign w:val="center"/>
          </w:tcPr>
          <w:p>
            <w:pPr>
              <w:keepNext/>
              <w:keepLines/>
              <w:spacing w:before="120" w:after="120" w:line="380" w:lineRule="atLeast"/>
              <w:jc w:val="right"/>
              <w:outlineLvl w:val="2"/>
              <w:rPr>
                <w:szCs w:val="21"/>
                <w:u w:val="single"/>
              </w:rPr>
            </w:pPr>
          </w:p>
        </w:tc>
        <w:tc>
          <w:tcPr>
            <w:tcW w:w="1235" w:type="dxa"/>
            <w:noWrap w:val="0"/>
            <w:vAlign w:val="center"/>
          </w:tcPr>
          <w:p>
            <w:pPr>
              <w:spacing w:line="400" w:lineRule="exact"/>
              <w:ind w:left="6" w:right="113"/>
              <w:jc w:val="center"/>
              <w:rPr>
                <w:szCs w:val="21"/>
              </w:rPr>
            </w:pPr>
            <w:r>
              <w:rPr>
                <w:rFonts w:hint="eastAsia"/>
                <w:szCs w:val="21"/>
              </w:rPr>
              <w:t>安全生产措施</w:t>
            </w:r>
          </w:p>
        </w:tc>
        <w:tc>
          <w:tcPr>
            <w:tcW w:w="619" w:type="dxa"/>
            <w:noWrap w:val="0"/>
            <w:vAlign w:val="center"/>
          </w:tcPr>
          <w:p>
            <w:pPr>
              <w:spacing w:line="380" w:lineRule="atLeast"/>
              <w:jc w:val="center"/>
              <w:rPr>
                <w:szCs w:val="21"/>
              </w:rPr>
            </w:pPr>
            <w:r>
              <w:rPr>
                <w:szCs w:val="21"/>
              </w:rPr>
              <w:t>6</w:t>
            </w:r>
          </w:p>
        </w:tc>
        <w:tc>
          <w:tcPr>
            <w:tcW w:w="4690" w:type="dxa"/>
            <w:vMerge w:val="continue"/>
            <w:noWrap w:val="0"/>
            <w:vAlign w:val="center"/>
          </w:tcPr>
          <w:p>
            <w:pPr>
              <w:spacing w:line="400" w:lineRule="exact"/>
              <w:ind w:left="6" w:right="113"/>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956" w:type="dxa"/>
            <w:vMerge w:val="continue"/>
            <w:noWrap w:val="0"/>
            <w:vAlign w:val="center"/>
          </w:tcPr>
          <w:p>
            <w:pPr>
              <w:keepNext/>
              <w:keepLines/>
              <w:spacing w:before="120" w:after="120" w:line="380" w:lineRule="atLeast"/>
              <w:jc w:val="center"/>
              <w:outlineLvl w:val="2"/>
              <w:rPr>
                <w:szCs w:val="21"/>
              </w:rPr>
            </w:pPr>
          </w:p>
        </w:tc>
        <w:tc>
          <w:tcPr>
            <w:tcW w:w="708" w:type="dxa"/>
            <w:vMerge w:val="continue"/>
            <w:noWrap w:val="0"/>
            <w:vAlign w:val="center"/>
          </w:tcPr>
          <w:p>
            <w:pPr>
              <w:keepNext/>
              <w:keepLines/>
              <w:spacing w:before="120" w:after="120" w:line="380" w:lineRule="atLeast"/>
              <w:jc w:val="center"/>
              <w:outlineLvl w:val="2"/>
              <w:rPr>
                <w:szCs w:val="21"/>
              </w:rPr>
            </w:pPr>
          </w:p>
        </w:tc>
        <w:tc>
          <w:tcPr>
            <w:tcW w:w="1079" w:type="dxa"/>
            <w:vMerge w:val="continue"/>
            <w:noWrap w:val="0"/>
            <w:vAlign w:val="center"/>
          </w:tcPr>
          <w:p>
            <w:pPr>
              <w:keepNext/>
              <w:keepLines/>
              <w:spacing w:before="120" w:after="120" w:line="380" w:lineRule="atLeast"/>
              <w:jc w:val="right"/>
              <w:outlineLvl w:val="2"/>
              <w:rPr>
                <w:szCs w:val="21"/>
                <w:u w:val="single"/>
              </w:rPr>
            </w:pPr>
          </w:p>
        </w:tc>
        <w:tc>
          <w:tcPr>
            <w:tcW w:w="1235" w:type="dxa"/>
            <w:noWrap w:val="0"/>
            <w:vAlign w:val="center"/>
          </w:tcPr>
          <w:p>
            <w:pPr>
              <w:spacing w:line="400" w:lineRule="exact"/>
              <w:ind w:left="6" w:right="113"/>
              <w:jc w:val="center"/>
              <w:rPr>
                <w:szCs w:val="21"/>
              </w:rPr>
            </w:pPr>
            <w:r>
              <w:rPr>
                <w:rFonts w:hint="eastAsia"/>
                <w:szCs w:val="21"/>
              </w:rPr>
              <w:t>养护工程应急预案</w:t>
            </w:r>
          </w:p>
        </w:tc>
        <w:tc>
          <w:tcPr>
            <w:tcW w:w="619" w:type="dxa"/>
            <w:noWrap w:val="0"/>
            <w:vAlign w:val="center"/>
          </w:tcPr>
          <w:p>
            <w:pPr>
              <w:spacing w:line="380" w:lineRule="atLeast"/>
              <w:jc w:val="center"/>
              <w:rPr>
                <w:szCs w:val="21"/>
              </w:rPr>
            </w:pPr>
            <w:r>
              <w:rPr>
                <w:szCs w:val="21"/>
              </w:rPr>
              <w:t>6</w:t>
            </w:r>
          </w:p>
        </w:tc>
        <w:tc>
          <w:tcPr>
            <w:tcW w:w="4690" w:type="dxa"/>
            <w:vMerge w:val="continue"/>
            <w:noWrap w:val="0"/>
            <w:vAlign w:val="center"/>
          </w:tcPr>
          <w:p>
            <w:pPr>
              <w:spacing w:line="400" w:lineRule="exact"/>
              <w:ind w:left="6" w:right="113"/>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956" w:type="dxa"/>
            <w:vMerge w:val="continue"/>
            <w:noWrap w:val="0"/>
            <w:vAlign w:val="center"/>
          </w:tcPr>
          <w:p>
            <w:pPr>
              <w:keepNext/>
              <w:keepLines/>
              <w:spacing w:before="120" w:after="120" w:line="380" w:lineRule="atLeast"/>
              <w:jc w:val="center"/>
              <w:outlineLvl w:val="2"/>
              <w:rPr>
                <w:szCs w:val="21"/>
              </w:rPr>
            </w:pPr>
          </w:p>
        </w:tc>
        <w:tc>
          <w:tcPr>
            <w:tcW w:w="708" w:type="dxa"/>
            <w:vMerge w:val="continue"/>
            <w:noWrap w:val="0"/>
            <w:vAlign w:val="center"/>
          </w:tcPr>
          <w:p>
            <w:pPr>
              <w:keepNext/>
              <w:keepLines/>
              <w:spacing w:before="120" w:after="120" w:line="380" w:lineRule="atLeast"/>
              <w:jc w:val="center"/>
              <w:outlineLvl w:val="2"/>
              <w:rPr>
                <w:szCs w:val="21"/>
              </w:rPr>
            </w:pPr>
          </w:p>
        </w:tc>
        <w:tc>
          <w:tcPr>
            <w:tcW w:w="1079" w:type="dxa"/>
            <w:vMerge w:val="continue"/>
            <w:noWrap w:val="0"/>
            <w:vAlign w:val="center"/>
          </w:tcPr>
          <w:p>
            <w:pPr>
              <w:keepNext/>
              <w:keepLines/>
              <w:spacing w:before="120" w:after="120" w:line="380" w:lineRule="atLeast"/>
              <w:jc w:val="right"/>
              <w:outlineLvl w:val="2"/>
              <w:rPr>
                <w:szCs w:val="21"/>
                <w:u w:val="single"/>
              </w:rPr>
            </w:pPr>
          </w:p>
        </w:tc>
        <w:tc>
          <w:tcPr>
            <w:tcW w:w="1235" w:type="dxa"/>
            <w:noWrap w:val="0"/>
            <w:vAlign w:val="center"/>
          </w:tcPr>
          <w:p>
            <w:pPr>
              <w:spacing w:line="400" w:lineRule="exact"/>
              <w:ind w:left="6" w:right="113"/>
              <w:jc w:val="center"/>
              <w:rPr>
                <w:szCs w:val="21"/>
              </w:rPr>
            </w:pPr>
            <w:r>
              <w:rPr>
                <w:rFonts w:hint="eastAsia"/>
                <w:szCs w:val="21"/>
              </w:rPr>
              <w:t>日常养护中与发包人工作配合保障措施</w:t>
            </w:r>
          </w:p>
        </w:tc>
        <w:tc>
          <w:tcPr>
            <w:tcW w:w="619" w:type="dxa"/>
            <w:noWrap w:val="0"/>
            <w:vAlign w:val="center"/>
          </w:tcPr>
          <w:p>
            <w:pPr>
              <w:spacing w:line="380" w:lineRule="atLeast"/>
              <w:jc w:val="center"/>
              <w:rPr>
                <w:szCs w:val="21"/>
              </w:rPr>
            </w:pPr>
            <w:r>
              <w:rPr>
                <w:rFonts w:hint="eastAsia"/>
                <w:szCs w:val="21"/>
              </w:rPr>
              <w:t>5</w:t>
            </w:r>
          </w:p>
        </w:tc>
        <w:tc>
          <w:tcPr>
            <w:tcW w:w="4690" w:type="dxa"/>
            <w:vMerge w:val="continue"/>
            <w:noWrap w:val="0"/>
            <w:vAlign w:val="center"/>
          </w:tcPr>
          <w:p>
            <w:pPr>
              <w:spacing w:line="400" w:lineRule="exact"/>
              <w:ind w:left="6" w:right="113"/>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956" w:type="dxa"/>
            <w:vMerge w:val="continue"/>
            <w:noWrap w:val="0"/>
            <w:vAlign w:val="center"/>
          </w:tcPr>
          <w:p>
            <w:pPr>
              <w:keepNext/>
              <w:keepLines/>
              <w:spacing w:before="120" w:after="120" w:line="380" w:lineRule="atLeast"/>
              <w:jc w:val="center"/>
              <w:outlineLvl w:val="2"/>
              <w:rPr>
                <w:szCs w:val="21"/>
              </w:rPr>
            </w:pPr>
          </w:p>
        </w:tc>
        <w:tc>
          <w:tcPr>
            <w:tcW w:w="708" w:type="dxa"/>
            <w:vMerge w:val="continue"/>
            <w:noWrap w:val="0"/>
            <w:vAlign w:val="center"/>
          </w:tcPr>
          <w:p>
            <w:pPr>
              <w:keepNext/>
              <w:keepLines/>
              <w:spacing w:before="120" w:after="120" w:line="380" w:lineRule="atLeast"/>
              <w:jc w:val="center"/>
              <w:outlineLvl w:val="2"/>
              <w:rPr>
                <w:szCs w:val="21"/>
              </w:rPr>
            </w:pPr>
          </w:p>
        </w:tc>
        <w:tc>
          <w:tcPr>
            <w:tcW w:w="1079" w:type="dxa"/>
            <w:vMerge w:val="continue"/>
            <w:noWrap w:val="0"/>
            <w:vAlign w:val="center"/>
          </w:tcPr>
          <w:p>
            <w:pPr>
              <w:keepNext/>
              <w:keepLines/>
              <w:spacing w:before="120" w:after="120" w:line="380" w:lineRule="atLeast"/>
              <w:jc w:val="right"/>
              <w:outlineLvl w:val="2"/>
              <w:rPr>
                <w:b/>
                <w:szCs w:val="21"/>
              </w:rPr>
            </w:pPr>
          </w:p>
        </w:tc>
        <w:tc>
          <w:tcPr>
            <w:tcW w:w="1235" w:type="dxa"/>
            <w:noWrap w:val="0"/>
            <w:vAlign w:val="center"/>
          </w:tcPr>
          <w:p>
            <w:pPr>
              <w:spacing w:line="400" w:lineRule="exact"/>
              <w:ind w:left="6" w:right="113"/>
              <w:jc w:val="center"/>
              <w:rPr>
                <w:szCs w:val="21"/>
              </w:rPr>
            </w:pPr>
            <w:r>
              <w:rPr>
                <w:rFonts w:hint="eastAsia"/>
                <w:szCs w:val="21"/>
              </w:rPr>
              <w:t>文明施工措施</w:t>
            </w:r>
          </w:p>
        </w:tc>
        <w:tc>
          <w:tcPr>
            <w:tcW w:w="619" w:type="dxa"/>
            <w:noWrap w:val="0"/>
            <w:vAlign w:val="center"/>
          </w:tcPr>
          <w:p>
            <w:pPr>
              <w:spacing w:line="380" w:lineRule="atLeast"/>
              <w:jc w:val="center"/>
              <w:rPr>
                <w:szCs w:val="21"/>
              </w:rPr>
            </w:pPr>
            <w:r>
              <w:rPr>
                <w:rFonts w:hint="eastAsia"/>
                <w:szCs w:val="21"/>
              </w:rPr>
              <w:t>5</w:t>
            </w:r>
          </w:p>
        </w:tc>
        <w:tc>
          <w:tcPr>
            <w:tcW w:w="4690" w:type="dxa"/>
            <w:vMerge w:val="continue"/>
            <w:noWrap w:val="0"/>
            <w:vAlign w:val="center"/>
          </w:tcPr>
          <w:p>
            <w:pPr>
              <w:spacing w:line="400" w:lineRule="exact"/>
              <w:ind w:left="6" w:right="113"/>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82" w:hRule="atLeast"/>
        </w:trPr>
        <w:tc>
          <w:tcPr>
            <w:tcW w:w="956" w:type="dxa"/>
            <w:vMerge w:val="restart"/>
            <w:noWrap w:val="0"/>
            <w:vAlign w:val="center"/>
          </w:tcPr>
          <w:p>
            <w:pPr>
              <w:spacing w:line="360" w:lineRule="atLeast"/>
              <w:ind w:left="-92" w:leftChars="-44" w:right="-88" w:rightChars="-42"/>
              <w:jc w:val="center"/>
              <w:rPr>
                <w:szCs w:val="21"/>
              </w:rPr>
            </w:pPr>
            <w:r>
              <w:rPr>
                <w:szCs w:val="21"/>
              </w:rPr>
              <w:t>2.2.</w:t>
            </w:r>
            <w:r>
              <w:rPr>
                <w:rFonts w:hint="eastAsia"/>
                <w:szCs w:val="21"/>
              </w:rPr>
              <w:t>2（</w:t>
            </w:r>
            <w:r>
              <w:rPr>
                <w:szCs w:val="21"/>
              </w:rPr>
              <w:t>2</w:t>
            </w:r>
            <w:r>
              <w:rPr>
                <w:rFonts w:hint="eastAsia"/>
                <w:szCs w:val="21"/>
              </w:rPr>
              <w:t>）</w:t>
            </w:r>
          </w:p>
        </w:tc>
        <w:tc>
          <w:tcPr>
            <w:tcW w:w="708" w:type="dxa"/>
            <w:vMerge w:val="restart"/>
            <w:noWrap w:val="0"/>
            <w:vAlign w:val="center"/>
          </w:tcPr>
          <w:p>
            <w:pPr>
              <w:spacing w:line="360" w:lineRule="atLeast"/>
              <w:jc w:val="center"/>
              <w:rPr>
                <w:szCs w:val="21"/>
              </w:rPr>
            </w:pPr>
            <w:r>
              <w:rPr>
                <w:rFonts w:hint="eastAsia"/>
                <w:szCs w:val="21"/>
              </w:rPr>
              <w:t>主要人员</w:t>
            </w:r>
          </w:p>
        </w:tc>
        <w:tc>
          <w:tcPr>
            <w:tcW w:w="1079" w:type="dxa"/>
            <w:vMerge w:val="restart"/>
            <w:noWrap w:val="0"/>
            <w:vAlign w:val="center"/>
          </w:tcPr>
          <w:p>
            <w:pPr>
              <w:spacing w:line="380" w:lineRule="atLeast"/>
              <w:jc w:val="center"/>
              <w:rPr>
                <w:szCs w:val="21"/>
                <w:u w:val="single"/>
              </w:rPr>
            </w:pPr>
            <w:r>
              <w:rPr>
                <w:rFonts w:hint="eastAsia"/>
                <w:szCs w:val="21"/>
              </w:rPr>
              <w:t>2</w:t>
            </w:r>
            <w:r>
              <w:rPr>
                <w:szCs w:val="21"/>
              </w:rPr>
              <w:t>5</w:t>
            </w:r>
          </w:p>
        </w:tc>
        <w:tc>
          <w:tcPr>
            <w:tcW w:w="1235" w:type="dxa"/>
            <w:noWrap w:val="0"/>
            <w:vAlign w:val="center"/>
          </w:tcPr>
          <w:p>
            <w:pPr>
              <w:spacing w:line="380" w:lineRule="atLeast"/>
              <w:jc w:val="center"/>
              <w:rPr>
                <w:szCs w:val="21"/>
              </w:rPr>
            </w:pPr>
            <w:r>
              <w:rPr>
                <w:rFonts w:hint="eastAsia"/>
                <w:szCs w:val="21"/>
              </w:rPr>
              <w:t>项目经理</w:t>
            </w:r>
          </w:p>
        </w:tc>
        <w:tc>
          <w:tcPr>
            <w:tcW w:w="619" w:type="dxa"/>
            <w:noWrap w:val="0"/>
            <w:vAlign w:val="center"/>
          </w:tcPr>
          <w:p>
            <w:pPr>
              <w:spacing w:line="380" w:lineRule="atLeast"/>
              <w:jc w:val="center"/>
              <w:rPr>
                <w:szCs w:val="21"/>
              </w:rPr>
            </w:pPr>
            <w:r>
              <w:rPr>
                <w:rFonts w:hint="eastAsia"/>
                <w:szCs w:val="21"/>
                <w:lang w:val="en-US" w:eastAsia="zh-CN"/>
              </w:rPr>
              <w:t>1</w:t>
            </w:r>
            <w:r>
              <w:rPr>
                <w:rFonts w:hint="eastAsia"/>
                <w:szCs w:val="21"/>
              </w:rPr>
              <w:t>5</w:t>
            </w:r>
          </w:p>
        </w:tc>
        <w:tc>
          <w:tcPr>
            <w:tcW w:w="4690" w:type="dxa"/>
            <w:noWrap w:val="0"/>
            <w:vAlign w:val="center"/>
          </w:tcPr>
          <w:p>
            <w:pPr>
              <w:spacing w:line="380" w:lineRule="atLeast"/>
              <w:ind w:firstLine="210" w:firstLineChars="100"/>
              <w:rPr>
                <w:rFonts w:hint="eastAsia"/>
                <w:szCs w:val="21"/>
              </w:rPr>
            </w:pPr>
            <w:r>
              <w:rPr>
                <w:rFonts w:hint="eastAsia"/>
                <w:szCs w:val="21"/>
                <w:lang w:val="en-US" w:eastAsia="zh-CN"/>
              </w:rPr>
              <w:t>①</w:t>
            </w:r>
            <w:r>
              <w:rPr>
                <w:rFonts w:hint="eastAsia"/>
                <w:szCs w:val="21"/>
              </w:rPr>
              <w:t>满足资格审查条件（主要人员最低要求）</w:t>
            </w:r>
            <w:r>
              <w:rPr>
                <w:rFonts w:hint="eastAsia"/>
                <w:szCs w:val="21"/>
                <w:lang w:val="en-US" w:eastAsia="zh-CN"/>
              </w:rPr>
              <w:t>得9分。</w:t>
            </w:r>
          </w:p>
          <w:p>
            <w:pPr>
              <w:spacing w:line="380" w:lineRule="atLeast"/>
              <w:ind w:firstLine="210" w:firstLineChars="100"/>
              <w:rPr>
                <w:szCs w:val="21"/>
              </w:rPr>
            </w:pPr>
            <w:r>
              <w:rPr>
                <w:rFonts w:hint="eastAsia"/>
                <w:szCs w:val="21"/>
                <w:lang w:val="en-US" w:eastAsia="zh-CN"/>
              </w:rPr>
              <w:t>②每担任过</w:t>
            </w:r>
            <w:r>
              <w:rPr>
                <w:szCs w:val="21"/>
              </w:rPr>
              <w:t>1</w:t>
            </w:r>
            <w:r>
              <w:rPr>
                <w:rFonts w:hint="eastAsia"/>
                <w:szCs w:val="21"/>
              </w:rPr>
              <w:t>个高速公路养护工程（包含小修保养施工项目）的项目经理业绩得</w:t>
            </w:r>
            <w:r>
              <w:rPr>
                <w:rFonts w:hint="eastAsia"/>
                <w:szCs w:val="21"/>
                <w:lang w:val="en-US" w:eastAsia="zh-CN"/>
              </w:rPr>
              <w:t>2</w:t>
            </w:r>
            <w:r>
              <w:rPr>
                <w:rFonts w:hint="eastAsia"/>
                <w:szCs w:val="21"/>
              </w:rPr>
              <w:t>分，本项最多加</w:t>
            </w:r>
            <w:r>
              <w:rPr>
                <w:rFonts w:hint="eastAsia"/>
                <w:szCs w:val="21"/>
                <w:lang w:val="en-US" w:eastAsia="zh-CN"/>
              </w:rPr>
              <w:t>6</w:t>
            </w:r>
            <w:r>
              <w:rPr>
                <w:rFonts w:hint="eastAsia"/>
                <w:szCs w:val="21"/>
              </w:rPr>
              <w:t>分，满分为</w:t>
            </w:r>
            <w:r>
              <w:rPr>
                <w:rFonts w:hint="eastAsia"/>
                <w:szCs w:val="21"/>
                <w:lang w:val="en-US" w:eastAsia="zh-CN"/>
              </w:rPr>
              <w:t>6</w:t>
            </w:r>
            <w:r>
              <w:rPr>
                <w:rFonts w:hint="eastAsia"/>
                <w:szCs w:val="21"/>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82" w:hRule="atLeast"/>
        </w:trPr>
        <w:tc>
          <w:tcPr>
            <w:tcW w:w="956" w:type="dxa"/>
            <w:vMerge w:val="continue"/>
            <w:noWrap w:val="0"/>
            <w:vAlign w:val="center"/>
          </w:tcPr>
          <w:p>
            <w:pPr>
              <w:spacing w:line="360" w:lineRule="atLeast"/>
              <w:ind w:left="-92" w:leftChars="-44" w:right="-88" w:rightChars="-42"/>
              <w:jc w:val="center"/>
              <w:rPr>
                <w:szCs w:val="21"/>
              </w:rPr>
            </w:pPr>
          </w:p>
        </w:tc>
        <w:tc>
          <w:tcPr>
            <w:tcW w:w="708" w:type="dxa"/>
            <w:vMerge w:val="continue"/>
            <w:noWrap w:val="0"/>
            <w:vAlign w:val="center"/>
          </w:tcPr>
          <w:p>
            <w:pPr>
              <w:spacing w:line="360" w:lineRule="atLeast"/>
              <w:jc w:val="center"/>
              <w:rPr>
                <w:rFonts w:hint="eastAsia"/>
                <w:szCs w:val="21"/>
              </w:rPr>
            </w:pPr>
          </w:p>
        </w:tc>
        <w:tc>
          <w:tcPr>
            <w:tcW w:w="1079" w:type="dxa"/>
            <w:vMerge w:val="continue"/>
            <w:noWrap w:val="0"/>
            <w:vAlign w:val="center"/>
          </w:tcPr>
          <w:p>
            <w:pPr>
              <w:spacing w:line="380" w:lineRule="atLeast"/>
              <w:jc w:val="center"/>
              <w:rPr>
                <w:rFonts w:hint="eastAsia"/>
                <w:szCs w:val="21"/>
              </w:rPr>
            </w:pPr>
          </w:p>
        </w:tc>
        <w:tc>
          <w:tcPr>
            <w:tcW w:w="1235" w:type="dxa"/>
            <w:noWrap w:val="0"/>
            <w:vAlign w:val="center"/>
          </w:tcPr>
          <w:p>
            <w:pPr>
              <w:spacing w:line="380" w:lineRule="atLeast"/>
              <w:jc w:val="center"/>
              <w:rPr>
                <w:rFonts w:hint="default" w:eastAsia="宋体"/>
                <w:szCs w:val="21"/>
                <w:lang w:val="en-US" w:eastAsia="zh-CN"/>
              </w:rPr>
            </w:pPr>
            <w:r>
              <w:rPr>
                <w:rFonts w:hint="eastAsia"/>
                <w:szCs w:val="21"/>
                <w:lang w:val="en-US" w:eastAsia="zh-CN"/>
              </w:rPr>
              <w:t>项目总工</w:t>
            </w:r>
          </w:p>
        </w:tc>
        <w:tc>
          <w:tcPr>
            <w:tcW w:w="619" w:type="dxa"/>
            <w:noWrap w:val="0"/>
            <w:vAlign w:val="center"/>
          </w:tcPr>
          <w:p>
            <w:pPr>
              <w:spacing w:line="380" w:lineRule="atLeast"/>
              <w:jc w:val="center"/>
              <w:rPr>
                <w:rFonts w:hint="default" w:eastAsia="宋体"/>
                <w:szCs w:val="21"/>
                <w:lang w:val="en-US" w:eastAsia="zh-CN"/>
              </w:rPr>
            </w:pPr>
            <w:r>
              <w:rPr>
                <w:rFonts w:hint="eastAsia"/>
                <w:szCs w:val="21"/>
                <w:lang w:val="en-US" w:eastAsia="zh-CN"/>
              </w:rPr>
              <w:t>10</w:t>
            </w:r>
          </w:p>
        </w:tc>
        <w:tc>
          <w:tcPr>
            <w:tcW w:w="4690" w:type="dxa"/>
            <w:noWrap w:val="0"/>
            <w:vAlign w:val="center"/>
          </w:tcPr>
          <w:p>
            <w:pPr>
              <w:spacing w:line="380" w:lineRule="atLeast"/>
              <w:ind w:firstLine="0" w:firstLineChars="0"/>
              <w:rPr>
                <w:rFonts w:hint="eastAsia"/>
                <w:szCs w:val="21"/>
              </w:rPr>
            </w:pPr>
            <w:r>
              <w:rPr>
                <w:rFonts w:hint="eastAsia"/>
                <w:szCs w:val="21"/>
                <w:lang w:val="en-US" w:eastAsia="zh-CN"/>
              </w:rPr>
              <w:t>①</w:t>
            </w:r>
            <w:r>
              <w:rPr>
                <w:rFonts w:hint="eastAsia"/>
                <w:szCs w:val="21"/>
              </w:rPr>
              <w:t>满足基本要求得6分；</w:t>
            </w:r>
          </w:p>
          <w:p>
            <w:pPr>
              <w:spacing w:line="380" w:lineRule="atLeast"/>
              <w:ind w:firstLine="0" w:firstLineChars="0"/>
              <w:rPr>
                <w:rFonts w:hint="eastAsia"/>
                <w:szCs w:val="21"/>
              </w:rPr>
            </w:pPr>
            <w:r>
              <w:rPr>
                <w:rFonts w:hint="eastAsia"/>
                <w:szCs w:val="21"/>
                <w:lang w:val="en-US" w:eastAsia="zh-CN"/>
              </w:rPr>
              <w:t>②</w:t>
            </w:r>
            <w:r>
              <w:rPr>
                <w:rFonts w:hint="eastAsia"/>
                <w:szCs w:val="21"/>
              </w:rPr>
              <w:t>每担任过</w:t>
            </w:r>
            <w:r>
              <w:rPr>
                <w:rFonts w:hint="eastAsia"/>
                <w:szCs w:val="21"/>
                <w:lang w:val="en-US" w:eastAsia="zh-CN"/>
              </w:rPr>
              <w:t>1</w:t>
            </w:r>
            <w:r>
              <w:rPr>
                <w:rFonts w:hint="eastAsia"/>
                <w:szCs w:val="21"/>
              </w:rPr>
              <w:t>个高速公路养护</w:t>
            </w:r>
            <w:r>
              <w:rPr>
                <w:rFonts w:hint="eastAsia"/>
                <w:szCs w:val="21"/>
                <w:lang w:val="en-US" w:eastAsia="zh-CN"/>
              </w:rPr>
              <w:t>项目</w:t>
            </w:r>
            <w:r>
              <w:rPr>
                <w:rFonts w:hint="eastAsia"/>
                <w:szCs w:val="21"/>
              </w:rPr>
              <w:t>（包含小修保养施工项目）的项目总工的得2分，最多加4分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82" w:hRule="atLeast"/>
        </w:trPr>
        <w:tc>
          <w:tcPr>
            <w:tcW w:w="956" w:type="dxa"/>
            <w:vMerge w:val="restart"/>
            <w:noWrap w:val="0"/>
            <w:vAlign w:val="center"/>
          </w:tcPr>
          <w:p>
            <w:pPr>
              <w:spacing w:line="360" w:lineRule="atLeast"/>
              <w:ind w:left="-92" w:leftChars="-44" w:right="-88" w:rightChars="-42"/>
              <w:jc w:val="center"/>
              <w:rPr>
                <w:szCs w:val="21"/>
              </w:rPr>
            </w:pPr>
            <w:r>
              <w:rPr>
                <w:rFonts w:hint="eastAsia"/>
                <w:szCs w:val="21"/>
              </w:rPr>
              <w:t>2</w:t>
            </w:r>
            <w:r>
              <w:rPr>
                <w:szCs w:val="21"/>
              </w:rPr>
              <w:t>.2.4</w:t>
            </w:r>
            <w:r>
              <w:rPr>
                <w:rFonts w:hint="eastAsia"/>
                <w:szCs w:val="21"/>
              </w:rPr>
              <w:t>（3）</w:t>
            </w:r>
          </w:p>
        </w:tc>
        <w:tc>
          <w:tcPr>
            <w:tcW w:w="708" w:type="dxa"/>
            <w:vMerge w:val="restart"/>
            <w:noWrap w:val="0"/>
            <w:vAlign w:val="center"/>
          </w:tcPr>
          <w:p>
            <w:pPr>
              <w:spacing w:line="360" w:lineRule="atLeast"/>
              <w:jc w:val="center"/>
              <w:rPr>
                <w:szCs w:val="21"/>
              </w:rPr>
            </w:pPr>
            <w:r>
              <w:rPr>
                <w:rFonts w:hint="eastAsia"/>
                <w:szCs w:val="21"/>
                <w:lang w:val="en-US" w:eastAsia="zh-CN"/>
              </w:rPr>
              <w:t>其他因素</w:t>
            </w:r>
          </w:p>
        </w:tc>
        <w:tc>
          <w:tcPr>
            <w:tcW w:w="1079" w:type="dxa"/>
            <w:vMerge w:val="restart"/>
            <w:noWrap w:val="0"/>
            <w:vAlign w:val="center"/>
          </w:tcPr>
          <w:p>
            <w:pPr>
              <w:spacing w:line="380" w:lineRule="atLeast"/>
              <w:jc w:val="center"/>
              <w:rPr>
                <w:rFonts w:hint="eastAsia" w:eastAsia="宋体"/>
                <w:szCs w:val="21"/>
                <w:lang w:val="en-US" w:eastAsia="zh-CN"/>
              </w:rPr>
            </w:pPr>
            <w:r>
              <w:rPr>
                <w:rFonts w:hint="eastAsia"/>
                <w:szCs w:val="21"/>
                <w:lang w:val="en-US" w:eastAsia="zh-CN"/>
              </w:rPr>
              <w:t>/</w:t>
            </w:r>
          </w:p>
        </w:tc>
        <w:tc>
          <w:tcPr>
            <w:tcW w:w="1235" w:type="dxa"/>
            <w:noWrap w:val="0"/>
            <w:vAlign w:val="center"/>
          </w:tcPr>
          <w:p>
            <w:pPr>
              <w:spacing w:line="360" w:lineRule="atLeast"/>
              <w:jc w:val="center"/>
              <w:rPr>
                <w:szCs w:val="21"/>
              </w:rPr>
            </w:pPr>
            <w:r>
              <w:rPr>
                <w:rFonts w:hint="eastAsia"/>
                <w:szCs w:val="21"/>
              </w:rPr>
              <w:t>新技术、新设备应用</w:t>
            </w:r>
          </w:p>
        </w:tc>
        <w:tc>
          <w:tcPr>
            <w:tcW w:w="619" w:type="dxa"/>
            <w:noWrap w:val="0"/>
            <w:vAlign w:val="center"/>
          </w:tcPr>
          <w:p>
            <w:pPr>
              <w:spacing w:line="380" w:lineRule="atLeast"/>
              <w:ind w:firstLine="0" w:firstLineChars="0"/>
              <w:jc w:val="left"/>
              <w:rPr>
                <w:rFonts w:hint="eastAsia" w:eastAsia="宋体"/>
                <w:szCs w:val="21"/>
                <w:lang w:val="en-US" w:eastAsia="zh-CN"/>
              </w:rPr>
            </w:pPr>
            <w:r>
              <w:rPr>
                <w:rFonts w:hint="eastAsia"/>
                <w:szCs w:val="21"/>
                <w:lang w:val="en-US" w:eastAsia="zh-CN"/>
              </w:rPr>
              <w:t>10</w:t>
            </w:r>
          </w:p>
        </w:tc>
        <w:tc>
          <w:tcPr>
            <w:tcW w:w="4690" w:type="dxa"/>
            <w:noWrap w:val="0"/>
            <w:vAlign w:val="center"/>
          </w:tcPr>
          <w:p>
            <w:pPr>
              <w:widowControl/>
              <w:spacing w:line="360" w:lineRule="exact"/>
              <w:rPr>
                <w:rFonts w:ascii="宋体" w:hAnsi="宋体" w:eastAsia="宋体" w:cs="宋体"/>
              </w:rPr>
            </w:pPr>
            <w:r>
              <w:rPr>
                <w:szCs w:val="21"/>
              </w:rPr>
              <w:t>（1）</w:t>
            </w:r>
            <w:r>
              <w:rPr>
                <w:rFonts w:hint="eastAsia" w:ascii="宋体" w:hAnsi="宋体" w:eastAsia="宋体" w:cs="宋体"/>
              </w:rPr>
              <w:t>新设备、设施应用方案：根据方案的完整性，科学性及合理性进行评价。（满分</w:t>
            </w:r>
            <w:r>
              <w:rPr>
                <w:rFonts w:hint="eastAsia" w:ascii="宋体" w:hAnsi="宋体" w:eastAsia="宋体" w:cs="宋体"/>
                <w:lang w:val="en-US" w:eastAsia="zh-CN"/>
              </w:rPr>
              <w:t>5</w:t>
            </w:r>
            <w:r>
              <w:rPr>
                <w:rFonts w:hint="eastAsia" w:ascii="宋体" w:hAnsi="宋体" w:eastAsia="宋体" w:cs="宋体"/>
              </w:rPr>
              <w:t>分）</w:t>
            </w:r>
          </w:p>
          <w:p>
            <w:pPr>
              <w:widowControl/>
              <w:numPr>
                <w:ilvl w:val="0"/>
                <w:numId w:val="0"/>
              </w:numPr>
              <w:spacing w:line="360" w:lineRule="exact"/>
              <w:rPr>
                <w:rFonts w:ascii="宋体" w:hAnsi="宋体" w:eastAsia="宋体" w:cs="宋体"/>
              </w:rPr>
            </w:pPr>
            <w:r>
              <w:rPr>
                <w:szCs w:val="21"/>
              </w:rPr>
              <w:t>（</w:t>
            </w:r>
            <w:r>
              <w:rPr>
                <w:rFonts w:hint="eastAsia"/>
                <w:szCs w:val="21"/>
              </w:rPr>
              <w:t>2</w:t>
            </w:r>
            <w:r>
              <w:rPr>
                <w:szCs w:val="21"/>
              </w:rPr>
              <w:t>）</w:t>
            </w:r>
            <w:r>
              <w:rPr>
                <w:rFonts w:hint="eastAsia" w:ascii="宋体" w:hAnsi="宋体" w:eastAsia="宋体" w:cs="宋体"/>
              </w:rPr>
              <w:t>新技术、新工艺应用方案：根据方案的完整性，科学性及合理性进行评价。（满分</w:t>
            </w:r>
            <w:r>
              <w:rPr>
                <w:rFonts w:hint="eastAsia" w:ascii="宋体" w:hAnsi="宋体" w:eastAsia="宋体" w:cs="宋体"/>
                <w:lang w:val="en-US" w:eastAsia="zh-CN"/>
              </w:rPr>
              <w:t>5</w:t>
            </w:r>
            <w:r>
              <w:rPr>
                <w:rFonts w:hint="eastAsia" w:ascii="宋体" w:hAnsi="宋体" w:eastAsia="宋体" w:cs="宋体"/>
              </w:rPr>
              <w:t>分）</w:t>
            </w:r>
          </w:p>
          <w:p>
            <w:pPr>
              <w:pStyle w:val="5"/>
              <w:rPr>
                <w:rFonts w:ascii="宋体" w:hAnsi="宋体" w:eastAsia="宋体" w:cs="宋体"/>
                <w:sz w:val="20"/>
              </w:rPr>
            </w:pPr>
            <w:r>
              <w:rPr>
                <w:rFonts w:hint="eastAsia" w:ascii="宋体" w:hAnsi="宋体" w:eastAsia="宋体" w:cs="宋体"/>
                <w:sz w:val="20"/>
              </w:rPr>
              <w:t>按4个等级评定：</w:t>
            </w:r>
          </w:p>
          <w:p>
            <w:pPr>
              <w:pStyle w:val="5"/>
              <w:rPr>
                <w:rFonts w:ascii="宋体" w:hAnsi="宋体" w:eastAsia="宋体" w:cs="宋体"/>
                <w:sz w:val="20"/>
              </w:rPr>
            </w:pPr>
            <w:r>
              <w:rPr>
                <w:rFonts w:hint="eastAsia" w:ascii="宋体" w:hAnsi="宋体" w:eastAsia="宋体" w:cs="宋体"/>
                <w:sz w:val="20"/>
              </w:rPr>
              <w:t>“很好”计分值的90%~100%；</w:t>
            </w:r>
          </w:p>
          <w:p>
            <w:pPr>
              <w:pStyle w:val="5"/>
              <w:rPr>
                <w:rFonts w:ascii="宋体" w:hAnsi="宋体" w:eastAsia="宋体" w:cs="宋体"/>
                <w:sz w:val="20"/>
              </w:rPr>
            </w:pPr>
            <w:r>
              <w:rPr>
                <w:rFonts w:hint="eastAsia" w:ascii="宋体" w:hAnsi="宋体" w:eastAsia="宋体" w:cs="宋体"/>
                <w:sz w:val="20"/>
              </w:rPr>
              <w:t>“较好”计80~90%；</w:t>
            </w:r>
          </w:p>
          <w:p>
            <w:pPr>
              <w:pStyle w:val="5"/>
              <w:rPr>
                <w:rFonts w:ascii="宋体" w:hAnsi="宋体" w:eastAsia="宋体" w:cs="宋体"/>
                <w:sz w:val="20"/>
              </w:rPr>
            </w:pPr>
            <w:r>
              <w:rPr>
                <w:rFonts w:hint="eastAsia" w:ascii="宋体" w:hAnsi="宋体" w:eastAsia="宋体" w:cs="宋体"/>
                <w:sz w:val="20"/>
              </w:rPr>
              <w:t>“一般”计70%~80%；</w:t>
            </w:r>
          </w:p>
          <w:p>
            <w:pPr>
              <w:pStyle w:val="5"/>
              <w:rPr>
                <w:rFonts w:ascii="宋体" w:hAnsi="宋体" w:eastAsia="宋体" w:cs="宋体"/>
                <w:sz w:val="20"/>
              </w:rPr>
            </w:pPr>
            <w:r>
              <w:rPr>
                <w:rFonts w:hint="eastAsia" w:ascii="宋体" w:hAnsi="宋体" w:eastAsia="宋体" w:cs="宋体"/>
                <w:sz w:val="20"/>
              </w:rPr>
              <w:t>“较差但可行”计60%~70%。</w:t>
            </w:r>
          </w:p>
          <w:p>
            <w:pPr>
              <w:spacing w:line="380" w:lineRule="atLeast"/>
              <w:ind w:firstLine="200" w:firstLineChars="100"/>
              <w:rPr>
                <w:rFonts w:hint="default" w:eastAsia="宋体"/>
                <w:szCs w:val="21"/>
                <w:lang w:val="en-US" w:eastAsia="zh-CN"/>
              </w:rPr>
            </w:pPr>
            <w:r>
              <w:rPr>
                <w:rFonts w:hint="eastAsia" w:ascii="宋体" w:hAnsi="宋体" w:eastAsia="宋体" w:cs="宋体"/>
                <w:sz w:val="20"/>
              </w:rPr>
              <w:t>注：本项下各评分因素细分项由评标委员会按照上述规定，独立评分并签名，各评分因素细分项得分一般不得低于其满分的60%，评标委员会成员对某一项评分因素细分项的评分低于权重分值60%的，应在评标报告中做出说明。各评分因素细分项得分应以评标委员会各成员打分的平均值确定（当评标委员会为5人时，该平均值以各成员打分的算术平均值确定；当评标委员会为7人及以上时，该平均值以去掉一个最高分和一个最低分后计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82" w:hRule="atLeast"/>
        </w:trPr>
        <w:tc>
          <w:tcPr>
            <w:tcW w:w="956" w:type="dxa"/>
            <w:vMerge w:val="continue"/>
            <w:noWrap w:val="0"/>
            <w:vAlign w:val="center"/>
          </w:tcPr>
          <w:p>
            <w:pPr>
              <w:spacing w:line="360" w:lineRule="atLeast"/>
              <w:ind w:left="-92" w:leftChars="-44" w:right="-88" w:rightChars="-42"/>
              <w:jc w:val="center"/>
              <w:rPr>
                <w:szCs w:val="21"/>
              </w:rPr>
            </w:pPr>
          </w:p>
        </w:tc>
        <w:tc>
          <w:tcPr>
            <w:tcW w:w="708" w:type="dxa"/>
            <w:vMerge w:val="continue"/>
            <w:noWrap w:val="0"/>
            <w:vAlign w:val="center"/>
          </w:tcPr>
          <w:p>
            <w:pPr>
              <w:spacing w:line="360" w:lineRule="atLeast"/>
              <w:jc w:val="center"/>
              <w:rPr>
                <w:szCs w:val="21"/>
              </w:rPr>
            </w:pPr>
          </w:p>
        </w:tc>
        <w:tc>
          <w:tcPr>
            <w:tcW w:w="1079" w:type="dxa"/>
            <w:vMerge w:val="continue"/>
            <w:noWrap w:val="0"/>
            <w:vAlign w:val="center"/>
          </w:tcPr>
          <w:p>
            <w:pPr>
              <w:spacing w:line="380" w:lineRule="atLeast"/>
              <w:jc w:val="center"/>
              <w:rPr>
                <w:szCs w:val="21"/>
              </w:rPr>
            </w:pPr>
          </w:p>
        </w:tc>
        <w:tc>
          <w:tcPr>
            <w:tcW w:w="1235" w:type="dxa"/>
            <w:noWrap w:val="0"/>
            <w:vAlign w:val="center"/>
          </w:tcPr>
          <w:p>
            <w:pPr>
              <w:spacing w:line="360" w:lineRule="atLeast"/>
              <w:jc w:val="center"/>
              <w:rPr>
                <w:szCs w:val="21"/>
              </w:rPr>
            </w:pPr>
            <w:r>
              <w:rPr>
                <w:rFonts w:hint="eastAsia"/>
                <w:szCs w:val="21"/>
              </w:rPr>
              <w:t>企业业绩</w:t>
            </w:r>
          </w:p>
        </w:tc>
        <w:tc>
          <w:tcPr>
            <w:tcW w:w="619" w:type="dxa"/>
            <w:noWrap w:val="0"/>
            <w:vAlign w:val="center"/>
          </w:tcPr>
          <w:p>
            <w:pPr>
              <w:spacing w:line="380" w:lineRule="atLeast"/>
              <w:jc w:val="center"/>
              <w:rPr>
                <w:szCs w:val="21"/>
              </w:rPr>
            </w:pPr>
            <w:r>
              <w:rPr>
                <w:rFonts w:hint="eastAsia"/>
                <w:szCs w:val="21"/>
                <w:lang w:val="en-US" w:eastAsia="zh-CN"/>
              </w:rPr>
              <w:t>2</w:t>
            </w:r>
            <w:r>
              <w:rPr>
                <w:szCs w:val="21"/>
              </w:rPr>
              <w:t>2</w:t>
            </w:r>
          </w:p>
        </w:tc>
        <w:tc>
          <w:tcPr>
            <w:tcW w:w="4690" w:type="dxa"/>
            <w:noWrap w:val="0"/>
            <w:vAlign w:val="center"/>
          </w:tcPr>
          <w:p>
            <w:pPr>
              <w:spacing w:line="380" w:lineRule="atLeast"/>
              <w:ind w:firstLine="210" w:firstLineChars="100"/>
              <w:rPr>
                <w:szCs w:val="21"/>
              </w:rPr>
            </w:pPr>
            <w:r>
              <w:rPr>
                <w:rFonts w:hint="eastAsia"/>
                <w:szCs w:val="21"/>
              </w:rPr>
              <w:t>投标人近 5 年（2018年1月1日至投标文件递交截止日），每完成过1个高速公路养护施工项目，得</w:t>
            </w:r>
            <w:r>
              <w:rPr>
                <w:rFonts w:hint="eastAsia"/>
                <w:szCs w:val="21"/>
                <w:lang w:val="en-US" w:eastAsia="zh-CN"/>
              </w:rPr>
              <w:t>4.4</w:t>
            </w:r>
            <w:r>
              <w:rPr>
                <w:rFonts w:hint="eastAsia"/>
                <w:szCs w:val="21"/>
              </w:rPr>
              <w:t>分，本项满分22分。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82" w:hRule="atLeast"/>
        </w:trPr>
        <w:tc>
          <w:tcPr>
            <w:tcW w:w="956" w:type="dxa"/>
            <w:noWrap w:val="0"/>
            <w:vAlign w:val="center"/>
          </w:tcPr>
          <w:p>
            <w:pPr>
              <w:spacing w:line="360" w:lineRule="atLeast"/>
              <w:ind w:left="-92" w:leftChars="-44" w:right="-88" w:rightChars="-42"/>
              <w:jc w:val="center"/>
              <w:rPr>
                <w:szCs w:val="21"/>
              </w:rPr>
            </w:pPr>
            <w:r>
              <w:rPr>
                <w:rFonts w:hint="eastAsia"/>
                <w:szCs w:val="21"/>
              </w:rPr>
              <w:t>2</w:t>
            </w:r>
            <w:r>
              <w:rPr>
                <w:szCs w:val="21"/>
              </w:rPr>
              <w:t>.2.4</w:t>
            </w:r>
            <w:r>
              <w:rPr>
                <w:rFonts w:hint="eastAsia"/>
                <w:szCs w:val="21"/>
              </w:rPr>
              <w:t>（4）</w:t>
            </w:r>
          </w:p>
        </w:tc>
        <w:tc>
          <w:tcPr>
            <w:tcW w:w="708" w:type="dxa"/>
            <w:noWrap w:val="0"/>
            <w:vAlign w:val="center"/>
          </w:tcPr>
          <w:p>
            <w:pPr>
              <w:spacing w:line="360" w:lineRule="atLeast"/>
              <w:jc w:val="center"/>
              <w:rPr>
                <w:szCs w:val="21"/>
              </w:rPr>
            </w:pPr>
            <w:r>
              <w:rPr>
                <w:rFonts w:hint="eastAsia"/>
                <w:szCs w:val="21"/>
              </w:rPr>
              <w:t>履约信誉</w:t>
            </w:r>
          </w:p>
        </w:tc>
        <w:tc>
          <w:tcPr>
            <w:tcW w:w="1079" w:type="dxa"/>
            <w:noWrap w:val="0"/>
            <w:vAlign w:val="center"/>
          </w:tcPr>
          <w:p>
            <w:pPr>
              <w:spacing w:line="380" w:lineRule="atLeast"/>
              <w:jc w:val="center"/>
              <w:rPr>
                <w:szCs w:val="21"/>
              </w:rPr>
            </w:pPr>
            <w:r>
              <w:rPr>
                <w:szCs w:val="21"/>
              </w:rPr>
              <w:t>3</w:t>
            </w:r>
          </w:p>
        </w:tc>
        <w:tc>
          <w:tcPr>
            <w:tcW w:w="6544" w:type="dxa"/>
            <w:gridSpan w:val="3"/>
            <w:noWrap w:val="0"/>
            <w:vAlign w:val="center"/>
          </w:tcPr>
          <w:p>
            <w:pPr>
              <w:spacing w:line="300" w:lineRule="exact"/>
              <w:ind w:firstLine="420" w:firstLineChars="200"/>
              <w:jc w:val="left"/>
              <w:rPr>
                <w:szCs w:val="21"/>
                <w:lang w:bidi="ar"/>
              </w:rPr>
            </w:pPr>
            <w:r>
              <w:rPr>
                <w:szCs w:val="21"/>
                <w:lang w:bidi="ar"/>
              </w:rPr>
              <w:t>对投标人的信用等级的认定条件为：按《贵州省交通运输厅关于印发〈贵州省高速公路设计施工企业信用评价实施细则（试行）〉的通知》（黔交建设〔2016〕279 号）及《贵州省交通运输厅关于高速公路设计施工企业信用评价结果引用的补充通知》（黔交建设〔2016〕291 号）文件（可在贵州省交通运输厅网站www.qjt.gov.cn 上查询）规定确定</w:t>
            </w:r>
            <w:r>
              <w:rPr>
                <w:rFonts w:hint="eastAsia"/>
                <w:szCs w:val="21"/>
                <w:lang w:bidi="ar"/>
              </w:rPr>
              <w:t>最新</w:t>
            </w:r>
            <w:r>
              <w:rPr>
                <w:szCs w:val="21"/>
                <w:lang w:bidi="ar"/>
              </w:rPr>
              <w:t>信用等级采用，本项目投标专业为</w:t>
            </w:r>
            <w:r>
              <w:rPr>
                <w:rFonts w:hint="eastAsia"/>
                <w:b/>
                <w:bCs/>
                <w:szCs w:val="21"/>
              </w:rPr>
              <w:t>养护工程</w:t>
            </w:r>
            <w:r>
              <w:rPr>
                <w:szCs w:val="21"/>
                <w:lang w:bidi="ar"/>
              </w:rPr>
              <w:t>专业，其中：</w:t>
            </w:r>
          </w:p>
          <w:p>
            <w:pPr>
              <w:spacing w:line="300" w:lineRule="exact"/>
              <w:jc w:val="left"/>
              <w:rPr>
                <w:szCs w:val="21"/>
                <w:lang w:bidi="ar"/>
              </w:rPr>
            </w:pPr>
            <w:r>
              <w:rPr>
                <w:szCs w:val="21"/>
                <w:lang w:bidi="ar"/>
              </w:rPr>
              <w:t>（1）：投标人最新信用等级按以下顺序引用（排序在前的优先）：</w:t>
            </w:r>
          </w:p>
          <w:p>
            <w:pPr>
              <w:spacing w:line="300" w:lineRule="exact"/>
              <w:jc w:val="left"/>
              <w:rPr>
                <w:szCs w:val="21"/>
                <w:lang w:bidi="ar"/>
              </w:rPr>
            </w:pPr>
            <w:r>
              <w:rPr>
                <w:rFonts w:hint="eastAsia"/>
                <w:szCs w:val="21"/>
                <w:lang w:bidi="ar"/>
              </w:rPr>
              <w:t>①贵州省交通运输厅的信用评价等级；</w:t>
            </w:r>
          </w:p>
          <w:p>
            <w:pPr>
              <w:spacing w:line="300" w:lineRule="exact"/>
              <w:jc w:val="left"/>
              <w:rPr>
                <w:szCs w:val="21"/>
                <w:lang w:bidi="ar"/>
              </w:rPr>
            </w:pPr>
            <w:r>
              <w:rPr>
                <w:rFonts w:hint="eastAsia"/>
                <w:szCs w:val="21"/>
                <w:lang w:bidi="ar"/>
              </w:rPr>
              <w:t>②交通运输部的信用评价等级；</w:t>
            </w:r>
          </w:p>
          <w:p>
            <w:pPr>
              <w:spacing w:line="300" w:lineRule="exact"/>
              <w:jc w:val="left"/>
              <w:rPr>
                <w:szCs w:val="21"/>
                <w:lang w:bidi="ar"/>
              </w:rPr>
            </w:pPr>
            <w:r>
              <w:rPr>
                <w:rFonts w:hint="eastAsia"/>
                <w:szCs w:val="21"/>
                <w:lang w:bidi="ar"/>
              </w:rPr>
              <w:t>③投标单位注册地交通运输主管部门的信用评价等级。</w:t>
            </w:r>
            <w:r>
              <w:rPr>
                <w:szCs w:val="21"/>
                <w:lang w:bidi="ar"/>
              </w:rPr>
              <w:t>（其专业评价包含的实际范围与我省的评价专业范围完全一致的，按照专业评价引用，否则按综合评价引用）。</w:t>
            </w:r>
          </w:p>
          <w:p>
            <w:pPr>
              <w:spacing w:line="300" w:lineRule="exact"/>
              <w:jc w:val="left"/>
              <w:rPr>
                <w:szCs w:val="21"/>
                <w:lang w:bidi="ar"/>
              </w:rPr>
            </w:pPr>
            <w:r>
              <w:rPr>
                <w:szCs w:val="21"/>
                <w:lang w:bidi="ar"/>
              </w:rPr>
              <w:t>以上同一优先级中，投标专业对应的专业评价优先于不分专业的综合评价，综合评价优先于非投标专业对应的专业评价（若同一投标人出现多个“非投标专业对应的专业评价”时，按有利于投标人的原则引用，即引用其中等级较高的评价结果）。</w:t>
            </w:r>
          </w:p>
          <w:p>
            <w:pPr>
              <w:spacing w:line="300" w:lineRule="exact"/>
              <w:jc w:val="left"/>
              <w:rPr>
                <w:szCs w:val="21"/>
                <w:lang w:bidi="ar"/>
              </w:rPr>
            </w:pPr>
            <w:r>
              <w:rPr>
                <w:szCs w:val="21"/>
                <w:lang w:bidi="ar"/>
              </w:rPr>
              <w:t>无上述 3 种信用评价等级时，其信用评价等级按以下原则确定（评价结果视为综合评价结果）：</w:t>
            </w:r>
          </w:p>
          <w:p>
            <w:pPr>
              <w:spacing w:line="300" w:lineRule="exact"/>
              <w:jc w:val="left"/>
              <w:rPr>
                <w:szCs w:val="21"/>
                <w:lang w:bidi="ar"/>
              </w:rPr>
            </w:pPr>
            <w:r>
              <w:rPr>
                <w:szCs w:val="21"/>
                <w:lang w:bidi="ar"/>
              </w:rPr>
              <w:t>——没有发现不良信用记录的，按 A 级对待；</w:t>
            </w:r>
          </w:p>
          <w:p>
            <w:pPr>
              <w:spacing w:line="300" w:lineRule="exact"/>
              <w:jc w:val="left"/>
              <w:rPr>
                <w:szCs w:val="21"/>
                <w:lang w:bidi="ar"/>
              </w:rPr>
            </w:pPr>
            <w:r>
              <w:rPr>
                <w:szCs w:val="21"/>
                <w:lang w:bidi="ar"/>
              </w:rPr>
              <w:t>——有一般不良记录的，按 B 级对待；</w:t>
            </w:r>
          </w:p>
          <w:p>
            <w:pPr>
              <w:spacing w:line="300" w:lineRule="exact"/>
              <w:jc w:val="left"/>
              <w:rPr>
                <w:szCs w:val="21"/>
                <w:lang w:bidi="ar"/>
              </w:rPr>
            </w:pPr>
            <w:r>
              <w:rPr>
                <w:szCs w:val="21"/>
                <w:lang w:bidi="ar"/>
              </w:rPr>
              <w:t>——仅有 1 次达到直接定为 D 级不良记录的，或仅有 2 次达到直接定为 C 级不良记录的，按 C 级对待；</w:t>
            </w:r>
          </w:p>
          <w:p>
            <w:pPr>
              <w:spacing w:line="300" w:lineRule="exact"/>
              <w:jc w:val="left"/>
              <w:rPr>
                <w:szCs w:val="21"/>
                <w:lang w:bidi="ar"/>
              </w:rPr>
            </w:pPr>
            <w:r>
              <w:rPr>
                <w:szCs w:val="21"/>
                <w:lang w:bidi="ar"/>
              </w:rPr>
              <w:t>——发生直接定为 D 级不良记录超过 1 次的，或直接定为 C 级不良记录超过 2 次的，或直接定为 D、C 级不良记录合计 2 次的，按 D 级对待。</w:t>
            </w:r>
          </w:p>
          <w:p>
            <w:pPr>
              <w:spacing w:line="300" w:lineRule="exact"/>
              <w:jc w:val="left"/>
              <w:rPr>
                <w:szCs w:val="21"/>
                <w:lang w:bidi="ar"/>
              </w:rPr>
            </w:pPr>
            <w:r>
              <w:rPr>
                <w:szCs w:val="21"/>
                <w:lang w:bidi="ar"/>
              </w:rPr>
              <w:t>以上不良信用记录的认定，按交通运输部《公路施工企业信用评价规则》（交公路发〔2009〕733 号）第十三条的规定执行。</w:t>
            </w:r>
          </w:p>
          <w:p>
            <w:pPr>
              <w:numPr>
                <w:ilvl w:val="0"/>
                <w:numId w:val="3"/>
              </w:numPr>
              <w:spacing w:line="380" w:lineRule="atLeast"/>
              <w:jc w:val="left"/>
              <w:rPr>
                <w:szCs w:val="21"/>
                <w:lang w:bidi="ar"/>
              </w:rPr>
            </w:pPr>
            <w:r>
              <w:rPr>
                <w:szCs w:val="21"/>
                <w:lang w:bidi="ar"/>
              </w:rPr>
              <w:t>评标加分或减分标准：</w:t>
            </w:r>
          </w:p>
          <w:tbl>
            <w:tblPr>
              <w:tblStyle w:val="9"/>
              <w:tblW w:w="6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14"/>
              <w:gridCol w:w="816"/>
              <w:gridCol w:w="815"/>
              <w:gridCol w:w="815"/>
              <w:gridCol w:w="815"/>
              <w:gridCol w:w="816"/>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814" w:type="dxa"/>
                  <w:vMerge w:val="restart"/>
                  <w:noWrap w:val="0"/>
                  <w:vAlign w:val="top"/>
                </w:tcPr>
                <w:p>
                  <w:pPr>
                    <w:spacing w:line="380" w:lineRule="atLeast"/>
                    <w:jc w:val="left"/>
                    <w:rPr>
                      <w:szCs w:val="21"/>
                    </w:rPr>
                  </w:pPr>
                  <w:r>
                    <w:rPr>
                      <w:rFonts w:hint="eastAsia"/>
                      <w:szCs w:val="21"/>
                    </w:rPr>
                    <w:t>最新</w:t>
                  </w:r>
                </w:p>
                <w:p>
                  <w:pPr>
                    <w:spacing w:line="380" w:lineRule="atLeast"/>
                    <w:jc w:val="left"/>
                    <w:rPr>
                      <w:szCs w:val="21"/>
                    </w:rPr>
                  </w:pPr>
                  <w:r>
                    <w:rPr>
                      <w:rFonts w:hint="eastAsia"/>
                      <w:szCs w:val="21"/>
                    </w:rPr>
                    <w:t>信用</w:t>
                  </w:r>
                </w:p>
                <w:p>
                  <w:pPr>
                    <w:spacing w:line="380" w:lineRule="atLeast"/>
                    <w:jc w:val="left"/>
                    <w:rPr>
                      <w:szCs w:val="21"/>
                    </w:rPr>
                  </w:pPr>
                  <w:r>
                    <w:rPr>
                      <w:rFonts w:hint="eastAsia"/>
                      <w:szCs w:val="21"/>
                    </w:rPr>
                    <w:t>等级</w:t>
                  </w:r>
                </w:p>
              </w:tc>
              <w:tc>
                <w:tcPr>
                  <w:tcW w:w="1630" w:type="dxa"/>
                  <w:gridSpan w:val="2"/>
                  <w:noWrap w:val="0"/>
                  <w:vAlign w:val="top"/>
                </w:tcPr>
                <w:p>
                  <w:pPr>
                    <w:spacing w:line="380" w:lineRule="atLeast"/>
                    <w:jc w:val="center"/>
                    <w:rPr>
                      <w:szCs w:val="21"/>
                    </w:rPr>
                  </w:pPr>
                  <w:r>
                    <w:rPr>
                      <w:rFonts w:hint="eastAsia"/>
                      <w:szCs w:val="21"/>
                    </w:rPr>
                    <w:t>AA</w:t>
                  </w:r>
                </w:p>
              </w:tc>
              <w:tc>
                <w:tcPr>
                  <w:tcW w:w="1630" w:type="dxa"/>
                  <w:gridSpan w:val="2"/>
                  <w:noWrap w:val="0"/>
                  <w:vAlign w:val="top"/>
                </w:tcPr>
                <w:p>
                  <w:pPr>
                    <w:spacing w:line="380" w:lineRule="atLeast"/>
                    <w:jc w:val="center"/>
                    <w:rPr>
                      <w:szCs w:val="21"/>
                    </w:rPr>
                  </w:pPr>
                  <w:r>
                    <w:rPr>
                      <w:rFonts w:hint="eastAsia"/>
                      <w:szCs w:val="21"/>
                    </w:rPr>
                    <w:t>A</w:t>
                  </w:r>
                </w:p>
              </w:tc>
              <w:tc>
                <w:tcPr>
                  <w:tcW w:w="815" w:type="dxa"/>
                  <w:noWrap w:val="0"/>
                  <w:vAlign w:val="top"/>
                </w:tcPr>
                <w:p>
                  <w:pPr>
                    <w:spacing w:line="380" w:lineRule="atLeast"/>
                    <w:jc w:val="center"/>
                    <w:rPr>
                      <w:szCs w:val="21"/>
                    </w:rPr>
                  </w:pPr>
                  <w:r>
                    <w:rPr>
                      <w:rFonts w:hint="eastAsia"/>
                      <w:szCs w:val="21"/>
                    </w:rPr>
                    <w:t>B</w:t>
                  </w:r>
                </w:p>
              </w:tc>
              <w:tc>
                <w:tcPr>
                  <w:tcW w:w="1631" w:type="dxa"/>
                  <w:gridSpan w:val="2"/>
                  <w:noWrap w:val="0"/>
                  <w:vAlign w:val="top"/>
                </w:tcPr>
                <w:p>
                  <w:pPr>
                    <w:spacing w:line="380" w:lineRule="atLeast"/>
                    <w:jc w:val="center"/>
                    <w:rPr>
                      <w:szCs w:val="21"/>
                    </w:rPr>
                  </w:pPr>
                  <w:r>
                    <w:rPr>
                      <w:rFonts w:hint="eastAsia"/>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14" w:type="dxa"/>
                  <w:vMerge w:val="continue"/>
                  <w:noWrap w:val="0"/>
                  <w:vAlign w:val="top"/>
                </w:tcPr>
                <w:p>
                  <w:pPr>
                    <w:spacing w:line="380" w:lineRule="atLeast"/>
                    <w:jc w:val="left"/>
                    <w:rPr>
                      <w:szCs w:val="21"/>
                    </w:rPr>
                  </w:pPr>
                </w:p>
              </w:tc>
              <w:tc>
                <w:tcPr>
                  <w:tcW w:w="814" w:type="dxa"/>
                  <w:noWrap w:val="0"/>
                  <w:vAlign w:val="center"/>
                </w:tcPr>
                <w:p>
                  <w:pPr>
                    <w:jc w:val="center"/>
                    <w:rPr>
                      <w:szCs w:val="21"/>
                    </w:rPr>
                  </w:pPr>
                  <w:r>
                    <w:rPr>
                      <w:rFonts w:ascii="宋体" w:hAnsi="宋体" w:cs="宋体"/>
                      <w:szCs w:val="21"/>
                    </w:rPr>
                    <w:t>专业 评价</w:t>
                  </w:r>
                </w:p>
              </w:tc>
              <w:tc>
                <w:tcPr>
                  <w:tcW w:w="816" w:type="dxa"/>
                  <w:noWrap w:val="0"/>
                  <w:vAlign w:val="center"/>
                </w:tcPr>
                <w:p>
                  <w:pPr>
                    <w:jc w:val="center"/>
                    <w:rPr>
                      <w:szCs w:val="21"/>
                    </w:rPr>
                  </w:pPr>
                  <w:r>
                    <w:rPr>
                      <w:rFonts w:ascii="宋体" w:hAnsi="宋体" w:cs="宋体"/>
                      <w:szCs w:val="21"/>
                    </w:rPr>
                    <w:t>综合 评价</w:t>
                  </w:r>
                </w:p>
              </w:tc>
              <w:tc>
                <w:tcPr>
                  <w:tcW w:w="815" w:type="dxa"/>
                  <w:noWrap w:val="0"/>
                  <w:vAlign w:val="center"/>
                </w:tcPr>
                <w:p>
                  <w:pPr>
                    <w:jc w:val="center"/>
                    <w:rPr>
                      <w:szCs w:val="21"/>
                    </w:rPr>
                  </w:pPr>
                  <w:r>
                    <w:rPr>
                      <w:rFonts w:ascii="宋体" w:hAnsi="宋体" w:cs="宋体"/>
                      <w:szCs w:val="21"/>
                    </w:rPr>
                    <w:t>专业 评价</w:t>
                  </w:r>
                </w:p>
              </w:tc>
              <w:tc>
                <w:tcPr>
                  <w:tcW w:w="815" w:type="dxa"/>
                  <w:noWrap w:val="0"/>
                  <w:vAlign w:val="center"/>
                </w:tcPr>
                <w:p>
                  <w:pPr>
                    <w:jc w:val="center"/>
                    <w:rPr>
                      <w:szCs w:val="21"/>
                    </w:rPr>
                  </w:pPr>
                  <w:r>
                    <w:rPr>
                      <w:rFonts w:ascii="宋体" w:hAnsi="宋体" w:cs="宋体"/>
                      <w:szCs w:val="21"/>
                    </w:rPr>
                    <w:t>综合 评价</w:t>
                  </w:r>
                </w:p>
              </w:tc>
              <w:tc>
                <w:tcPr>
                  <w:tcW w:w="815" w:type="dxa"/>
                  <w:noWrap w:val="0"/>
                  <w:vAlign w:val="center"/>
                </w:tcPr>
                <w:p>
                  <w:pPr>
                    <w:jc w:val="center"/>
                    <w:rPr>
                      <w:szCs w:val="21"/>
                    </w:rPr>
                  </w:pPr>
                  <w:r>
                    <w:rPr>
                      <w:rFonts w:hint="eastAsia"/>
                      <w:szCs w:val="21"/>
                    </w:rPr>
                    <w:t>—</w:t>
                  </w:r>
                </w:p>
              </w:tc>
              <w:tc>
                <w:tcPr>
                  <w:tcW w:w="816" w:type="dxa"/>
                  <w:noWrap w:val="0"/>
                  <w:vAlign w:val="center"/>
                </w:tcPr>
                <w:p>
                  <w:pPr>
                    <w:jc w:val="center"/>
                    <w:rPr>
                      <w:szCs w:val="21"/>
                    </w:rPr>
                  </w:pPr>
                  <w:r>
                    <w:rPr>
                      <w:rFonts w:ascii="宋体" w:hAnsi="宋体" w:cs="宋体"/>
                      <w:szCs w:val="21"/>
                    </w:rPr>
                    <w:t>专业 评价</w:t>
                  </w:r>
                </w:p>
              </w:tc>
              <w:tc>
                <w:tcPr>
                  <w:tcW w:w="815" w:type="dxa"/>
                  <w:noWrap w:val="0"/>
                  <w:vAlign w:val="center"/>
                </w:tcPr>
                <w:p>
                  <w:pPr>
                    <w:jc w:val="center"/>
                    <w:rPr>
                      <w:szCs w:val="21"/>
                    </w:rPr>
                  </w:pPr>
                  <w:r>
                    <w:rPr>
                      <w:rFonts w:ascii="宋体" w:hAnsi="宋体" w:cs="宋体"/>
                      <w:szCs w:val="21"/>
                    </w:rPr>
                    <w:t>综合 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14" w:type="dxa"/>
                  <w:noWrap w:val="0"/>
                  <w:vAlign w:val="top"/>
                </w:tcPr>
                <w:p>
                  <w:pPr>
                    <w:spacing w:line="380" w:lineRule="atLeast"/>
                    <w:jc w:val="left"/>
                    <w:rPr>
                      <w:szCs w:val="21"/>
                    </w:rPr>
                  </w:pPr>
                  <w:r>
                    <w:rPr>
                      <w:rFonts w:hint="eastAsia"/>
                      <w:szCs w:val="21"/>
                    </w:rPr>
                    <w:t>取值</w:t>
                  </w:r>
                </w:p>
              </w:tc>
              <w:tc>
                <w:tcPr>
                  <w:tcW w:w="814" w:type="dxa"/>
                  <w:noWrap w:val="0"/>
                  <w:vAlign w:val="top"/>
                </w:tcPr>
                <w:p>
                  <w:pPr>
                    <w:spacing w:line="380" w:lineRule="atLeast"/>
                    <w:jc w:val="center"/>
                    <w:rPr>
                      <w:szCs w:val="21"/>
                    </w:rPr>
                  </w:pPr>
                  <w:r>
                    <w:rPr>
                      <w:rFonts w:hint="eastAsia"/>
                      <w:szCs w:val="21"/>
                    </w:rPr>
                    <w:t>+3</w:t>
                  </w:r>
                </w:p>
              </w:tc>
              <w:tc>
                <w:tcPr>
                  <w:tcW w:w="816" w:type="dxa"/>
                  <w:noWrap w:val="0"/>
                  <w:vAlign w:val="top"/>
                </w:tcPr>
                <w:p>
                  <w:pPr>
                    <w:spacing w:line="380" w:lineRule="atLeast"/>
                    <w:jc w:val="center"/>
                    <w:rPr>
                      <w:szCs w:val="21"/>
                    </w:rPr>
                  </w:pPr>
                  <w:r>
                    <w:rPr>
                      <w:rFonts w:hint="eastAsia"/>
                      <w:szCs w:val="21"/>
                    </w:rPr>
                    <w:t>+1.5</w:t>
                  </w:r>
                </w:p>
              </w:tc>
              <w:tc>
                <w:tcPr>
                  <w:tcW w:w="815" w:type="dxa"/>
                  <w:noWrap w:val="0"/>
                  <w:vAlign w:val="top"/>
                </w:tcPr>
                <w:p>
                  <w:pPr>
                    <w:spacing w:line="380" w:lineRule="atLeast"/>
                    <w:jc w:val="center"/>
                    <w:rPr>
                      <w:szCs w:val="21"/>
                    </w:rPr>
                  </w:pPr>
                  <w:r>
                    <w:rPr>
                      <w:rFonts w:hint="eastAsia"/>
                      <w:szCs w:val="21"/>
                    </w:rPr>
                    <w:t>+1.5</w:t>
                  </w:r>
                </w:p>
              </w:tc>
              <w:tc>
                <w:tcPr>
                  <w:tcW w:w="815" w:type="dxa"/>
                  <w:noWrap w:val="0"/>
                  <w:vAlign w:val="top"/>
                </w:tcPr>
                <w:p>
                  <w:pPr>
                    <w:spacing w:line="380" w:lineRule="atLeast"/>
                    <w:jc w:val="center"/>
                    <w:rPr>
                      <w:szCs w:val="21"/>
                    </w:rPr>
                  </w:pPr>
                  <w:r>
                    <w:rPr>
                      <w:rFonts w:hint="eastAsia"/>
                      <w:szCs w:val="21"/>
                    </w:rPr>
                    <w:t>+0.8</w:t>
                  </w:r>
                </w:p>
              </w:tc>
              <w:tc>
                <w:tcPr>
                  <w:tcW w:w="815" w:type="dxa"/>
                  <w:noWrap w:val="0"/>
                  <w:vAlign w:val="top"/>
                </w:tcPr>
                <w:p>
                  <w:pPr>
                    <w:spacing w:line="380" w:lineRule="atLeast"/>
                    <w:jc w:val="center"/>
                    <w:rPr>
                      <w:szCs w:val="21"/>
                    </w:rPr>
                  </w:pPr>
                  <w:r>
                    <w:rPr>
                      <w:rFonts w:hint="eastAsia"/>
                      <w:szCs w:val="21"/>
                    </w:rPr>
                    <w:t>0</w:t>
                  </w:r>
                </w:p>
              </w:tc>
              <w:tc>
                <w:tcPr>
                  <w:tcW w:w="816" w:type="dxa"/>
                  <w:noWrap w:val="0"/>
                  <w:vAlign w:val="top"/>
                </w:tcPr>
                <w:p>
                  <w:pPr>
                    <w:spacing w:line="380" w:lineRule="atLeast"/>
                    <w:jc w:val="center"/>
                    <w:rPr>
                      <w:szCs w:val="21"/>
                    </w:rPr>
                  </w:pPr>
                  <w:r>
                    <w:rPr>
                      <w:rFonts w:hint="eastAsia"/>
                      <w:szCs w:val="21"/>
                    </w:rPr>
                    <w:t>-3</w:t>
                  </w:r>
                </w:p>
              </w:tc>
              <w:tc>
                <w:tcPr>
                  <w:tcW w:w="815" w:type="dxa"/>
                  <w:noWrap w:val="0"/>
                  <w:vAlign w:val="top"/>
                </w:tcPr>
                <w:p>
                  <w:pPr>
                    <w:spacing w:line="380" w:lineRule="atLeast"/>
                    <w:jc w:val="center"/>
                    <w:rPr>
                      <w:szCs w:val="21"/>
                    </w:rPr>
                  </w:pPr>
                  <w:r>
                    <w:rPr>
                      <w:rFonts w:hint="eastAsia"/>
                      <w:szCs w:val="21"/>
                    </w:rPr>
                    <w:t>-1.5</w:t>
                  </w:r>
                </w:p>
              </w:tc>
            </w:tr>
          </w:tbl>
          <w:p>
            <w:pPr>
              <w:spacing w:line="380" w:lineRule="atLeast"/>
              <w:ind w:firstLine="201" w:firstLineChars="100"/>
              <w:rPr>
                <w:szCs w:val="21"/>
              </w:rPr>
            </w:pPr>
            <w:r>
              <w:rPr>
                <w:b/>
                <w:bCs/>
                <w:sz w:val="20"/>
                <w:szCs w:val="20"/>
                <w:lang w:bidi="ar"/>
              </w:rPr>
              <w:t>注：</w:t>
            </w:r>
            <w:r>
              <w:rPr>
                <w:rFonts w:hint="eastAsia"/>
                <w:b/>
                <w:bCs/>
                <w:sz w:val="20"/>
                <w:szCs w:val="20"/>
                <w:lang w:bidi="ar"/>
              </w:rPr>
              <w:t>本项目对应专业为养护专业，</w:t>
            </w:r>
            <w:r>
              <w:rPr>
                <w:b/>
                <w:bCs/>
                <w:sz w:val="20"/>
                <w:szCs w:val="20"/>
                <w:lang w:bidi="ar"/>
              </w:rPr>
              <w:t>在引用上表时，非投标专业对应的专业评价视为综合评价</w:t>
            </w:r>
          </w:p>
        </w:tc>
      </w:tr>
    </w:tbl>
    <w:p/>
    <w:tbl>
      <w:tblPr>
        <w:tblStyle w:val="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287" w:type="dxa"/>
            <w:gridSpan w:val="2"/>
            <w:noWrap w:val="0"/>
            <w:vAlign w:val="top"/>
          </w:tcPr>
          <w:p>
            <w:pPr>
              <w:wordWrap w:val="0"/>
              <w:spacing w:line="360" w:lineRule="atLeast"/>
              <w:rPr>
                <w:rFonts w:eastAsia="黑体"/>
                <w:sz w:val="24"/>
              </w:rPr>
            </w:pPr>
            <w:r>
              <w:rPr>
                <w:rFonts w:hint="eastAsia" w:eastAsia="黑体"/>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990" w:type="dxa"/>
            <w:noWrap w:val="0"/>
            <w:vAlign w:val="top"/>
          </w:tcPr>
          <w:p>
            <w:pPr>
              <w:wordWrap w:val="0"/>
              <w:spacing w:line="360" w:lineRule="atLeast"/>
              <w:jc w:val="center"/>
              <w:rPr>
                <w:rFonts w:eastAsia="黑体"/>
                <w:sz w:val="24"/>
              </w:rPr>
            </w:pPr>
            <w:r>
              <w:rPr>
                <w:rFonts w:hint="eastAsia" w:eastAsia="黑体"/>
                <w:sz w:val="24"/>
              </w:rPr>
              <w:t>条款号</w:t>
            </w:r>
          </w:p>
        </w:tc>
        <w:tc>
          <w:tcPr>
            <w:tcW w:w="8297" w:type="dxa"/>
            <w:noWrap w:val="0"/>
            <w:vAlign w:val="top"/>
          </w:tcPr>
          <w:p>
            <w:pPr>
              <w:wordWrap w:val="0"/>
              <w:spacing w:line="360" w:lineRule="atLeast"/>
              <w:jc w:val="center"/>
              <w:rPr>
                <w:rFonts w:eastAsia="黑体"/>
                <w:sz w:val="24"/>
              </w:rPr>
            </w:pPr>
            <w:r>
              <w:rPr>
                <w:rFonts w:hint="eastAsia" w:eastAsia="黑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990" w:type="dxa"/>
            <w:noWrap w:val="0"/>
            <w:vAlign w:val="center"/>
          </w:tcPr>
          <w:p>
            <w:pPr>
              <w:wordWrap w:val="0"/>
              <w:spacing w:line="352" w:lineRule="atLeast"/>
              <w:jc w:val="center"/>
              <w:rPr>
                <w:szCs w:val="21"/>
              </w:rPr>
            </w:pPr>
            <w:r>
              <w:rPr>
                <w:szCs w:val="21"/>
              </w:rPr>
              <w:t>1</w:t>
            </w:r>
          </w:p>
        </w:tc>
        <w:tc>
          <w:tcPr>
            <w:tcW w:w="8297" w:type="dxa"/>
            <w:noWrap w:val="0"/>
            <w:vAlign w:val="top"/>
          </w:tcPr>
          <w:p>
            <w:pPr>
              <w:spacing w:line="400" w:lineRule="exact"/>
              <w:ind w:firstLine="420" w:firstLineChars="200"/>
              <w:rPr>
                <w:szCs w:val="21"/>
              </w:rPr>
            </w:pPr>
            <w:r>
              <w:rPr>
                <w:szCs w:val="21"/>
              </w:rPr>
              <w:t>1</w:t>
            </w:r>
            <w:r>
              <w:rPr>
                <w:rFonts w:hint="eastAsia"/>
                <w:szCs w:val="21"/>
              </w:rPr>
              <w:t>、评标办法</w:t>
            </w:r>
          </w:p>
          <w:p>
            <w:pPr>
              <w:spacing w:line="400" w:lineRule="exact"/>
              <w:ind w:firstLine="420" w:firstLineChars="200"/>
              <w:rPr>
                <w:szCs w:val="21"/>
              </w:rPr>
            </w:pPr>
            <w:r>
              <w:rPr>
                <w:rFonts w:hint="eastAsia"/>
                <w:szCs w:val="21"/>
              </w:rPr>
              <w:t>本条细化为：</w:t>
            </w:r>
          </w:p>
          <w:p>
            <w:pPr>
              <w:spacing w:line="400" w:lineRule="exact"/>
              <w:ind w:firstLine="420" w:firstLineChars="200"/>
              <w:rPr>
                <w:szCs w:val="21"/>
              </w:rPr>
            </w:pPr>
            <w:r>
              <w:rPr>
                <w:szCs w:val="21"/>
              </w:rPr>
              <w:t>1.1</w:t>
            </w:r>
            <w:r>
              <w:rPr>
                <w:rFonts w:hint="eastAsia"/>
                <w:szCs w:val="21"/>
              </w:rPr>
              <w:t>评标委员会首先对投标文件第一个信封进行初步评审，并对通过第一个信封初步评审的投标文件按照本章第</w:t>
            </w:r>
            <w:r>
              <w:rPr>
                <w:szCs w:val="21"/>
              </w:rPr>
              <w:t>2.2</w:t>
            </w:r>
            <w:r>
              <w:rPr>
                <w:rFonts w:hint="eastAsia"/>
                <w:szCs w:val="21"/>
              </w:rPr>
              <w:t>款规定的评分标准进行第一个信封详细评审及评分：各评分因素（评标价和履约信誉评分项除外）得分一般不得低于其权重分值的</w:t>
            </w:r>
            <w:r>
              <w:rPr>
                <w:szCs w:val="21"/>
              </w:rPr>
              <w:t>60%</w:t>
            </w:r>
            <w:r>
              <w:rPr>
                <w:rFonts w:hint="eastAsia"/>
                <w:szCs w:val="21"/>
              </w:rPr>
              <w:t>，且各评分因素得分应以评标委员会各成员的打分平均值确定，评标委员会成员总数为五人（含）以上时，该平均值以去掉一个最高分和一个最低分后计算。评标委员会成员对某一项评分因素的评分低于权重分值</w:t>
            </w:r>
            <w:r>
              <w:rPr>
                <w:szCs w:val="21"/>
              </w:rPr>
              <w:t>60%</w:t>
            </w:r>
            <w:r>
              <w:rPr>
                <w:rFonts w:hint="eastAsia"/>
                <w:szCs w:val="21"/>
              </w:rPr>
              <w:t>的，应在评标报告中作出说明。</w:t>
            </w:r>
          </w:p>
          <w:p>
            <w:pPr>
              <w:spacing w:line="400" w:lineRule="exact"/>
              <w:ind w:firstLine="420" w:firstLineChars="200"/>
              <w:rPr>
                <w:szCs w:val="21"/>
              </w:rPr>
            </w:pPr>
            <w:r>
              <w:rPr>
                <w:szCs w:val="21"/>
              </w:rPr>
              <w:t>1.</w:t>
            </w:r>
            <w:r>
              <w:rPr>
                <w:rFonts w:hint="eastAsia"/>
                <w:szCs w:val="21"/>
              </w:rPr>
              <w:t>2评标委员会对投标文件第二个信封进行初步评审，对通过第二个信封初步评审的投标文件按照本章第</w:t>
            </w:r>
            <w:r>
              <w:rPr>
                <w:szCs w:val="21"/>
              </w:rPr>
              <w:t>2.2</w:t>
            </w:r>
            <w:r>
              <w:rPr>
                <w:rFonts w:hint="eastAsia"/>
                <w:szCs w:val="21"/>
              </w:rPr>
              <w:t>款规定的评分标准进行评标价评分（保留小数点后三位，小数点后第四位</w:t>
            </w:r>
            <w:r>
              <w:rPr>
                <w:rFonts w:ascii="宋体" w:hAnsi="宋体"/>
                <w:szCs w:val="21"/>
              </w:rPr>
              <w:t>“</w:t>
            </w:r>
            <w:r>
              <w:rPr>
                <w:rFonts w:hint="eastAsia"/>
                <w:szCs w:val="21"/>
              </w:rPr>
              <w:t>四舍五入</w:t>
            </w:r>
            <w:r>
              <w:rPr>
                <w:rFonts w:ascii="宋体" w:hAnsi="宋体"/>
                <w:szCs w:val="21"/>
              </w:rPr>
              <w:t>”</w:t>
            </w:r>
            <w:r>
              <w:rPr>
                <w:rFonts w:hint="eastAsia"/>
                <w:szCs w:val="21"/>
              </w:rPr>
              <w:t>），但投标报价低于其成本的除外。</w:t>
            </w:r>
          </w:p>
          <w:p>
            <w:pPr>
              <w:spacing w:line="400" w:lineRule="exact"/>
              <w:ind w:firstLine="420" w:firstLineChars="200"/>
              <w:jc w:val="left"/>
              <w:rPr>
                <w:rFonts w:hint="eastAsia"/>
                <w:szCs w:val="21"/>
              </w:rPr>
            </w:pPr>
            <w:r>
              <w:rPr>
                <w:rFonts w:hint="eastAsia"/>
                <w:szCs w:val="21"/>
              </w:rPr>
              <w:t>1.3在评标过程中，评标委员会应审查投标文件中提供的证明文件，对投标人的资质、业绩、主要人员资历和目前在岗情况、信用等级等信息进行核实。若投标文件载明的信息与招标文件规定不符，使得投标人的资格条件不符合招标文件规定的，评标委员会应否决其投标</w:t>
            </w:r>
          </w:p>
          <w:p>
            <w:pPr>
              <w:spacing w:line="400" w:lineRule="exact"/>
              <w:ind w:firstLine="420" w:firstLineChars="200"/>
              <w:jc w:val="left"/>
              <w:rPr>
                <w:rFonts w:hint="eastAsia"/>
                <w:szCs w:val="21"/>
              </w:rPr>
            </w:pPr>
            <w:r>
              <w:rPr>
                <w:rFonts w:hint="eastAsia"/>
                <w:szCs w:val="21"/>
              </w:rPr>
              <w:t>投标人参与投标和允许中标的标段数量根据其最新信用评价等级按下表规定执行，投标人应按标段分别进行投标。若投标人在两个标段最终排名均为第一，则优先推荐最高限价较高的标段，并取消另外一个标段中标候选人资格，剩余中标候选人名次依次前提，招标文件获取及可允许中标数量满足下表规定。</w:t>
            </w:r>
          </w:p>
          <w:tbl>
            <w:tblPr>
              <w:tblStyle w:val="9"/>
              <w:tblW w:w="800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83"/>
              <w:gridCol w:w="2742"/>
              <w:gridCol w:w="1130"/>
              <w:gridCol w:w="1250"/>
              <w:gridCol w:w="1096"/>
              <w:gridCol w:w="99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45" w:hRule="atLeast"/>
                <w:jc w:val="center"/>
              </w:trPr>
              <w:tc>
                <w:tcPr>
                  <w:tcW w:w="783" w:type="dxa"/>
                  <w:noWrap w:val="0"/>
                  <w:vAlign w:val="center"/>
                </w:tcPr>
                <w:p>
                  <w:pPr>
                    <w:widowControl/>
                    <w:spacing w:line="400" w:lineRule="exact"/>
                    <w:jc w:val="left"/>
                    <w:rPr>
                      <w:rFonts w:ascii="宋体" w:hAnsi="宋体" w:cs="宋体"/>
                      <w:b/>
                      <w:bCs/>
                      <w:kern w:val="0"/>
                      <w:sz w:val="18"/>
                      <w:szCs w:val="18"/>
                    </w:rPr>
                  </w:pPr>
                  <w:r>
                    <w:rPr>
                      <w:rFonts w:hint="eastAsia" w:ascii="宋体" w:hAnsi="宋体" w:cs="宋体"/>
                      <w:b/>
                      <w:bCs/>
                      <w:kern w:val="0"/>
                      <w:sz w:val="18"/>
                      <w:szCs w:val="18"/>
                    </w:rPr>
                    <w:t>序号</w:t>
                  </w:r>
                </w:p>
              </w:tc>
              <w:tc>
                <w:tcPr>
                  <w:tcW w:w="2742" w:type="dxa"/>
                  <w:noWrap w:val="0"/>
                  <w:vAlign w:val="center"/>
                </w:tcPr>
                <w:p>
                  <w:pPr>
                    <w:widowControl/>
                    <w:spacing w:line="400" w:lineRule="exact"/>
                    <w:ind w:firstLine="361" w:firstLineChars="200"/>
                    <w:jc w:val="left"/>
                    <w:rPr>
                      <w:rFonts w:ascii="宋体" w:hAnsi="宋体" w:cs="宋体"/>
                      <w:b/>
                      <w:bCs/>
                      <w:kern w:val="0"/>
                      <w:sz w:val="18"/>
                      <w:szCs w:val="18"/>
                    </w:rPr>
                  </w:pPr>
                  <w:r>
                    <w:rPr>
                      <w:rFonts w:hint="eastAsia" w:ascii="宋体" w:hAnsi="宋体" w:cs="宋体"/>
                      <w:b/>
                      <w:bCs/>
                      <w:kern w:val="0"/>
                      <w:sz w:val="18"/>
                      <w:szCs w:val="18"/>
                    </w:rPr>
                    <w:t>最新信用评价等级</w:t>
                  </w:r>
                </w:p>
              </w:tc>
              <w:tc>
                <w:tcPr>
                  <w:tcW w:w="1130" w:type="dxa"/>
                  <w:noWrap w:val="0"/>
                  <w:vAlign w:val="center"/>
                </w:tcPr>
                <w:p>
                  <w:pPr>
                    <w:widowControl/>
                    <w:spacing w:line="400" w:lineRule="exact"/>
                    <w:ind w:firstLine="361" w:firstLineChars="200"/>
                    <w:jc w:val="left"/>
                    <w:rPr>
                      <w:rFonts w:ascii="宋体" w:hAnsi="宋体" w:cs="宋体"/>
                      <w:b/>
                      <w:bCs/>
                      <w:kern w:val="0"/>
                      <w:sz w:val="18"/>
                      <w:szCs w:val="18"/>
                    </w:rPr>
                  </w:pPr>
                  <w:r>
                    <w:rPr>
                      <w:rFonts w:hint="eastAsia" w:ascii="宋体" w:hAnsi="宋体" w:cs="宋体"/>
                      <w:b/>
                      <w:bCs/>
                      <w:kern w:val="0"/>
                      <w:sz w:val="18"/>
                      <w:szCs w:val="18"/>
                    </w:rPr>
                    <w:t>AA</w:t>
                  </w:r>
                </w:p>
              </w:tc>
              <w:tc>
                <w:tcPr>
                  <w:tcW w:w="1250" w:type="dxa"/>
                  <w:noWrap w:val="0"/>
                  <w:vAlign w:val="center"/>
                </w:tcPr>
                <w:p>
                  <w:pPr>
                    <w:widowControl/>
                    <w:spacing w:line="400" w:lineRule="exact"/>
                    <w:ind w:firstLine="361" w:firstLineChars="200"/>
                    <w:jc w:val="left"/>
                    <w:rPr>
                      <w:rFonts w:ascii="宋体" w:hAnsi="宋体" w:cs="宋体"/>
                      <w:b/>
                      <w:bCs/>
                      <w:kern w:val="0"/>
                      <w:sz w:val="18"/>
                      <w:szCs w:val="18"/>
                    </w:rPr>
                  </w:pPr>
                  <w:r>
                    <w:rPr>
                      <w:rFonts w:hint="eastAsia" w:ascii="宋体" w:hAnsi="宋体" w:cs="宋体"/>
                      <w:b/>
                      <w:bCs/>
                      <w:kern w:val="0"/>
                      <w:sz w:val="18"/>
                      <w:szCs w:val="18"/>
                    </w:rPr>
                    <w:t>A</w:t>
                  </w:r>
                </w:p>
              </w:tc>
              <w:tc>
                <w:tcPr>
                  <w:tcW w:w="1096" w:type="dxa"/>
                  <w:noWrap w:val="0"/>
                  <w:vAlign w:val="center"/>
                </w:tcPr>
                <w:p>
                  <w:pPr>
                    <w:widowControl/>
                    <w:spacing w:line="400" w:lineRule="exact"/>
                    <w:ind w:firstLine="361" w:firstLineChars="200"/>
                    <w:jc w:val="left"/>
                    <w:rPr>
                      <w:rFonts w:ascii="宋体" w:hAnsi="宋体" w:cs="宋体"/>
                      <w:b/>
                      <w:bCs/>
                      <w:kern w:val="0"/>
                      <w:sz w:val="18"/>
                      <w:szCs w:val="18"/>
                    </w:rPr>
                  </w:pPr>
                  <w:r>
                    <w:rPr>
                      <w:rFonts w:hint="eastAsia" w:ascii="宋体" w:hAnsi="宋体" w:cs="宋体"/>
                      <w:b/>
                      <w:bCs/>
                      <w:kern w:val="0"/>
                      <w:sz w:val="18"/>
                      <w:szCs w:val="18"/>
                    </w:rPr>
                    <w:t>B</w:t>
                  </w:r>
                </w:p>
              </w:tc>
              <w:tc>
                <w:tcPr>
                  <w:tcW w:w="999" w:type="dxa"/>
                  <w:noWrap w:val="0"/>
                  <w:vAlign w:val="center"/>
                </w:tcPr>
                <w:p>
                  <w:pPr>
                    <w:widowControl/>
                    <w:spacing w:line="400" w:lineRule="exact"/>
                    <w:ind w:firstLine="361" w:firstLineChars="200"/>
                    <w:jc w:val="left"/>
                    <w:rPr>
                      <w:rFonts w:ascii="宋体" w:hAnsi="宋体" w:cs="宋体"/>
                      <w:b/>
                      <w:bCs/>
                      <w:kern w:val="0"/>
                      <w:sz w:val="18"/>
                      <w:szCs w:val="18"/>
                    </w:rPr>
                  </w:pPr>
                  <w:r>
                    <w:rPr>
                      <w:rFonts w:hint="eastAsia" w:ascii="宋体" w:hAnsi="宋体" w:cs="宋体"/>
                      <w:b/>
                      <w:bCs/>
                      <w:kern w:val="0"/>
                      <w:sz w:val="18"/>
                      <w:szCs w:val="18"/>
                    </w:rPr>
                    <w:t>C</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63" w:hRule="atLeast"/>
                <w:jc w:val="center"/>
              </w:trPr>
              <w:tc>
                <w:tcPr>
                  <w:tcW w:w="783" w:type="dxa"/>
                  <w:noWrap w:val="0"/>
                  <w:vAlign w:val="center"/>
                </w:tcPr>
                <w:p>
                  <w:pPr>
                    <w:widowControl/>
                    <w:spacing w:line="400" w:lineRule="exact"/>
                    <w:ind w:firstLine="360" w:firstLineChars="200"/>
                    <w:jc w:val="left"/>
                    <w:rPr>
                      <w:rFonts w:ascii="宋体" w:hAnsi="宋体" w:cs="宋体"/>
                      <w:kern w:val="0"/>
                      <w:sz w:val="18"/>
                      <w:szCs w:val="18"/>
                    </w:rPr>
                  </w:pPr>
                  <w:r>
                    <w:rPr>
                      <w:rFonts w:hint="eastAsia" w:ascii="宋体" w:hAnsi="宋体" w:cs="宋体"/>
                      <w:kern w:val="0"/>
                      <w:sz w:val="18"/>
                      <w:szCs w:val="18"/>
                    </w:rPr>
                    <w:t>1</w:t>
                  </w:r>
                </w:p>
              </w:tc>
              <w:tc>
                <w:tcPr>
                  <w:tcW w:w="2742" w:type="dxa"/>
                  <w:noWrap w:val="0"/>
                  <w:vAlign w:val="center"/>
                </w:tcPr>
                <w:p>
                  <w:pPr>
                    <w:widowControl/>
                    <w:spacing w:line="400" w:lineRule="exact"/>
                    <w:ind w:firstLine="360" w:firstLineChars="200"/>
                    <w:jc w:val="left"/>
                    <w:rPr>
                      <w:rFonts w:ascii="宋体" w:hAnsi="宋体" w:cs="宋体"/>
                      <w:kern w:val="0"/>
                      <w:sz w:val="18"/>
                      <w:szCs w:val="18"/>
                    </w:rPr>
                  </w:pPr>
                  <w:r>
                    <w:rPr>
                      <w:rFonts w:hint="eastAsia" w:ascii="宋体" w:hAnsi="宋体" w:cs="宋体"/>
                      <w:kern w:val="0"/>
                      <w:sz w:val="18"/>
                      <w:szCs w:val="18"/>
                    </w:rPr>
                    <w:t>可参与投标的标段数量（个）</w:t>
                  </w:r>
                </w:p>
              </w:tc>
              <w:tc>
                <w:tcPr>
                  <w:tcW w:w="1130" w:type="dxa"/>
                  <w:noWrap w:val="0"/>
                  <w:vAlign w:val="center"/>
                </w:tcPr>
                <w:p>
                  <w:pPr>
                    <w:widowControl/>
                    <w:spacing w:line="400" w:lineRule="exact"/>
                    <w:ind w:firstLine="360" w:firstLineChars="200"/>
                    <w:jc w:val="left"/>
                    <w:rPr>
                      <w:rFonts w:ascii="宋体" w:hAnsi="宋体" w:cs="宋体"/>
                      <w:kern w:val="0"/>
                      <w:sz w:val="18"/>
                      <w:szCs w:val="18"/>
                    </w:rPr>
                  </w:pPr>
                  <w:r>
                    <w:rPr>
                      <w:rFonts w:hint="eastAsia" w:ascii="宋体" w:hAnsi="宋体" w:cs="宋体"/>
                      <w:kern w:val="0"/>
                      <w:sz w:val="18"/>
                      <w:szCs w:val="18"/>
                    </w:rPr>
                    <w:t>2</w:t>
                  </w:r>
                </w:p>
              </w:tc>
              <w:tc>
                <w:tcPr>
                  <w:tcW w:w="1250" w:type="dxa"/>
                  <w:noWrap w:val="0"/>
                  <w:vAlign w:val="center"/>
                </w:tcPr>
                <w:p>
                  <w:pPr>
                    <w:widowControl/>
                    <w:spacing w:line="400" w:lineRule="exact"/>
                    <w:ind w:firstLine="360" w:firstLineChars="200"/>
                    <w:jc w:val="left"/>
                    <w:rPr>
                      <w:rFonts w:ascii="宋体" w:hAnsi="宋体" w:cs="宋体"/>
                      <w:kern w:val="0"/>
                      <w:sz w:val="18"/>
                      <w:szCs w:val="18"/>
                    </w:rPr>
                  </w:pPr>
                  <w:r>
                    <w:rPr>
                      <w:rFonts w:hint="eastAsia" w:ascii="宋体" w:hAnsi="宋体" w:cs="宋体"/>
                      <w:kern w:val="0"/>
                      <w:sz w:val="18"/>
                      <w:szCs w:val="18"/>
                    </w:rPr>
                    <w:t>2</w:t>
                  </w:r>
                </w:p>
              </w:tc>
              <w:tc>
                <w:tcPr>
                  <w:tcW w:w="1096" w:type="dxa"/>
                  <w:noWrap w:val="0"/>
                  <w:vAlign w:val="center"/>
                </w:tcPr>
                <w:p>
                  <w:pPr>
                    <w:spacing w:line="400" w:lineRule="exact"/>
                    <w:ind w:firstLine="360" w:firstLineChars="200"/>
                    <w:jc w:val="left"/>
                    <w:rPr>
                      <w:rFonts w:ascii="宋体" w:hAnsi="宋体" w:cs="宋体"/>
                      <w:kern w:val="0"/>
                      <w:sz w:val="18"/>
                      <w:szCs w:val="18"/>
                    </w:rPr>
                  </w:pPr>
                  <w:r>
                    <w:rPr>
                      <w:rFonts w:hint="eastAsia" w:ascii="宋体" w:hAnsi="宋体" w:cs="宋体"/>
                      <w:kern w:val="0"/>
                      <w:sz w:val="18"/>
                      <w:szCs w:val="18"/>
                    </w:rPr>
                    <w:t>1</w:t>
                  </w:r>
                </w:p>
              </w:tc>
              <w:tc>
                <w:tcPr>
                  <w:tcW w:w="999" w:type="dxa"/>
                  <w:noWrap w:val="0"/>
                  <w:vAlign w:val="center"/>
                </w:tcPr>
                <w:p>
                  <w:pPr>
                    <w:spacing w:line="400" w:lineRule="exact"/>
                    <w:ind w:firstLine="360" w:firstLineChars="200"/>
                    <w:jc w:val="left"/>
                    <w:rPr>
                      <w:rFonts w:ascii="宋体" w:hAnsi="宋体" w:cs="宋体"/>
                      <w:kern w:val="0"/>
                      <w:sz w:val="18"/>
                      <w:szCs w:val="18"/>
                    </w:rPr>
                  </w:pPr>
                  <w:r>
                    <w:rPr>
                      <w:rFonts w:hint="eastAsia" w:ascii="宋体" w:hAnsi="宋体" w:cs="宋体"/>
                      <w:kern w:val="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02" w:hRule="atLeast"/>
                <w:jc w:val="center"/>
              </w:trPr>
              <w:tc>
                <w:tcPr>
                  <w:tcW w:w="783" w:type="dxa"/>
                  <w:noWrap w:val="0"/>
                  <w:vAlign w:val="center"/>
                </w:tcPr>
                <w:p>
                  <w:pPr>
                    <w:widowControl/>
                    <w:spacing w:line="400" w:lineRule="exact"/>
                    <w:ind w:firstLine="360" w:firstLineChars="200"/>
                    <w:jc w:val="left"/>
                    <w:rPr>
                      <w:rFonts w:ascii="宋体" w:hAnsi="宋体" w:cs="宋体"/>
                      <w:kern w:val="0"/>
                      <w:sz w:val="18"/>
                      <w:szCs w:val="18"/>
                    </w:rPr>
                  </w:pPr>
                  <w:r>
                    <w:rPr>
                      <w:rFonts w:hint="eastAsia" w:ascii="宋体" w:hAnsi="宋体" w:cs="宋体"/>
                      <w:kern w:val="0"/>
                      <w:sz w:val="18"/>
                      <w:szCs w:val="18"/>
                    </w:rPr>
                    <w:t>2</w:t>
                  </w:r>
                </w:p>
              </w:tc>
              <w:tc>
                <w:tcPr>
                  <w:tcW w:w="2742" w:type="dxa"/>
                  <w:noWrap w:val="0"/>
                  <w:vAlign w:val="center"/>
                </w:tcPr>
                <w:p>
                  <w:pPr>
                    <w:widowControl/>
                    <w:spacing w:line="400" w:lineRule="exact"/>
                    <w:ind w:firstLine="360" w:firstLineChars="200"/>
                    <w:jc w:val="left"/>
                    <w:rPr>
                      <w:rFonts w:ascii="宋体" w:hAnsi="宋体" w:cs="宋体"/>
                      <w:kern w:val="0"/>
                      <w:sz w:val="18"/>
                      <w:szCs w:val="18"/>
                    </w:rPr>
                  </w:pPr>
                  <w:r>
                    <w:rPr>
                      <w:rFonts w:hint="eastAsia" w:ascii="宋体" w:hAnsi="宋体" w:cs="宋体"/>
                      <w:kern w:val="0"/>
                      <w:sz w:val="18"/>
                      <w:szCs w:val="18"/>
                    </w:rPr>
                    <w:t>允许中标的标段数量（个）</w:t>
                  </w:r>
                </w:p>
              </w:tc>
              <w:tc>
                <w:tcPr>
                  <w:tcW w:w="1130" w:type="dxa"/>
                  <w:noWrap w:val="0"/>
                  <w:vAlign w:val="center"/>
                </w:tcPr>
                <w:p>
                  <w:pPr>
                    <w:widowControl/>
                    <w:spacing w:line="400" w:lineRule="exact"/>
                    <w:ind w:firstLine="360" w:firstLineChars="200"/>
                    <w:jc w:val="left"/>
                    <w:rPr>
                      <w:rFonts w:hint="eastAsia" w:ascii="宋体" w:hAnsi="宋体" w:cs="宋体"/>
                      <w:kern w:val="0"/>
                      <w:sz w:val="18"/>
                      <w:szCs w:val="18"/>
                    </w:rPr>
                  </w:pPr>
                  <w:r>
                    <w:rPr>
                      <w:rFonts w:ascii="宋体" w:hAnsi="宋体" w:cs="宋体"/>
                      <w:kern w:val="0"/>
                      <w:sz w:val="18"/>
                      <w:szCs w:val="18"/>
                    </w:rPr>
                    <w:t>1</w:t>
                  </w:r>
                </w:p>
              </w:tc>
              <w:tc>
                <w:tcPr>
                  <w:tcW w:w="1250" w:type="dxa"/>
                  <w:noWrap w:val="0"/>
                  <w:vAlign w:val="center"/>
                </w:tcPr>
                <w:p>
                  <w:pPr>
                    <w:widowControl/>
                    <w:spacing w:line="400" w:lineRule="exact"/>
                    <w:ind w:firstLine="360" w:firstLineChars="200"/>
                    <w:jc w:val="left"/>
                    <w:rPr>
                      <w:rFonts w:ascii="宋体" w:hAnsi="宋体" w:cs="宋体"/>
                      <w:kern w:val="0"/>
                      <w:sz w:val="18"/>
                      <w:szCs w:val="18"/>
                    </w:rPr>
                  </w:pPr>
                  <w:r>
                    <w:rPr>
                      <w:rFonts w:hint="eastAsia" w:ascii="宋体" w:hAnsi="宋体" w:cs="宋体"/>
                      <w:kern w:val="0"/>
                      <w:sz w:val="18"/>
                      <w:szCs w:val="18"/>
                    </w:rPr>
                    <w:t>1</w:t>
                  </w:r>
                </w:p>
              </w:tc>
              <w:tc>
                <w:tcPr>
                  <w:tcW w:w="1096" w:type="dxa"/>
                  <w:noWrap w:val="0"/>
                  <w:vAlign w:val="center"/>
                </w:tcPr>
                <w:p>
                  <w:pPr>
                    <w:widowControl/>
                    <w:spacing w:line="400" w:lineRule="exact"/>
                    <w:ind w:firstLine="360" w:firstLineChars="200"/>
                    <w:jc w:val="left"/>
                    <w:rPr>
                      <w:rFonts w:ascii="宋体" w:hAnsi="宋体" w:cs="宋体"/>
                      <w:kern w:val="0"/>
                      <w:sz w:val="18"/>
                      <w:szCs w:val="18"/>
                    </w:rPr>
                  </w:pPr>
                  <w:r>
                    <w:rPr>
                      <w:rFonts w:hint="eastAsia" w:ascii="宋体" w:hAnsi="宋体" w:cs="宋体"/>
                      <w:kern w:val="0"/>
                      <w:sz w:val="18"/>
                      <w:szCs w:val="18"/>
                    </w:rPr>
                    <w:t>1</w:t>
                  </w:r>
                </w:p>
              </w:tc>
              <w:tc>
                <w:tcPr>
                  <w:tcW w:w="999" w:type="dxa"/>
                  <w:noWrap w:val="0"/>
                  <w:vAlign w:val="center"/>
                </w:tcPr>
                <w:p>
                  <w:pPr>
                    <w:widowControl/>
                    <w:spacing w:line="400" w:lineRule="exact"/>
                    <w:ind w:firstLine="360" w:firstLineChars="200"/>
                    <w:jc w:val="left"/>
                    <w:rPr>
                      <w:rFonts w:ascii="宋体" w:hAnsi="宋体" w:cs="宋体"/>
                      <w:kern w:val="0"/>
                      <w:sz w:val="18"/>
                      <w:szCs w:val="18"/>
                    </w:rPr>
                  </w:pPr>
                  <w:r>
                    <w:rPr>
                      <w:rFonts w:hint="eastAsia" w:ascii="宋体" w:hAnsi="宋体" w:cs="宋体"/>
                      <w:kern w:val="0"/>
                      <w:sz w:val="18"/>
                      <w:szCs w:val="18"/>
                    </w:rPr>
                    <w:t>1</w:t>
                  </w:r>
                </w:p>
              </w:tc>
            </w:tr>
          </w:tbl>
          <w:p>
            <w:pPr>
              <w:spacing w:line="400" w:lineRule="exact"/>
              <w:ind w:firstLine="422" w:firstLineChars="200"/>
              <w:rPr>
                <w:szCs w:val="21"/>
              </w:rPr>
            </w:pPr>
            <w:r>
              <w:rPr>
                <w:rFonts w:hint="eastAsia"/>
                <w:b/>
                <w:bCs/>
                <w:szCs w:val="21"/>
              </w:rPr>
              <w:t>通过第一个信封评审且参与第二个信封开标的投标人在</w:t>
            </w:r>
            <w:r>
              <w:rPr>
                <w:b/>
                <w:bCs/>
                <w:szCs w:val="21"/>
              </w:rPr>
              <w:t>3</w:t>
            </w:r>
            <w:r>
              <w:rPr>
                <w:rFonts w:hint="eastAsia"/>
                <w:b/>
                <w:bCs/>
                <w:szCs w:val="21"/>
              </w:rPr>
              <w:t>个及以上的，招标人将按规定的程序进行第二个信封开标</w:t>
            </w:r>
            <w:r>
              <w:rPr>
                <w:rFonts w:hint="eastAsia"/>
                <w:szCs w:val="21"/>
              </w:rPr>
              <w:t>；在对第二个信封进行评审后，有效投标不足</w:t>
            </w:r>
            <w:r>
              <w:rPr>
                <w:szCs w:val="21"/>
              </w:rPr>
              <w:t>3</w:t>
            </w:r>
            <w:r>
              <w:rPr>
                <w:rFonts w:hint="eastAsia"/>
                <w:szCs w:val="21"/>
              </w:rPr>
              <w:t>个使得投标明显缺乏竞争的，评标委员会可以否决这一标段的全部投标。评标委员会未否决全部投标的，应当在评标报告中阐明理由并推荐这一标段中标候选人。</w:t>
            </w:r>
          </w:p>
        </w:tc>
      </w:tr>
    </w:tbl>
    <w:p>
      <w:bookmarkStart w:id="32" w:name="_GoBack"/>
      <w:bookmarkEnd w:id="32"/>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spacing w:line="300" w:lineRule="atLeast"/>
        <w:ind w:left="180" w:hanging="180" w:hangingChars="100"/>
        <w:rPr>
          <w:szCs w:val="18"/>
        </w:rPr>
      </w:pPr>
      <w:r>
        <w:rPr>
          <w:rStyle w:val="11"/>
        </w:rPr>
        <w:footnoteRef/>
      </w:r>
      <w:r>
        <w:rPr>
          <w:rFonts w:hint="eastAsia" w:ascii="宋体" w:hAnsi="宋体"/>
          <w:szCs w:val="18"/>
        </w:rPr>
        <w:t>“</w:t>
      </w:r>
      <w:r>
        <w:rPr>
          <w:rFonts w:hint="eastAsia"/>
          <w:szCs w:val="18"/>
        </w:rPr>
        <w:t>评标办法前附表</w:t>
      </w:r>
      <w:r>
        <w:rPr>
          <w:rFonts w:hint="eastAsia" w:ascii="宋体" w:hAnsi="宋体"/>
          <w:szCs w:val="18"/>
        </w:rPr>
        <w:t>”</w:t>
      </w:r>
      <w:r>
        <w:rPr>
          <w:rFonts w:hint="eastAsia"/>
          <w:szCs w:val="18"/>
        </w:rPr>
        <w:t>用于进一步明确正文中的未尽事宜，由招标人根据招标项目具体特点和实际需要编制和填写。评标办法前附表是对评标办法正文的修改、补充和细化，应对照评标办法正文中同一编号的条款一起阅读和理解。</w:t>
      </w:r>
      <w:r>
        <w:rPr>
          <w:rFonts w:hint="eastAsia" w:ascii="黑体" w:hAnsi="黑体" w:eastAsia="黑体"/>
          <w:szCs w:val="18"/>
        </w:rPr>
        <w:t>如前附表与正文不一致时，以前附表的规定为准。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3FC48D"/>
    <w:multiLevelType w:val="singleLevel"/>
    <w:tmpl w:val="EE3FC48D"/>
    <w:lvl w:ilvl="0" w:tentative="0">
      <w:start w:val="3"/>
      <w:numFmt w:val="decimal"/>
      <w:suff w:val="nothing"/>
      <w:lvlText w:val="%1、"/>
      <w:lvlJc w:val="left"/>
    </w:lvl>
  </w:abstractNum>
  <w:abstractNum w:abstractNumId="1">
    <w:nsid w:val="0259163D"/>
    <w:multiLevelType w:val="singleLevel"/>
    <w:tmpl w:val="0259163D"/>
    <w:lvl w:ilvl="0" w:tentative="0">
      <w:start w:val="1"/>
      <w:numFmt w:val="decimal"/>
      <w:suff w:val="nothing"/>
      <w:lvlText w:val="%1、"/>
      <w:lvlJc w:val="left"/>
    </w:lvl>
  </w:abstractNum>
  <w:abstractNum w:abstractNumId="2">
    <w:nsid w:val="1F8E53F2"/>
    <w:multiLevelType w:val="singleLevel"/>
    <w:tmpl w:val="1F8E53F2"/>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21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1"/>
    <w:pPr>
      <w:spacing w:after="120"/>
    </w:pPr>
  </w:style>
  <w:style w:type="paragraph" w:styleId="4">
    <w:name w:val="Body Text Indent 2"/>
    <w:basedOn w:val="1"/>
    <w:qFormat/>
    <w:uiPriority w:val="0"/>
    <w:pPr>
      <w:spacing w:line="500" w:lineRule="exact"/>
      <w:ind w:firstLine="540" w:firstLineChars="200"/>
    </w:pPr>
    <w:rPr>
      <w:rFonts w:ascii="宋体" w:hAnsi="宋体"/>
      <w:sz w:val="27"/>
      <w:szCs w:val="27"/>
    </w:rPr>
  </w:style>
  <w:style w:type="paragraph" w:styleId="5">
    <w:name w:val="footer"/>
    <w:basedOn w:val="1"/>
    <w:next w:val="6"/>
    <w:uiPriority w:val="0"/>
    <w:pPr>
      <w:tabs>
        <w:tab w:val="center" w:pos="4153"/>
        <w:tab w:val="right" w:pos="8306"/>
      </w:tabs>
      <w:snapToGrid w:val="0"/>
      <w:jc w:val="left"/>
    </w:pPr>
    <w:rPr>
      <w:sz w:val="18"/>
    </w:rPr>
  </w:style>
  <w:style w:type="paragraph" w:customStyle="1" w:styleId="6">
    <w:name w:val="彩色列表 - 强调文字颜色 11"/>
    <w:basedOn w:val="1"/>
    <w:next w:val="1"/>
    <w:qFormat/>
    <w:uiPriority w:val="0"/>
    <w:pPr>
      <w:ind w:firstLine="420" w:firstLineChars="200"/>
    </w:pPr>
    <w:rPr>
      <w:rFonts w:ascii="Calibri" w:hAnsi="Calibri"/>
      <w:szCs w:val="22"/>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adjustRightInd w:val="0"/>
      <w:snapToGrid w:val="0"/>
      <w:spacing w:line="420" w:lineRule="atLeast"/>
      <w:ind w:firstLine="454"/>
      <w:jc w:val="left"/>
      <w:textAlignment w:val="baseline"/>
    </w:pPr>
    <w:rPr>
      <w:kern w:val="0"/>
      <w:sz w:val="18"/>
      <w:szCs w:val="20"/>
    </w:rPr>
  </w:style>
  <w:style w:type="character" w:styleId="11">
    <w:name w:val="footnote reference"/>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2023-07-27T05:05:25Z</dcterms:created>
  <dc:creator>fanmeifang</dc:creator>
  <cp:lastModifiedBy>范美方</cp:lastModifiedBy>
  <dcterms:modified xsi:type="dcterms:W3CDTF">2023-07-27T05:06:55Z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