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color w:val="auto"/>
          <w:highlight w:val="none"/>
        </w:rPr>
      </w:pPr>
      <w:r>
        <w:rPr>
          <w:color w:val="auto"/>
          <w:highlight w:val="none"/>
        </w:rPr>
        <w:t xml:space="preserve">附录1 </w:t>
      </w:r>
      <w:r>
        <w:rPr>
          <w:rFonts w:hint="eastAsia"/>
          <w:color w:val="auto"/>
          <w:highlight w:val="none"/>
          <w:lang w:val="en-US" w:eastAsia="zh-CN"/>
        </w:rPr>
        <w:t xml:space="preserve"> </w:t>
      </w:r>
      <w:r>
        <w:rPr>
          <w:color w:val="auto"/>
          <w:highlight w:val="none"/>
        </w:rPr>
        <w:t>资格审查条件（资质最低条件）</w:t>
      </w:r>
    </w:p>
    <w:p>
      <w:pPr>
        <w:snapToGrid w:val="0"/>
        <w:ind w:firstLine="0" w:firstLineChars="0"/>
        <w:jc w:val="both"/>
        <w:rPr>
          <w:color w:val="auto"/>
          <w:sz w:val="21"/>
          <w:szCs w:val="21"/>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1674"/>
        <w:gridCol w:w="6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04" w:hRule="atLeast"/>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0" w:firstLineChars="0"/>
              <w:jc w:val="center"/>
              <w:rPr>
                <w:b/>
                <w:bCs/>
                <w:color w:val="auto"/>
                <w:kern w:val="0"/>
                <w:sz w:val="21"/>
                <w:szCs w:val="21"/>
                <w:highlight w:val="none"/>
              </w:rPr>
            </w:pPr>
            <w:r>
              <w:rPr>
                <w:b/>
                <w:bCs/>
                <w:color w:val="auto"/>
                <w:kern w:val="0"/>
                <w:sz w:val="21"/>
                <w:szCs w:val="21"/>
                <w:highlight w:val="none"/>
              </w:rPr>
              <w:t>法人资格和资质要求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57"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jc w:val="center"/>
              <w:rPr>
                <w:rFonts w:hint="eastAsia"/>
                <w:highlight w:val="none"/>
                <w:lang w:val="en-US" w:eastAsia="zh-CN"/>
              </w:rPr>
            </w:pPr>
            <w:r>
              <w:rPr>
                <w:rFonts w:hint="eastAsia"/>
                <w:highlight w:val="none"/>
                <w:lang w:val="en-US" w:eastAsia="zh-CN"/>
              </w:rPr>
              <w:t>APQLJK-01</w:t>
            </w:r>
          </w:p>
          <w:p>
            <w:pPr>
              <w:spacing w:line="360" w:lineRule="exact"/>
              <w:ind w:firstLine="0" w:firstLineChars="0"/>
              <w:jc w:val="center"/>
              <w:rPr>
                <w:rFonts w:hint="eastAsia"/>
                <w:highlight w:val="none"/>
                <w:lang w:val="en-US" w:eastAsia="zh-CN"/>
              </w:rPr>
            </w:pPr>
            <w:r>
              <w:rPr>
                <w:rFonts w:hint="default"/>
                <w:highlight w:val="none"/>
                <w:lang w:val="en-US" w:eastAsia="zh-CN"/>
              </w:rPr>
              <w:t>APQLJ</w:t>
            </w:r>
            <w:r>
              <w:rPr>
                <w:rFonts w:hint="eastAsia"/>
                <w:highlight w:val="none"/>
                <w:lang w:val="en-US" w:eastAsia="zh-CN"/>
              </w:rPr>
              <w:t>K</w:t>
            </w:r>
            <w:r>
              <w:rPr>
                <w:rFonts w:hint="default"/>
                <w:highlight w:val="none"/>
                <w:lang w:val="en-US" w:eastAsia="zh-CN"/>
              </w:rPr>
              <w:t>-0</w:t>
            </w:r>
            <w:r>
              <w:rPr>
                <w:rFonts w:hint="eastAsia"/>
                <w:highlight w:val="none"/>
                <w:lang w:val="en-US" w:eastAsia="zh-CN"/>
              </w:rPr>
              <w:t>2</w:t>
            </w:r>
          </w:p>
          <w:p>
            <w:pPr>
              <w:spacing w:line="360" w:lineRule="exact"/>
              <w:ind w:firstLine="0" w:firstLineChars="0"/>
              <w:jc w:val="center"/>
              <w:rPr>
                <w:rFonts w:hint="eastAsia"/>
                <w:highlight w:val="none"/>
                <w:lang w:val="en-US" w:eastAsia="zh-CN"/>
              </w:rPr>
            </w:pPr>
            <w:r>
              <w:rPr>
                <w:rFonts w:hint="default"/>
                <w:highlight w:val="none"/>
                <w:lang w:val="en-US" w:eastAsia="zh-CN"/>
              </w:rPr>
              <w:t>APQLJ</w:t>
            </w:r>
            <w:r>
              <w:rPr>
                <w:rFonts w:hint="eastAsia"/>
                <w:highlight w:val="none"/>
                <w:lang w:val="en-US" w:eastAsia="zh-CN"/>
              </w:rPr>
              <w:t>K</w:t>
            </w:r>
            <w:r>
              <w:rPr>
                <w:rFonts w:hint="default"/>
                <w:highlight w:val="none"/>
                <w:lang w:val="en-US" w:eastAsia="zh-CN"/>
              </w:rPr>
              <w:t>-0</w:t>
            </w:r>
            <w:r>
              <w:rPr>
                <w:rFonts w:hint="eastAsia"/>
                <w:highlight w:val="none"/>
                <w:lang w:val="en-US" w:eastAsia="zh-CN"/>
              </w:rPr>
              <w:t>3</w:t>
            </w:r>
          </w:p>
          <w:p>
            <w:pPr>
              <w:spacing w:line="360" w:lineRule="exact"/>
              <w:ind w:firstLine="0" w:firstLineChars="0"/>
              <w:jc w:val="center"/>
              <w:rPr>
                <w:rFonts w:hint="eastAsia"/>
                <w:highlight w:val="none"/>
                <w:lang w:val="en-US" w:eastAsia="zh-CN"/>
              </w:rPr>
            </w:pPr>
            <w:r>
              <w:rPr>
                <w:rFonts w:hint="default"/>
                <w:highlight w:val="none"/>
                <w:lang w:val="en-US" w:eastAsia="zh-CN"/>
              </w:rPr>
              <w:t>APQLJ</w:t>
            </w:r>
            <w:r>
              <w:rPr>
                <w:rFonts w:hint="eastAsia"/>
                <w:highlight w:val="none"/>
                <w:lang w:val="en-US" w:eastAsia="zh-CN"/>
              </w:rPr>
              <w:t>K</w:t>
            </w:r>
            <w:r>
              <w:rPr>
                <w:rFonts w:hint="default"/>
                <w:highlight w:val="none"/>
                <w:lang w:val="en-US" w:eastAsia="zh-CN"/>
              </w:rPr>
              <w:t>-0</w:t>
            </w:r>
            <w:r>
              <w:rPr>
                <w:rFonts w:hint="eastAsia"/>
                <w:highlight w:val="none"/>
                <w:lang w:val="en-US" w:eastAsia="zh-CN"/>
              </w:rPr>
              <w:t>4</w:t>
            </w:r>
          </w:p>
          <w:p>
            <w:pPr>
              <w:spacing w:line="360" w:lineRule="exact"/>
              <w:ind w:firstLine="0" w:firstLineChars="0"/>
              <w:jc w:val="center"/>
              <w:rPr>
                <w:rFonts w:hint="eastAsia"/>
                <w:color w:val="auto"/>
                <w:kern w:val="0"/>
                <w:sz w:val="21"/>
                <w:szCs w:val="21"/>
                <w:highlight w:val="none"/>
                <w:lang w:eastAsia="zh-CN"/>
              </w:rPr>
            </w:pPr>
            <w:r>
              <w:rPr>
                <w:rFonts w:hint="eastAsia"/>
                <w:highlight w:val="none"/>
                <w:lang w:val="en-US" w:eastAsia="zh-CN"/>
              </w:rPr>
              <w:t>APQLJK-05</w:t>
            </w:r>
          </w:p>
        </w:tc>
        <w:tc>
          <w:tcPr>
            <w:tcW w:w="720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jc w:val="both"/>
              <w:rPr>
                <w:rFonts w:hint="eastAsia"/>
                <w:color w:val="auto"/>
                <w:kern w:val="0"/>
                <w:sz w:val="21"/>
                <w:szCs w:val="21"/>
                <w:highlight w:val="none"/>
                <w:lang w:eastAsia="zh-CN"/>
              </w:rPr>
            </w:pPr>
            <w:r>
              <w:rPr>
                <w:rFonts w:hint="eastAsia"/>
                <w:color w:val="auto"/>
                <w:kern w:val="0"/>
                <w:sz w:val="21"/>
                <w:szCs w:val="21"/>
                <w:highlight w:val="none"/>
                <w:lang w:eastAsia="zh-CN"/>
              </w:rPr>
              <w:t>1.具有交通运输部核发的公路工程试验检测机构综合甲级资质或桥梁隧道工程专项资质；</w:t>
            </w:r>
          </w:p>
          <w:p>
            <w:pPr>
              <w:spacing w:line="360" w:lineRule="exact"/>
              <w:ind w:firstLine="0" w:firstLineChars="0"/>
              <w:jc w:val="both"/>
              <w:rPr>
                <w:rFonts w:hint="eastAsia"/>
                <w:color w:val="auto"/>
                <w:kern w:val="0"/>
                <w:sz w:val="21"/>
                <w:szCs w:val="21"/>
                <w:highlight w:val="none"/>
                <w:lang w:eastAsia="zh-CN"/>
              </w:rPr>
            </w:pPr>
            <w:r>
              <w:rPr>
                <w:rFonts w:hint="eastAsia"/>
                <w:color w:val="auto"/>
                <w:kern w:val="0"/>
                <w:sz w:val="21"/>
                <w:szCs w:val="21"/>
                <w:highlight w:val="none"/>
                <w:lang w:eastAsia="zh-CN"/>
              </w:rPr>
              <w:t>2.具有有效的计量认证证书（CMA），计量认证证书附表所列计量认证参数须涵盖招标</w:t>
            </w:r>
            <w:r>
              <w:rPr>
                <w:rFonts w:hint="eastAsia"/>
                <w:color w:val="auto"/>
                <w:kern w:val="0"/>
                <w:sz w:val="21"/>
                <w:szCs w:val="21"/>
                <w:highlight w:val="none"/>
                <w:lang w:val="en-US" w:eastAsia="zh-CN"/>
              </w:rPr>
              <w:t>标段</w:t>
            </w:r>
            <w:r>
              <w:rPr>
                <w:rFonts w:hint="eastAsia"/>
                <w:color w:val="auto"/>
                <w:kern w:val="0"/>
                <w:sz w:val="21"/>
                <w:szCs w:val="21"/>
                <w:highlight w:val="none"/>
                <w:lang w:eastAsia="zh-CN"/>
              </w:rPr>
              <w:t>所需的全部内容。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57"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jc w:val="center"/>
              <w:rPr>
                <w:rFonts w:hint="default" w:eastAsia="宋体"/>
                <w:highlight w:val="none"/>
                <w:lang w:val="en-US" w:eastAsia="zh-CN"/>
              </w:rPr>
            </w:pPr>
            <w:r>
              <w:rPr>
                <w:rFonts w:hint="default"/>
                <w:highlight w:val="none"/>
                <w:lang w:val="en-US" w:eastAsia="zh-CN"/>
              </w:rPr>
              <w:t>A</w:t>
            </w:r>
            <w:r>
              <w:rPr>
                <w:rFonts w:hint="default" w:eastAsia="宋体"/>
                <w:highlight w:val="none"/>
                <w:lang w:val="en-US" w:eastAsia="zh-CN"/>
              </w:rPr>
              <w:t>PBPJC-01</w:t>
            </w:r>
          </w:p>
          <w:p>
            <w:pPr>
              <w:spacing w:line="360" w:lineRule="exact"/>
              <w:ind w:firstLine="0" w:firstLineChars="0"/>
              <w:jc w:val="center"/>
              <w:rPr>
                <w:rFonts w:hint="eastAsia" w:eastAsia="宋体"/>
                <w:highlight w:val="none"/>
                <w:lang w:val="en-US" w:eastAsia="zh-CN"/>
              </w:rPr>
            </w:pPr>
            <w:r>
              <w:rPr>
                <w:rFonts w:hint="default" w:eastAsia="宋体"/>
                <w:highlight w:val="none"/>
                <w:lang w:val="en-US" w:eastAsia="zh-CN"/>
              </w:rPr>
              <w:t>APBPJC-0</w:t>
            </w:r>
            <w:r>
              <w:rPr>
                <w:rFonts w:hint="eastAsia" w:eastAsia="宋体"/>
                <w:highlight w:val="none"/>
                <w:lang w:val="en-US" w:eastAsia="zh-CN"/>
              </w:rPr>
              <w:t>2</w:t>
            </w:r>
          </w:p>
          <w:p>
            <w:pPr>
              <w:spacing w:line="360" w:lineRule="exact"/>
              <w:ind w:firstLine="0" w:firstLineChars="0"/>
              <w:jc w:val="center"/>
              <w:rPr>
                <w:rFonts w:hint="eastAsia" w:eastAsia="宋体"/>
                <w:highlight w:val="none"/>
                <w:lang w:val="en-US" w:eastAsia="zh-CN"/>
              </w:rPr>
            </w:pPr>
            <w:r>
              <w:rPr>
                <w:rFonts w:hint="default" w:eastAsia="宋体"/>
                <w:highlight w:val="none"/>
                <w:lang w:val="en-US" w:eastAsia="zh-CN"/>
              </w:rPr>
              <w:t>APBPJC-0</w:t>
            </w:r>
            <w:r>
              <w:rPr>
                <w:rFonts w:hint="eastAsia" w:eastAsia="宋体"/>
                <w:highlight w:val="none"/>
                <w:lang w:val="en-US" w:eastAsia="zh-CN"/>
              </w:rPr>
              <w:t>3</w:t>
            </w:r>
          </w:p>
          <w:p>
            <w:pPr>
              <w:spacing w:line="360" w:lineRule="exact"/>
              <w:ind w:firstLine="0" w:firstLineChars="0"/>
              <w:jc w:val="center"/>
              <w:rPr>
                <w:rFonts w:hint="default"/>
                <w:highlight w:val="none"/>
                <w:lang w:val="en-US" w:eastAsia="zh-CN"/>
              </w:rPr>
            </w:pPr>
            <w:r>
              <w:rPr>
                <w:rFonts w:hint="eastAsia" w:eastAsia="宋体"/>
                <w:highlight w:val="none"/>
                <w:lang w:val="en-US" w:eastAsia="zh-CN"/>
              </w:rPr>
              <w:t>APBPJC-04</w:t>
            </w:r>
          </w:p>
        </w:tc>
        <w:tc>
          <w:tcPr>
            <w:tcW w:w="72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exact"/>
              <w:ind w:firstLine="0" w:firstLineChars="0"/>
              <w:jc w:val="both"/>
              <w:rPr>
                <w:rFonts w:hint="eastAsia"/>
                <w:color w:val="auto"/>
                <w:kern w:val="0"/>
                <w:sz w:val="21"/>
                <w:szCs w:val="21"/>
                <w:highlight w:val="none"/>
              </w:rPr>
            </w:pPr>
            <w:r>
              <w:rPr>
                <w:rFonts w:hint="eastAsia"/>
                <w:color w:val="auto"/>
                <w:kern w:val="0"/>
                <w:sz w:val="21"/>
                <w:szCs w:val="21"/>
                <w:highlight w:val="none"/>
              </w:rPr>
              <w:t>1.具有交通运输部核发的公路工程试验检测机构综合甲级资质或工程勘察综合甲级及以上资质。</w:t>
            </w:r>
          </w:p>
          <w:p>
            <w:pPr>
              <w:spacing w:line="360" w:lineRule="exact"/>
              <w:ind w:firstLine="0" w:firstLineChars="0"/>
              <w:jc w:val="both"/>
              <w:rPr>
                <w:rFonts w:hint="eastAsia"/>
                <w:color w:val="auto"/>
                <w:kern w:val="0"/>
                <w:sz w:val="21"/>
                <w:szCs w:val="21"/>
                <w:highlight w:val="none"/>
                <w:lang w:eastAsia="zh-CN"/>
              </w:rPr>
            </w:pPr>
            <w:r>
              <w:rPr>
                <w:rFonts w:hint="eastAsia"/>
                <w:color w:val="auto"/>
                <w:kern w:val="0"/>
                <w:sz w:val="21"/>
                <w:szCs w:val="21"/>
                <w:highlight w:val="none"/>
              </w:rPr>
              <w:t>2.具有有效的计量认证证书（CMA），计量认证证书附表所列计量认证参数须涵盖招标标段所需的全部内容。</w:t>
            </w:r>
            <w:r>
              <w:rPr>
                <w:rFonts w:hint="eastAsia" w:eastAsia="宋体"/>
                <w:color w:val="auto"/>
                <w:kern w:val="0"/>
                <w:sz w:val="21"/>
                <w:szCs w:val="21"/>
                <w:highlight w:val="none"/>
                <w:lang w:eastAsia="zh-CN"/>
              </w:rPr>
              <w:t>（此项仅需具有试验检测资质的投标人提供）</w:t>
            </w:r>
            <w:bookmarkStart w:id="3" w:name="_GoBack"/>
            <w:bookmarkEnd w:id="3"/>
          </w:p>
        </w:tc>
      </w:tr>
    </w:tbl>
    <w:p>
      <w:pPr>
        <w:spacing w:line="240" w:lineRule="auto"/>
        <w:ind w:firstLine="0" w:firstLineChars="0"/>
        <w:jc w:val="both"/>
        <w:rPr>
          <w:color w:val="auto"/>
          <w:sz w:val="28"/>
          <w:szCs w:val="28"/>
          <w:highlight w:val="none"/>
        </w:rPr>
      </w:pPr>
      <w:r>
        <w:rPr>
          <w:color w:val="auto"/>
          <w:sz w:val="28"/>
          <w:szCs w:val="28"/>
          <w:highlight w:val="none"/>
        </w:rPr>
        <w:br w:type="page"/>
      </w:r>
    </w:p>
    <w:p>
      <w:pPr>
        <w:pStyle w:val="6"/>
        <w:rPr>
          <w:color w:val="auto"/>
          <w:highlight w:val="none"/>
        </w:rPr>
      </w:pPr>
      <w:r>
        <w:rPr>
          <w:color w:val="auto"/>
          <w:highlight w:val="none"/>
        </w:rPr>
        <w:t>附录2  资格审查条件（项目负责人和技术负责人最低要求）</w:t>
      </w:r>
    </w:p>
    <w:tbl>
      <w:tblPr>
        <w:tblStyle w:val="7"/>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41"/>
        <w:gridCol w:w="1500"/>
        <w:gridCol w:w="5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3" w:hRule="atLeast"/>
        </w:trPr>
        <w:tc>
          <w:tcPr>
            <w:tcW w:w="8779" w:type="dxa"/>
            <w:gridSpan w:val="3"/>
            <w:noWrap w:val="0"/>
            <w:vAlign w:val="center"/>
          </w:tcPr>
          <w:p>
            <w:pPr>
              <w:snapToGrid w:val="0"/>
              <w:spacing w:line="360" w:lineRule="exact"/>
              <w:ind w:firstLine="0" w:firstLineChars="0"/>
              <w:jc w:val="center"/>
              <w:rPr>
                <w:b/>
                <w:bCs/>
                <w:color w:val="auto"/>
                <w:kern w:val="0"/>
                <w:sz w:val="21"/>
                <w:szCs w:val="21"/>
                <w:highlight w:val="none"/>
              </w:rPr>
            </w:pPr>
            <w:r>
              <w:rPr>
                <w:b/>
                <w:bCs/>
                <w:color w:val="auto"/>
                <w:kern w:val="0"/>
                <w:sz w:val="21"/>
                <w:szCs w:val="21"/>
                <w:highlight w:val="none"/>
              </w:rPr>
              <w:t>项目负责人和技术负责人要求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5" w:hRule="atLeast"/>
        </w:trPr>
        <w:tc>
          <w:tcPr>
            <w:tcW w:w="1741" w:type="dxa"/>
            <w:vMerge w:val="restart"/>
            <w:noWrap w:val="0"/>
            <w:vAlign w:val="center"/>
          </w:tcPr>
          <w:p>
            <w:pPr>
              <w:spacing w:line="360" w:lineRule="exact"/>
              <w:ind w:firstLine="0" w:firstLineChars="0"/>
              <w:jc w:val="center"/>
              <w:rPr>
                <w:rFonts w:hint="eastAsia" w:eastAsia="宋体"/>
                <w:highlight w:val="none"/>
                <w:lang w:val="en-US" w:eastAsia="zh-CN"/>
              </w:rPr>
            </w:pPr>
            <w:r>
              <w:rPr>
                <w:rFonts w:hint="eastAsia" w:eastAsia="宋体"/>
                <w:highlight w:val="none"/>
                <w:lang w:val="en-US" w:eastAsia="zh-CN"/>
              </w:rPr>
              <w:t>APQLJK-01</w:t>
            </w:r>
          </w:p>
          <w:p>
            <w:pPr>
              <w:spacing w:line="360" w:lineRule="exact"/>
              <w:ind w:firstLine="0" w:firstLineChars="0"/>
              <w:jc w:val="center"/>
              <w:rPr>
                <w:rFonts w:hint="eastAsia" w:eastAsia="宋体"/>
                <w:highlight w:val="none"/>
                <w:lang w:val="en-US" w:eastAsia="zh-CN"/>
              </w:rPr>
            </w:pPr>
            <w:r>
              <w:rPr>
                <w:rFonts w:hint="eastAsia" w:eastAsia="宋体"/>
                <w:highlight w:val="none"/>
                <w:lang w:val="en-US" w:eastAsia="zh-CN"/>
              </w:rPr>
              <w:t>APQLJK-02</w:t>
            </w:r>
          </w:p>
          <w:p>
            <w:pPr>
              <w:spacing w:line="360" w:lineRule="exact"/>
              <w:ind w:firstLine="0" w:firstLineChars="0"/>
              <w:jc w:val="center"/>
              <w:rPr>
                <w:rFonts w:hint="eastAsia" w:eastAsia="宋体"/>
                <w:highlight w:val="none"/>
                <w:lang w:val="en-US" w:eastAsia="zh-CN"/>
              </w:rPr>
            </w:pPr>
            <w:r>
              <w:rPr>
                <w:rFonts w:hint="eastAsia" w:eastAsia="宋体"/>
                <w:highlight w:val="none"/>
                <w:lang w:val="en-US" w:eastAsia="zh-CN"/>
              </w:rPr>
              <w:t>APQLJK-03</w:t>
            </w:r>
          </w:p>
          <w:p>
            <w:pPr>
              <w:spacing w:line="360" w:lineRule="exact"/>
              <w:ind w:firstLine="0" w:firstLineChars="0"/>
              <w:jc w:val="center"/>
              <w:rPr>
                <w:rFonts w:hint="eastAsia" w:eastAsia="宋体"/>
                <w:highlight w:val="none"/>
                <w:lang w:val="en-US" w:eastAsia="zh-CN"/>
              </w:rPr>
            </w:pPr>
            <w:r>
              <w:rPr>
                <w:rFonts w:hint="eastAsia" w:eastAsia="宋体"/>
                <w:highlight w:val="none"/>
                <w:lang w:val="en-US" w:eastAsia="zh-CN"/>
              </w:rPr>
              <w:t>APQLJK-04</w:t>
            </w:r>
          </w:p>
          <w:p>
            <w:pPr>
              <w:spacing w:line="360" w:lineRule="exact"/>
              <w:ind w:firstLine="0" w:firstLineChars="0"/>
              <w:jc w:val="center"/>
              <w:rPr>
                <w:rFonts w:hint="default" w:eastAsia="宋体"/>
                <w:highlight w:val="none"/>
                <w:lang w:val="en-US" w:eastAsia="zh-CN"/>
              </w:rPr>
            </w:pPr>
            <w:r>
              <w:rPr>
                <w:rFonts w:hint="eastAsia" w:eastAsia="宋体"/>
                <w:highlight w:val="none"/>
                <w:lang w:val="en-US" w:eastAsia="zh-CN"/>
              </w:rPr>
              <w:t>APQLJK-05</w:t>
            </w:r>
          </w:p>
        </w:tc>
        <w:tc>
          <w:tcPr>
            <w:tcW w:w="1500" w:type="dxa"/>
            <w:noWrap w:val="0"/>
            <w:vAlign w:val="center"/>
          </w:tcPr>
          <w:p>
            <w:pPr>
              <w:spacing w:line="360" w:lineRule="exact"/>
              <w:ind w:firstLine="0" w:firstLineChars="0"/>
              <w:jc w:val="center"/>
              <w:rPr>
                <w:color w:val="auto"/>
                <w:kern w:val="0"/>
                <w:sz w:val="21"/>
                <w:szCs w:val="21"/>
                <w:highlight w:val="none"/>
              </w:rPr>
            </w:pPr>
            <w:r>
              <w:rPr>
                <w:rFonts w:hint="eastAsia"/>
                <w:color w:val="auto"/>
                <w:kern w:val="0"/>
                <w:sz w:val="21"/>
                <w:szCs w:val="21"/>
                <w:highlight w:val="none"/>
                <w:lang w:val="en-US" w:eastAsia="zh-CN"/>
              </w:rPr>
              <w:t>项目负责人</w:t>
            </w:r>
          </w:p>
        </w:tc>
        <w:tc>
          <w:tcPr>
            <w:tcW w:w="5538" w:type="dxa"/>
            <w:noWrap w:val="0"/>
            <w:vAlign w:val="center"/>
          </w:tcPr>
          <w:p>
            <w:pPr>
              <w:snapToGrid w:val="0"/>
              <w:ind w:firstLine="0" w:firstLineChars="0"/>
              <w:jc w:val="both"/>
              <w:rPr>
                <w:color w:val="auto"/>
                <w:kern w:val="0"/>
                <w:sz w:val="20"/>
                <w:szCs w:val="20"/>
                <w:highlight w:val="none"/>
              </w:rPr>
            </w:pPr>
            <w:r>
              <w:rPr>
                <w:rFonts w:hint="eastAsia"/>
                <w:color w:val="auto"/>
                <w:kern w:val="0"/>
                <w:sz w:val="20"/>
                <w:szCs w:val="21"/>
                <w:highlight w:val="none"/>
                <w:lang w:val="en-US" w:eastAsia="zh-CN"/>
              </w:rPr>
              <w:t>高级工程师及以上职称，60周岁以下，持有有效的交通运输部质量监督局（站）或交通运输部职业资格中心颁发的试验检测师（或试验检测工程师）证书（含桥梁工程专业或桥梁隧道工程专业），至少5年公路工程试验检测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5" w:hRule="atLeast"/>
        </w:trPr>
        <w:tc>
          <w:tcPr>
            <w:tcW w:w="1741" w:type="dxa"/>
            <w:vMerge w:val="continue"/>
            <w:noWrap w:val="0"/>
            <w:vAlign w:val="center"/>
          </w:tcPr>
          <w:p>
            <w:pPr>
              <w:spacing w:line="360" w:lineRule="exact"/>
              <w:ind w:firstLine="0" w:firstLineChars="0"/>
              <w:jc w:val="center"/>
              <w:rPr>
                <w:rFonts w:hint="eastAsia" w:eastAsia="宋体"/>
                <w:highlight w:val="none"/>
                <w:lang w:val="en-US" w:eastAsia="zh-CN"/>
              </w:rPr>
            </w:pPr>
          </w:p>
        </w:tc>
        <w:tc>
          <w:tcPr>
            <w:tcW w:w="1500" w:type="dxa"/>
            <w:noWrap w:val="0"/>
            <w:vAlign w:val="center"/>
          </w:tcPr>
          <w:p>
            <w:pPr>
              <w:spacing w:line="360" w:lineRule="exact"/>
              <w:ind w:firstLine="0" w:firstLineChars="0"/>
              <w:jc w:val="center"/>
              <w:rPr>
                <w:color w:val="auto"/>
                <w:kern w:val="0"/>
                <w:sz w:val="21"/>
                <w:szCs w:val="21"/>
                <w:highlight w:val="none"/>
              </w:rPr>
            </w:pPr>
            <w:r>
              <w:rPr>
                <w:rFonts w:hint="eastAsia"/>
                <w:color w:val="auto"/>
                <w:kern w:val="0"/>
                <w:sz w:val="21"/>
                <w:szCs w:val="21"/>
                <w:highlight w:val="none"/>
                <w:lang w:val="en-US" w:eastAsia="zh-CN"/>
              </w:rPr>
              <w:t>技术负责人</w:t>
            </w:r>
          </w:p>
        </w:tc>
        <w:tc>
          <w:tcPr>
            <w:tcW w:w="5538" w:type="dxa"/>
            <w:noWrap w:val="0"/>
            <w:vAlign w:val="center"/>
          </w:tcPr>
          <w:p>
            <w:pPr>
              <w:snapToGrid w:val="0"/>
              <w:ind w:firstLine="0" w:firstLineChars="0"/>
              <w:jc w:val="both"/>
              <w:rPr>
                <w:color w:val="auto"/>
                <w:kern w:val="0"/>
                <w:sz w:val="20"/>
                <w:szCs w:val="20"/>
                <w:highlight w:val="none"/>
              </w:rPr>
            </w:pPr>
            <w:r>
              <w:rPr>
                <w:rFonts w:hint="eastAsia"/>
                <w:color w:val="auto"/>
                <w:kern w:val="0"/>
                <w:sz w:val="20"/>
                <w:szCs w:val="21"/>
                <w:highlight w:val="none"/>
                <w:lang w:val="en-US" w:eastAsia="zh-CN"/>
              </w:rPr>
              <w:t>高级工程师及以上职称，60周岁以下，持有有效的交通运输部质量监督局（站）或交通运输部职业资格中心颁发的试验检测师（或试验检测工程师）证书（含桥梁工程专业或桥梁隧道工程专业），至少8年公路工程试验检测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5" w:hRule="atLeast"/>
        </w:trPr>
        <w:tc>
          <w:tcPr>
            <w:tcW w:w="1741" w:type="dxa"/>
            <w:vMerge w:val="restart"/>
            <w:noWrap w:val="0"/>
            <w:vAlign w:val="center"/>
          </w:tcPr>
          <w:p>
            <w:pPr>
              <w:spacing w:line="360" w:lineRule="exact"/>
              <w:ind w:firstLine="0" w:firstLineChars="0"/>
              <w:jc w:val="center"/>
              <w:rPr>
                <w:rFonts w:hint="eastAsia" w:eastAsia="宋体"/>
                <w:highlight w:val="none"/>
                <w:lang w:val="en-US" w:eastAsia="zh-CN"/>
              </w:rPr>
            </w:pPr>
            <w:r>
              <w:rPr>
                <w:rFonts w:hint="eastAsia" w:eastAsia="宋体"/>
                <w:highlight w:val="none"/>
                <w:lang w:val="en-US" w:eastAsia="zh-CN"/>
              </w:rPr>
              <w:t>APBPJC-01</w:t>
            </w:r>
          </w:p>
          <w:p>
            <w:pPr>
              <w:spacing w:line="360" w:lineRule="exact"/>
              <w:ind w:firstLine="0" w:firstLineChars="0"/>
              <w:jc w:val="center"/>
              <w:rPr>
                <w:rFonts w:hint="eastAsia" w:eastAsia="宋体"/>
                <w:highlight w:val="none"/>
                <w:lang w:val="en-US" w:eastAsia="zh-CN"/>
              </w:rPr>
            </w:pPr>
            <w:r>
              <w:rPr>
                <w:rFonts w:hint="eastAsia" w:eastAsia="宋体"/>
                <w:highlight w:val="none"/>
                <w:lang w:val="en-US" w:eastAsia="zh-CN"/>
              </w:rPr>
              <w:t>APBPJC-02</w:t>
            </w:r>
          </w:p>
          <w:p>
            <w:pPr>
              <w:spacing w:line="360" w:lineRule="exact"/>
              <w:ind w:firstLine="0" w:firstLineChars="0"/>
              <w:jc w:val="center"/>
              <w:rPr>
                <w:rFonts w:hint="eastAsia" w:eastAsia="宋体"/>
                <w:highlight w:val="none"/>
                <w:lang w:val="en-US" w:eastAsia="zh-CN"/>
              </w:rPr>
            </w:pPr>
            <w:r>
              <w:rPr>
                <w:rFonts w:hint="eastAsia" w:eastAsia="宋体"/>
                <w:highlight w:val="none"/>
                <w:lang w:val="en-US" w:eastAsia="zh-CN"/>
              </w:rPr>
              <w:t>APBPJC-03</w:t>
            </w:r>
          </w:p>
          <w:p>
            <w:pPr>
              <w:spacing w:line="360" w:lineRule="exact"/>
              <w:ind w:firstLine="0" w:firstLineChars="0"/>
              <w:jc w:val="center"/>
              <w:rPr>
                <w:rFonts w:hint="eastAsia" w:eastAsia="宋体"/>
                <w:highlight w:val="none"/>
                <w:lang w:val="en-US" w:eastAsia="zh-CN"/>
              </w:rPr>
            </w:pPr>
            <w:r>
              <w:rPr>
                <w:rFonts w:hint="eastAsia" w:eastAsia="宋体"/>
                <w:highlight w:val="none"/>
                <w:lang w:val="en-US" w:eastAsia="zh-CN"/>
              </w:rPr>
              <w:t>APBPJC-04</w:t>
            </w:r>
          </w:p>
        </w:tc>
        <w:tc>
          <w:tcPr>
            <w:tcW w:w="1500" w:type="dxa"/>
            <w:noWrap w:val="0"/>
            <w:vAlign w:val="center"/>
          </w:tcPr>
          <w:p>
            <w:pPr>
              <w:spacing w:line="360" w:lineRule="exact"/>
              <w:ind w:firstLine="0" w:firstLineChars="0"/>
              <w:jc w:val="center"/>
              <w:rPr>
                <w:rFonts w:hint="eastAsia"/>
                <w:color w:val="auto"/>
                <w:kern w:val="0"/>
                <w:sz w:val="21"/>
                <w:szCs w:val="21"/>
                <w:highlight w:val="none"/>
                <w:lang w:val="en-US" w:eastAsia="zh-CN"/>
              </w:rPr>
            </w:pPr>
            <w:r>
              <w:rPr>
                <w:rFonts w:hint="eastAsia"/>
                <w:color w:val="auto"/>
                <w:kern w:val="0"/>
                <w:sz w:val="21"/>
                <w:szCs w:val="21"/>
                <w:highlight w:val="none"/>
                <w:lang w:val="en-US" w:eastAsia="zh-CN"/>
              </w:rPr>
              <w:t>项目负责人</w:t>
            </w:r>
          </w:p>
        </w:tc>
        <w:tc>
          <w:tcPr>
            <w:tcW w:w="5538" w:type="dxa"/>
            <w:noWrap w:val="0"/>
            <w:vAlign w:val="center"/>
          </w:tcPr>
          <w:p>
            <w:pPr>
              <w:snapToGrid w:val="0"/>
              <w:ind w:firstLine="0" w:firstLineChars="0"/>
              <w:jc w:val="both"/>
              <w:rPr>
                <w:rFonts w:hint="eastAsia"/>
                <w:color w:val="auto"/>
                <w:kern w:val="0"/>
                <w:sz w:val="20"/>
                <w:szCs w:val="21"/>
                <w:highlight w:val="none"/>
                <w:lang w:val="en-US" w:eastAsia="zh-CN"/>
              </w:rPr>
            </w:pPr>
            <w:r>
              <w:rPr>
                <w:rFonts w:hint="eastAsia"/>
                <w:color w:val="auto"/>
                <w:kern w:val="0"/>
                <w:sz w:val="20"/>
                <w:szCs w:val="21"/>
                <w:highlight w:val="none"/>
                <w:lang w:val="en-US" w:eastAsia="zh-CN"/>
              </w:rPr>
              <w:t>高级工程师及以上职称，60周岁以下，持有有效的注册岩土工程师证书或持有有效的交通运输部质量监督局（站）或交通运输部职业资格中心颁发的试验检测师（或试验检测工程师）证书（公路工程方向），至少5年公路工程试验检测经验或工程地质勘察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5" w:hRule="atLeast"/>
        </w:trPr>
        <w:tc>
          <w:tcPr>
            <w:tcW w:w="1741" w:type="dxa"/>
            <w:vMerge w:val="continue"/>
            <w:noWrap w:val="0"/>
            <w:vAlign w:val="center"/>
          </w:tcPr>
          <w:p>
            <w:pPr>
              <w:snapToGrid w:val="0"/>
              <w:spacing w:line="360" w:lineRule="exact"/>
              <w:ind w:firstLine="0" w:firstLineChars="0"/>
              <w:jc w:val="center"/>
              <w:rPr>
                <w:color w:val="auto"/>
                <w:kern w:val="0"/>
                <w:sz w:val="21"/>
                <w:szCs w:val="21"/>
                <w:highlight w:val="none"/>
              </w:rPr>
            </w:pPr>
          </w:p>
        </w:tc>
        <w:tc>
          <w:tcPr>
            <w:tcW w:w="1500" w:type="dxa"/>
            <w:noWrap w:val="0"/>
            <w:vAlign w:val="center"/>
          </w:tcPr>
          <w:p>
            <w:pPr>
              <w:spacing w:line="360" w:lineRule="exact"/>
              <w:ind w:firstLine="0" w:firstLineChars="0"/>
              <w:jc w:val="center"/>
              <w:rPr>
                <w:rFonts w:hint="eastAsia"/>
                <w:color w:val="auto"/>
                <w:kern w:val="0"/>
                <w:sz w:val="21"/>
                <w:szCs w:val="21"/>
                <w:highlight w:val="none"/>
                <w:lang w:val="en-US" w:eastAsia="zh-CN"/>
              </w:rPr>
            </w:pPr>
            <w:r>
              <w:rPr>
                <w:rFonts w:hint="eastAsia"/>
                <w:color w:val="auto"/>
                <w:kern w:val="0"/>
                <w:sz w:val="21"/>
                <w:szCs w:val="21"/>
                <w:highlight w:val="none"/>
                <w:lang w:val="en-US" w:eastAsia="zh-CN"/>
              </w:rPr>
              <w:t>技术负责人</w:t>
            </w:r>
          </w:p>
        </w:tc>
        <w:tc>
          <w:tcPr>
            <w:tcW w:w="5538" w:type="dxa"/>
            <w:noWrap w:val="0"/>
            <w:vAlign w:val="center"/>
          </w:tcPr>
          <w:p>
            <w:pPr>
              <w:snapToGrid w:val="0"/>
              <w:ind w:firstLine="0" w:firstLineChars="0"/>
              <w:jc w:val="both"/>
              <w:rPr>
                <w:rFonts w:hint="eastAsia"/>
                <w:color w:val="auto"/>
                <w:kern w:val="0"/>
                <w:sz w:val="20"/>
                <w:szCs w:val="21"/>
                <w:highlight w:val="none"/>
                <w:lang w:val="en-US" w:eastAsia="zh-CN"/>
              </w:rPr>
            </w:pPr>
            <w:r>
              <w:rPr>
                <w:rFonts w:hint="eastAsia"/>
                <w:color w:val="auto"/>
                <w:kern w:val="0"/>
                <w:sz w:val="20"/>
                <w:szCs w:val="21"/>
                <w:highlight w:val="none"/>
                <w:lang w:val="en-US" w:eastAsia="zh-CN"/>
              </w:rPr>
              <w:t>高级工程师及以上职称，60周岁以下，持有有效的注册岩土工程师证书或持有有效的交通运输部质量监督局（站）或交通运输部职业资格中心颁发的试验检测师（或试验检测工程师）证书（公路工程方向），至少8年公路工程试验检测经验或工程地质勘察经验。</w:t>
            </w:r>
          </w:p>
        </w:tc>
      </w:tr>
    </w:tbl>
    <w:p>
      <w:pPr>
        <w:spacing w:line="240" w:lineRule="auto"/>
        <w:ind w:firstLine="0" w:firstLineChars="0"/>
        <w:jc w:val="both"/>
        <w:rPr>
          <w:color w:val="auto"/>
          <w:sz w:val="21"/>
          <w:szCs w:val="21"/>
          <w:highlight w:val="none"/>
        </w:rPr>
      </w:pPr>
      <w:r>
        <w:rPr>
          <w:color w:val="auto"/>
          <w:sz w:val="21"/>
          <w:szCs w:val="21"/>
          <w:highlight w:val="none"/>
        </w:rPr>
        <w:br w:type="page"/>
      </w:r>
    </w:p>
    <w:p>
      <w:pPr>
        <w:pStyle w:val="6"/>
        <w:rPr>
          <w:color w:val="auto"/>
          <w:highlight w:val="none"/>
        </w:rPr>
      </w:pPr>
      <w:r>
        <w:rPr>
          <w:color w:val="auto"/>
          <w:highlight w:val="none"/>
        </w:rPr>
        <w:t>附录3 资格审查条件（信誉最低要求）</w:t>
      </w:r>
    </w:p>
    <w:p>
      <w:pPr>
        <w:snapToGrid w:val="0"/>
        <w:ind w:firstLine="480" w:firstLineChars="0"/>
        <w:jc w:val="both"/>
        <w:rPr>
          <w:color w:val="auto"/>
          <w:highlight w:val="none"/>
        </w:rPr>
      </w:pPr>
    </w:p>
    <w:tbl>
      <w:tblPr>
        <w:tblStyle w:val="7"/>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9" w:type="dxa"/>
          <w:left w:w="119" w:type="dxa"/>
          <w:bottom w:w="119" w:type="dxa"/>
          <w:right w:w="119" w:type="dxa"/>
        </w:tblCellMar>
      </w:tblPr>
      <w:tblGrid>
        <w:gridCol w:w="1905"/>
        <w:gridCol w:w="7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9" w:type="dxa"/>
            <w:left w:w="119" w:type="dxa"/>
            <w:bottom w:w="119" w:type="dxa"/>
            <w:right w:w="119" w:type="dxa"/>
          </w:tblCellMar>
        </w:tblPrEx>
        <w:trPr>
          <w:trHeight w:val="555" w:hRule="atLeast"/>
        </w:trPr>
        <w:tc>
          <w:tcPr>
            <w:tcW w:w="9075" w:type="dxa"/>
            <w:gridSpan w:val="2"/>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exact"/>
              <w:ind w:firstLine="0" w:firstLineChars="0"/>
              <w:jc w:val="center"/>
              <w:rPr>
                <w:b/>
                <w:bCs/>
                <w:color w:val="auto"/>
                <w:kern w:val="0"/>
                <w:sz w:val="21"/>
                <w:szCs w:val="21"/>
                <w:highlight w:val="none"/>
              </w:rPr>
            </w:pPr>
            <w:r>
              <w:rPr>
                <w:b/>
                <w:bCs/>
                <w:color w:val="auto"/>
                <w:kern w:val="0"/>
                <w:sz w:val="21"/>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9" w:type="dxa"/>
            <w:left w:w="119" w:type="dxa"/>
            <w:bottom w:w="119" w:type="dxa"/>
            <w:right w:w="119" w:type="dxa"/>
          </w:tblCellMar>
        </w:tblPrEx>
        <w:trPr>
          <w:trHeight w:val="2055" w:hRule="atLeast"/>
        </w:trPr>
        <w:tc>
          <w:tcPr>
            <w:tcW w:w="1905"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ind w:firstLine="0" w:firstLineChars="0"/>
              <w:jc w:val="center"/>
              <w:rPr>
                <w:rFonts w:hint="eastAsia"/>
                <w:highlight w:val="none"/>
                <w:lang w:val="en-US" w:eastAsia="zh-CN"/>
              </w:rPr>
            </w:pPr>
            <w:r>
              <w:rPr>
                <w:rFonts w:hint="eastAsia"/>
                <w:highlight w:val="none"/>
                <w:lang w:val="en-US" w:eastAsia="zh-CN"/>
              </w:rPr>
              <w:t>APQLJK-01</w:t>
            </w:r>
          </w:p>
          <w:p>
            <w:pPr>
              <w:spacing w:line="360" w:lineRule="exact"/>
              <w:ind w:firstLine="0" w:firstLineChars="0"/>
              <w:jc w:val="center"/>
              <w:rPr>
                <w:rFonts w:hint="eastAsia"/>
                <w:highlight w:val="none"/>
                <w:lang w:val="en-US" w:eastAsia="zh-CN"/>
              </w:rPr>
            </w:pPr>
            <w:r>
              <w:rPr>
                <w:rFonts w:hint="default"/>
                <w:highlight w:val="none"/>
                <w:lang w:val="en-US" w:eastAsia="zh-CN"/>
              </w:rPr>
              <w:t>APQLJ</w:t>
            </w:r>
            <w:r>
              <w:rPr>
                <w:rFonts w:hint="eastAsia"/>
                <w:highlight w:val="none"/>
                <w:lang w:val="en-US" w:eastAsia="zh-CN"/>
              </w:rPr>
              <w:t>K</w:t>
            </w:r>
            <w:r>
              <w:rPr>
                <w:rFonts w:hint="default"/>
                <w:highlight w:val="none"/>
                <w:lang w:val="en-US" w:eastAsia="zh-CN"/>
              </w:rPr>
              <w:t>-0</w:t>
            </w:r>
            <w:r>
              <w:rPr>
                <w:rFonts w:hint="eastAsia"/>
                <w:highlight w:val="none"/>
                <w:lang w:val="en-US" w:eastAsia="zh-CN"/>
              </w:rPr>
              <w:t>2</w:t>
            </w:r>
          </w:p>
          <w:p>
            <w:pPr>
              <w:spacing w:line="360" w:lineRule="exact"/>
              <w:ind w:firstLine="0" w:firstLineChars="0"/>
              <w:jc w:val="center"/>
              <w:rPr>
                <w:rFonts w:hint="eastAsia"/>
                <w:highlight w:val="none"/>
                <w:lang w:val="en-US" w:eastAsia="zh-CN"/>
              </w:rPr>
            </w:pPr>
            <w:r>
              <w:rPr>
                <w:rFonts w:hint="default"/>
                <w:highlight w:val="none"/>
                <w:lang w:val="en-US" w:eastAsia="zh-CN"/>
              </w:rPr>
              <w:t>APQLJ</w:t>
            </w:r>
            <w:r>
              <w:rPr>
                <w:rFonts w:hint="eastAsia"/>
                <w:highlight w:val="none"/>
                <w:lang w:val="en-US" w:eastAsia="zh-CN"/>
              </w:rPr>
              <w:t>K</w:t>
            </w:r>
            <w:r>
              <w:rPr>
                <w:rFonts w:hint="default"/>
                <w:highlight w:val="none"/>
                <w:lang w:val="en-US" w:eastAsia="zh-CN"/>
              </w:rPr>
              <w:t>-0</w:t>
            </w:r>
            <w:r>
              <w:rPr>
                <w:rFonts w:hint="eastAsia"/>
                <w:highlight w:val="none"/>
                <w:lang w:val="en-US" w:eastAsia="zh-CN"/>
              </w:rPr>
              <w:t>3</w:t>
            </w:r>
          </w:p>
          <w:p>
            <w:pPr>
              <w:spacing w:line="360" w:lineRule="exact"/>
              <w:ind w:firstLine="0" w:firstLineChars="0"/>
              <w:jc w:val="center"/>
              <w:rPr>
                <w:rFonts w:hint="eastAsia"/>
                <w:highlight w:val="none"/>
                <w:lang w:val="en-US" w:eastAsia="zh-CN"/>
              </w:rPr>
            </w:pPr>
            <w:r>
              <w:rPr>
                <w:rFonts w:hint="default"/>
                <w:highlight w:val="none"/>
                <w:lang w:val="en-US" w:eastAsia="zh-CN"/>
              </w:rPr>
              <w:t>APQLJ</w:t>
            </w:r>
            <w:r>
              <w:rPr>
                <w:rFonts w:hint="eastAsia"/>
                <w:highlight w:val="none"/>
                <w:lang w:val="en-US" w:eastAsia="zh-CN"/>
              </w:rPr>
              <w:t>K</w:t>
            </w:r>
            <w:r>
              <w:rPr>
                <w:rFonts w:hint="default"/>
                <w:highlight w:val="none"/>
                <w:lang w:val="en-US" w:eastAsia="zh-CN"/>
              </w:rPr>
              <w:t>-0</w:t>
            </w:r>
            <w:r>
              <w:rPr>
                <w:rFonts w:hint="eastAsia"/>
                <w:highlight w:val="none"/>
                <w:lang w:val="en-US" w:eastAsia="zh-CN"/>
              </w:rPr>
              <w:t>4</w:t>
            </w:r>
          </w:p>
          <w:p>
            <w:pPr>
              <w:spacing w:line="360" w:lineRule="exact"/>
              <w:ind w:firstLine="0" w:firstLineChars="0"/>
              <w:jc w:val="center"/>
              <w:rPr>
                <w:rFonts w:hint="eastAsia"/>
                <w:highlight w:val="none"/>
                <w:lang w:val="en-US" w:eastAsia="zh-CN"/>
              </w:rPr>
            </w:pPr>
            <w:r>
              <w:rPr>
                <w:rFonts w:hint="eastAsia"/>
                <w:highlight w:val="none"/>
                <w:lang w:val="en-US" w:eastAsia="zh-CN"/>
              </w:rPr>
              <w:t>APQLJK-05</w:t>
            </w:r>
          </w:p>
          <w:p>
            <w:pPr>
              <w:spacing w:line="360" w:lineRule="exact"/>
              <w:ind w:firstLine="0" w:firstLineChars="0"/>
              <w:jc w:val="center"/>
              <w:rPr>
                <w:rFonts w:hint="eastAsia"/>
                <w:highlight w:val="none"/>
                <w:lang w:val="en-US" w:eastAsia="zh-CN"/>
              </w:rPr>
            </w:pPr>
            <w:r>
              <w:rPr>
                <w:rFonts w:hint="eastAsia"/>
                <w:highlight w:val="none"/>
                <w:lang w:val="en-US" w:eastAsia="zh-CN"/>
              </w:rPr>
              <w:t>APBPJC-01</w:t>
            </w:r>
          </w:p>
          <w:p>
            <w:pPr>
              <w:spacing w:line="360" w:lineRule="exact"/>
              <w:ind w:firstLine="0" w:firstLineChars="0"/>
              <w:jc w:val="center"/>
              <w:rPr>
                <w:rFonts w:hint="eastAsia"/>
                <w:highlight w:val="none"/>
                <w:lang w:val="en-US" w:eastAsia="zh-CN"/>
              </w:rPr>
            </w:pPr>
            <w:r>
              <w:rPr>
                <w:rFonts w:hint="eastAsia"/>
                <w:highlight w:val="none"/>
                <w:lang w:val="en-US" w:eastAsia="zh-CN"/>
              </w:rPr>
              <w:t>APBPJC-02</w:t>
            </w:r>
          </w:p>
          <w:p>
            <w:pPr>
              <w:spacing w:line="360" w:lineRule="exact"/>
              <w:ind w:firstLine="0" w:firstLineChars="0"/>
              <w:jc w:val="center"/>
              <w:rPr>
                <w:rFonts w:hint="eastAsia"/>
                <w:highlight w:val="none"/>
                <w:lang w:val="en-US" w:eastAsia="zh-CN"/>
              </w:rPr>
            </w:pPr>
            <w:r>
              <w:rPr>
                <w:rFonts w:hint="eastAsia"/>
                <w:highlight w:val="none"/>
                <w:lang w:val="en-US" w:eastAsia="zh-CN"/>
              </w:rPr>
              <w:t>APBPJC-03</w:t>
            </w:r>
          </w:p>
          <w:p>
            <w:pPr>
              <w:spacing w:line="360" w:lineRule="exact"/>
              <w:ind w:firstLine="0" w:firstLineChars="0"/>
              <w:jc w:val="center"/>
              <w:rPr>
                <w:rFonts w:hint="default"/>
                <w:highlight w:val="none"/>
                <w:lang w:val="en-US"/>
              </w:rPr>
            </w:pPr>
            <w:r>
              <w:rPr>
                <w:rFonts w:hint="eastAsia"/>
                <w:highlight w:val="none"/>
                <w:lang w:val="en-US" w:eastAsia="zh-CN"/>
              </w:rPr>
              <w:t>A</w:t>
            </w:r>
            <w:r>
              <w:rPr>
                <w:rFonts w:hint="default"/>
                <w:highlight w:val="none"/>
                <w:lang w:val="en-US" w:eastAsia="zh-CN"/>
              </w:rPr>
              <w:t>PBPJC-04</w:t>
            </w:r>
          </w:p>
        </w:tc>
        <w:tc>
          <w:tcPr>
            <w:tcW w:w="7170"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exact"/>
              <w:ind w:firstLine="0" w:firstLineChars="0"/>
              <w:jc w:val="both"/>
              <w:rPr>
                <w:color w:val="auto"/>
                <w:kern w:val="0"/>
                <w:sz w:val="20"/>
                <w:szCs w:val="20"/>
                <w:highlight w:val="none"/>
              </w:rPr>
            </w:pPr>
            <w:r>
              <w:rPr>
                <w:color w:val="auto"/>
                <w:kern w:val="0"/>
                <w:sz w:val="21"/>
                <w:szCs w:val="21"/>
                <w:highlight w:val="none"/>
              </w:rPr>
              <w:t>1.</w:t>
            </w:r>
            <w:r>
              <w:rPr>
                <w:rFonts w:hint="eastAsia"/>
                <w:color w:val="auto"/>
                <w:kern w:val="0"/>
                <w:sz w:val="21"/>
                <w:szCs w:val="21"/>
                <w:highlight w:val="none"/>
              </w:rPr>
              <w:t>国家企业信用信息公示系统（http://www.gsxt.gov.cn/）中未被列入严重违法失信企业名单</w:t>
            </w:r>
            <w:r>
              <w:rPr>
                <w:color w:val="auto"/>
                <w:kern w:val="0"/>
                <w:sz w:val="20"/>
                <w:szCs w:val="20"/>
                <w:highlight w:val="none"/>
              </w:rPr>
              <w:t>。</w:t>
            </w:r>
          </w:p>
          <w:p>
            <w:pPr>
              <w:snapToGrid w:val="0"/>
              <w:spacing w:line="360" w:lineRule="exact"/>
              <w:ind w:firstLine="0" w:firstLineChars="0"/>
              <w:jc w:val="both"/>
              <w:rPr>
                <w:color w:val="auto"/>
                <w:kern w:val="0"/>
                <w:sz w:val="21"/>
                <w:szCs w:val="21"/>
                <w:highlight w:val="none"/>
              </w:rPr>
            </w:pPr>
            <w:r>
              <w:rPr>
                <w:color w:val="auto"/>
                <w:kern w:val="0"/>
                <w:sz w:val="21"/>
                <w:szCs w:val="21"/>
                <w:highlight w:val="none"/>
              </w:rPr>
              <w:t>2.</w:t>
            </w:r>
            <w:r>
              <w:rPr>
                <w:color w:val="auto"/>
                <w:kern w:val="0"/>
                <w:sz w:val="20"/>
                <w:szCs w:val="21"/>
                <w:highlight w:val="none"/>
              </w:rPr>
              <w:t>在“公路水运工程试验检测管理信息系统”中最近年度的信用评价等级（公路工程专业）为C级及以上。</w:t>
            </w:r>
          </w:p>
        </w:tc>
      </w:tr>
    </w:tbl>
    <w:p>
      <w:pPr>
        <w:snapToGrid w:val="0"/>
        <w:spacing w:before="120" w:line="400" w:lineRule="atLeast"/>
        <w:ind w:firstLine="0" w:firstLineChars="0"/>
        <w:jc w:val="both"/>
        <w:rPr>
          <w:rFonts w:eastAsia="黑体"/>
          <w:color w:val="auto"/>
          <w:highlight w:val="none"/>
        </w:rPr>
      </w:pPr>
    </w:p>
    <w:p>
      <w:pPr>
        <w:spacing w:line="240" w:lineRule="auto"/>
        <w:ind w:firstLine="0" w:firstLineChars="0"/>
        <w:jc w:val="both"/>
        <w:rPr>
          <w:rFonts w:eastAsia="黑体"/>
          <w:color w:val="auto"/>
          <w:highlight w:val="none"/>
        </w:rPr>
      </w:pPr>
    </w:p>
    <w:p>
      <w:pPr>
        <w:widowControl/>
        <w:spacing w:line="240" w:lineRule="auto"/>
        <w:ind w:firstLine="0" w:firstLineChars="0"/>
        <w:rPr>
          <w:rFonts w:eastAsia="黑体"/>
          <w:snapToGrid w:val="0"/>
          <w:color w:val="auto"/>
          <w:sz w:val="28"/>
          <w:szCs w:val="28"/>
          <w:highlight w:val="none"/>
          <w:lang w:val="zh-TW" w:eastAsia="zh-TW"/>
        </w:rPr>
      </w:pPr>
      <w:r>
        <w:rPr>
          <w:rFonts w:eastAsia="黑体"/>
          <w:snapToGrid w:val="0"/>
          <w:color w:val="auto"/>
          <w:sz w:val="28"/>
          <w:szCs w:val="28"/>
          <w:highlight w:val="none"/>
          <w:lang w:val="zh-TW" w:eastAsia="zh-TW"/>
        </w:rPr>
        <w:br w:type="page"/>
      </w:r>
    </w:p>
    <w:p>
      <w:pPr>
        <w:pStyle w:val="6"/>
        <w:rPr>
          <w:color w:val="auto"/>
          <w:highlight w:val="none"/>
        </w:rPr>
      </w:pPr>
      <w:r>
        <w:rPr>
          <w:color w:val="auto"/>
          <w:highlight w:val="none"/>
        </w:rPr>
        <w:t>附录4 资格审查条件（其他要求）</w:t>
      </w:r>
    </w:p>
    <w:p>
      <w:pPr>
        <w:snapToGrid w:val="0"/>
        <w:ind w:firstLine="480" w:firstLineChars="0"/>
        <w:jc w:val="both"/>
        <w:rPr>
          <w:color w:val="auto"/>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9" w:type="dxa"/>
          <w:left w:w="119" w:type="dxa"/>
          <w:bottom w:w="119" w:type="dxa"/>
          <w:right w:w="119"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9" w:type="dxa"/>
            <w:left w:w="119" w:type="dxa"/>
            <w:bottom w:w="119" w:type="dxa"/>
            <w:right w:w="119" w:type="dxa"/>
          </w:tblCellMar>
        </w:tblPrEx>
        <w:trPr>
          <w:trHeight w:val="555" w:hRule="atLeast"/>
        </w:trPr>
        <w:tc>
          <w:tcPr>
            <w:tcW w:w="9075"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exact"/>
              <w:ind w:firstLine="0" w:firstLineChars="0"/>
              <w:jc w:val="center"/>
              <w:rPr>
                <w:b/>
                <w:bCs/>
                <w:color w:val="auto"/>
                <w:kern w:val="0"/>
                <w:sz w:val="21"/>
                <w:szCs w:val="21"/>
                <w:highlight w:val="none"/>
              </w:rPr>
            </w:pPr>
            <w:r>
              <w:rPr>
                <w:b/>
                <w:bCs/>
                <w:color w:val="auto"/>
                <w:kern w:val="0"/>
                <w:sz w:val="21"/>
                <w:szCs w:val="21"/>
                <w:highlight w:val="none"/>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9" w:type="dxa"/>
            <w:left w:w="119" w:type="dxa"/>
            <w:bottom w:w="119" w:type="dxa"/>
            <w:right w:w="119" w:type="dxa"/>
          </w:tblCellMar>
        </w:tblPrEx>
        <w:trPr>
          <w:trHeight w:val="2055" w:hRule="atLeast"/>
        </w:trPr>
        <w:tc>
          <w:tcPr>
            <w:tcW w:w="9075"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exact"/>
              <w:ind w:firstLine="0" w:firstLineChars="0"/>
              <w:jc w:val="both"/>
              <w:rPr>
                <w:color w:val="auto"/>
                <w:kern w:val="0"/>
                <w:sz w:val="21"/>
                <w:szCs w:val="21"/>
                <w:highlight w:val="none"/>
              </w:rPr>
            </w:pPr>
            <w:r>
              <w:rPr>
                <w:color w:val="auto"/>
                <w:kern w:val="0"/>
                <w:sz w:val="21"/>
                <w:szCs w:val="21"/>
                <w:highlight w:val="none"/>
              </w:rPr>
              <w:t>无。</w:t>
            </w:r>
          </w:p>
        </w:tc>
      </w:tr>
    </w:tbl>
    <w:p>
      <w:pPr>
        <w:sectPr>
          <w:pgSz w:w="11906" w:h="16838"/>
          <w:pgMar w:top="1440" w:right="1800" w:bottom="1440" w:left="1800" w:header="851" w:footer="992" w:gutter="0"/>
          <w:cols w:space="425" w:num="1"/>
          <w:docGrid w:type="lines" w:linePitch="312" w:charSpace="0"/>
        </w:sectPr>
      </w:pPr>
    </w:p>
    <w:p>
      <w:pPr>
        <w:pStyle w:val="8"/>
        <w:rPr>
          <w:color w:val="auto"/>
          <w:highlight w:val="none"/>
        </w:rPr>
      </w:pPr>
      <w:bookmarkStart w:id="0" w:name="_Toc3895"/>
      <w:bookmarkStart w:id="1" w:name="_Toc19884"/>
      <w:bookmarkStart w:id="2" w:name="_Toc6"/>
      <w:r>
        <w:rPr>
          <w:color w:val="auto"/>
          <w:highlight w:val="none"/>
        </w:rPr>
        <w:t>评标办法前附表</w:t>
      </w:r>
      <w:bookmarkEnd w:id="0"/>
      <w:bookmarkEnd w:id="1"/>
      <w:bookmarkEnd w:id="2"/>
    </w:p>
    <w:tbl>
      <w:tblPr>
        <w:tblStyle w:val="4"/>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670"/>
        <w:gridCol w:w="1486"/>
        <w:gridCol w:w="6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3" w:hRule="atLeast"/>
          <w:jc w:val="center"/>
        </w:trPr>
        <w:tc>
          <w:tcPr>
            <w:tcW w:w="1289" w:type="pct"/>
            <w:gridSpan w:val="2"/>
            <w:tcBorders>
              <w:tl2br w:val="nil"/>
              <w:tr2bl w:val="nil"/>
            </w:tcBorders>
            <w:noWrap w:val="0"/>
            <w:vAlign w:val="center"/>
          </w:tcPr>
          <w:p>
            <w:pPr>
              <w:snapToGrid w:val="0"/>
              <w:spacing w:line="360" w:lineRule="exact"/>
              <w:ind w:firstLine="0" w:firstLineChars="0"/>
              <w:jc w:val="center"/>
              <w:rPr>
                <w:b/>
                <w:bCs/>
                <w:color w:val="auto"/>
                <w:spacing w:val="4"/>
                <w:sz w:val="21"/>
                <w:szCs w:val="21"/>
                <w:highlight w:val="none"/>
              </w:rPr>
            </w:pPr>
            <w:r>
              <w:rPr>
                <w:b/>
                <w:bCs/>
                <w:color w:val="auto"/>
                <w:sz w:val="21"/>
                <w:szCs w:val="21"/>
                <w:highlight w:val="none"/>
              </w:rPr>
              <w:t>条款号</w:t>
            </w:r>
          </w:p>
        </w:tc>
        <w:tc>
          <w:tcPr>
            <w:tcW w:w="3711" w:type="pct"/>
            <w:tcBorders>
              <w:tl2br w:val="nil"/>
              <w:tr2bl w:val="nil"/>
            </w:tcBorders>
            <w:noWrap w:val="0"/>
            <w:vAlign w:val="center"/>
          </w:tcPr>
          <w:p>
            <w:pPr>
              <w:snapToGrid w:val="0"/>
              <w:spacing w:line="360" w:lineRule="exact"/>
              <w:ind w:firstLine="0" w:firstLineChars="0"/>
              <w:jc w:val="center"/>
              <w:rPr>
                <w:b/>
                <w:bCs/>
                <w:color w:val="auto"/>
                <w:spacing w:val="4"/>
                <w:sz w:val="21"/>
                <w:szCs w:val="21"/>
                <w:highlight w:val="none"/>
              </w:rPr>
            </w:pPr>
            <w:r>
              <w:rPr>
                <w:b/>
                <w:bCs/>
                <w:color w:val="auto"/>
                <w:spacing w:val="4"/>
                <w:sz w:val="21"/>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545" w:hRule="atLeast"/>
          <w:jc w:val="center"/>
        </w:trPr>
        <w:tc>
          <w:tcPr>
            <w:tcW w:w="401" w:type="pct"/>
            <w:tcBorders>
              <w:tl2br w:val="nil"/>
              <w:tr2bl w:val="nil"/>
            </w:tcBorders>
            <w:noWrap w:val="0"/>
            <w:vAlign w:val="center"/>
          </w:tcPr>
          <w:p>
            <w:pPr>
              <w:snapToGrid w:val="0"/>
              <w:spacing w:line="360" w:lineRule="exact"/>
              <w:ind w:firstLine="0" w:firstLineChars="0"/>
              <w:jc w:val="center"/>
              <w:rPr>
                <w:color w:val="auto"/>
                <w:sz w:val="21"/>
                <w:szCs w:val="21"/>
                <w:highlight w:val="none"/>
              </w:rPr>
            </w:pPr>
            <w:r>
              <w:rPr>
                <w:color w:val="auto"/>
                <w:sz w:val="21"/>
                <w:szCs w:val="21"/>
                <w:highlight w:val="none"/>
              </w:rPr>
              <w:t>1</w:t>
            </w:r>
          </w:p>
        </w:tc>
        <w:tc>
          <w:tcPr>
            <w:tcW w:w="888" w:type="pct"/>
            <w:tcBorders>
              <w:tl2br w:val="nil"/>
              <w:tr2bl w:val="nil"/>
            </w:tcBorders>
            <w:noWrap w:val="0"/>
            <w:vAlign w:val="center"/>
          </w:tcPr>
          <w:p>
            <w:pPr>
              <w:snapToGrid w:val="0"/>
              <w:spacing w:line="360" w:lineRule="exact"/>
              <w:ind w:firstLine="0" w:firstLineChars="0"/>
              <w:jc w:val="center"/>
              <w:rPr>
                <w:color w:val="auto"/>
                <w:sz w:val="21"/>
                <w:szCs w:val="21"/>
                <w:highlight w:val="none"/>
              </w:rPr>
            </w:pPr>
            <w:r>
              <w:rPr>
                <w:color w:val="auto"/>
                <w:sz w:val="21"/>
                <w:szCs w:val="21"/>
                <w:highlight w:val="none"/>
              </w:rPr>
              <w:t>评标方法</w:t>
            </w:r>
          </w:p>
        </w:tc>
        <w:tc>
          <w:tcPr>
            <w:tcW w:w="3711" w:type="pct"/>
            <w:tcBorders>
              <w:tl2br w:val="nil"/>
              <w:tr2bl w:val="nil"/>
            </w:tcBorders>
            <w:noWrap w:val="0"/>
            <w:vAlign w:val="center"/>
          </w:tcPr>
          <w:p>
            <w:pPr>
              <w:snapToGrid w:val="0"/>
              <w:spacing w:line="360" w:lineRule="exact"/>
              <w:ind w:firstLine="0" w:firstLineChars="0"/>
              <w:jc w:val="both"/>
              <w:rPr>
                <w:color w:val="auto"/>
                <w:sz w:val="21"/>
                <w:szCs w:val="21"/>
                <w:highlight w:val="none"/>
              </w:rPr>
            </w:pPr>
            <w:r>
              <w:rPr>
                <w:color w:val="auto"/>
                <w:sz w:val="21"/>
                <w:szCs w:val="21"/>
                <w:highlight w:val="none"/>
              </w:rPr>
              <w:t>综合评分相等时，评标委员会依次按照以下优先顺序推荐中标候选人或确定中标人：</w:t>
            </w:r>
          </w:p>
          <w:p>
            <w:pPr>
              <w:snapToGrid w:val="0"/>
              <w:spacing w:line="360" w:lineRule="exact"/>
              <w:ind w:firstLine="0" w:firstLineChars="0"/>
              <w:jc w:val="both"/>
              <w:rPr>
                <w:color w:val="auto"/>
                <w:sz w:val="21"/>
                <w:szCs w:val="21"/>
                <w:highlight w:val="none"/>
              </w:rPr>
            </w:pPr>
            <w:r>
              <w:rPr>
                <w:color w:val="auto"/>
                <w:sz w:val="21"/>
                <w:szCs w:val="21"/>
                <w:highlight w:val="none"/>
              </w:rPr>
              <w:t>（1）评标价低的投标人优先；</w:t>
            </w:r>
          </w:p>
          <w:p>
            <w:pPr>
              <w:snapToGrid w:val="0"/>
              <w:spacing w:line="360" w:lineRule="exact"/>
              <w:ind w:firstLine="0" w:firstLineChars="0"/>
              <w:jc w:val="both"/>
              <w:rPr>
                <w:color w:val="auto"/>
                <w:sz w:val="21"/>
                <w:szCs w:val="21"/>
                <w:highlight w:val="none"/>
              </w:rPr>
            </w:pPr>
            <w:r>
              <w:rPr>
                <w:color w:val="auto"/>
                <w:sz w:val="21"/>
                <w:szCs w:val="21"/>
                <w:highlight w:val="none"/>
              </w:rPr>
              <w:t>（2）最新信用评价等级较高的投标人优先；</w:t>
            </w:r>
          </w:p>
          <w:p>
            <w:pPr>
              <w:snapToGrid w:val="0"/>
              <w:spacing w:line="360" w:lineRule="exact"/>
              <w:ind w:firstLine="0" w:firstLineChars="0"/>
              <w:jc w:val="both"/>
              <w:rPr>
                <w:color w:val="auto"/>
                <w:sz w:val="21"/>
                <w:szCs w:val="21"/>
                <w:highlight w:val="none"/>
              </w:rPr>
            </w:pPr>
            <w:r>
              <w:rPr>
                <w:color w:val="auto"/>
                <w:sz w:val="21"/>
                <w:szCs w:val="21"/>
                <w:highlight w:val="none"/>
              </w:rPr>
              <w:t>（3）技术建议书得分较高的投标人优先。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0" w:hRule="atLeast"/>
          <w:jc w:val="center"/>
        </w:trPr>
        <w:tc>
          <w:tcPr>
            <w:tcW w:w="401" w:type="pct"/>
            <w:tcBorders>
              <w:tl2br w:val="nil"/>
              <w:tr2bl w:val="nil"/>
            </w:tcBorders>
            <w:noWrap w:val="0"/>
            <w:vAlign w:val="center"/>
          </w:tcPr>
          <w:p>
            <w:pPr>
              <w:snapToGrid w:val="0"/>
              <w:spacing w:line="360" w:lineRule="exact"/>
              <w:ind w:firstLine="0" w:firstLineChars="0"/>
              <w:jc w:val="center"/>
              <w:rPr>
                <w:color w:val="auto"/>
                <w:sz w:val="21"/>
                <w:szCs w:val="21"/>
                <w:highlight w:val="none"/>
              </w:rPr>
            </w:pPr>
            <w:r>
              <w:rPr>
                <w:color w:val="auto"/>
                <w:sz w:val="21"/>
                <w:szCs w:val="21"/>
                <w:highlight w:val="none"/>
              </w:rPr>
              <w:t>2.1.1</w:t>
            </w:r>
          </w:p>
          <w:p>
            <w:pPr>
              <w:snapToGrid w:val="0"/>
              <w:spacing w:line="360" w:lineRule="exact"/>
              <w:ind w:firstLine="0" w:firstLineChars="0"/>
              <w:jc w:val="center"/>
              <w:rPr>
                <w:color w:val="auto"/>
                <w:sz w:val="21"/>
                <w:szCs w:val="21"/>
                <w:highlight w:val="none"/>
              </w:rPr>
            </w:pPr>
            <w:r>
              <w:rPr>
                <w:color w:val="auto"/>
                <w:sz w:val="21"/>
                <w:szCs w:val="21"/>
                <w:highlight w:val="none"/>
              </w:rPr>
              <w:t>2.1.3</w:t>
            </w:r>
          </w:p>
        </w:tc>
        <w:tc>
          <w:tcPr>
            <w:tcW w:w="888" w:type="pct"/>
            <w:tcBorders>
              <w:tl2br w:val="nil"/>
              <w:tr2bl w:val="nil"/>
            </w:tcBorders>
            <w:noWrap w:val="0"/>
            <w:vAlign w:val="center"/>
          </w:tcPr>
          <w:p>
            <w:pPr>
              <w:snapToGrid w:val="0"/>
              <w:spacing w:line="360" w:lineRule="exact"/>
              <w:ind w:firstLine="0" w:firstLineChars="0"/>
              <w:jc w:val="center"/>
              <w:rPr>
                <w:color w:val="auto"/>
                <w:sz w:val="21"/>
                <w:szCs w:val="22"/>
                <w:highlight w:val="none"/>
              </w:rPr>
            </w:pPr>
            <w:r>
              <w:rPr>
                <w:color w:val="auto"/>
                <w:sz w:val="21"/>
                <w:szCs w:val="22"/>
                <w:highlight w:val="none"/>
              </w:rPr>
              <w:t>形式评审与响应性评审标准</w:t>
            </w:r>
          </w:p>
        </w:tc>
        <w:tc>
          <w:tcPr>
            <w:tcW w:w="3711" w:type="pct"/>
            <w:tcBorders>
              <w:tl2br w:val="nil"/>
              <w:tr2bl w:val="nil"/>
            </w:tcBorders>
            <w:noWrap w:val="0"/>
            <w:vAlign w:val="center"/>
          </w:tcPr>
          <w:p>
            <w:pPr>
              <w:snapToGrid w:val="0"/>
              <w:spacing w:line="360" w:lineRule="exact"/>
              <w:ind w:firstLine="0" w:firstLineChars="0"/>
              <w:jc w:val="both"/>
              <w:rPr>
                <w:b/>
                <w:bCs/>
                <w:color w:val="auto"/>
                <w:sz w:val="21"/>
                <w:szCs w:val="21"/>
                <w:highlight w:val="none"/>
              </w:rPr>
            </w:pPr>
            <w:r>
              <w:rPr>
                <w:b/>
                <w:bCs/>
                <w:color w:val="auto"/>
                <w:sz w:val="21"/>
                <w:szCs w:val="21"/>
                <w:highlight w:val="none"/>
              </w:rPr>
              <w:t>第一个信封（商务及技术文件）评审标准：</w:t>
            </w:r>
          </w:p>
          <w:p>
            <w:pPr>
              <w:snapToGrid w:val="0"/>
              <w:spacing w:line="360" w:lineRule="exact"/>
              <w:ind w:firstLine="0" w:firstLineChars="0"/>
              <w:jc w:val="both"/>
              <w:rPr>
                <w:color w:val="auto"/>
                <w:sz w:val="21"/>
                <w:szCs w:val="21"/>
                <w:highlight w:val="none"/>
              </w:rPr>
            </w:pPr>
            <w:r>
              <w:rPr>
                <w:color w:val="auto"/>
                <w:sz w:val="21"/>
                <w:szCs w:val="21"/>
                <w:highlight w:val="none"/>
              </w:rPr>
              <w:t>（1）投标文件按照招标文件规定的格式、内容填写，字迹清晰可辨：</w:t>
            </w:r>
          </w:p>
          <w:p>
            <w:pPr>
              <w:snapToGrid w:val="0"/>
              <w:spacing w:line="360" w:lineRule="exact"/>
              <w:ind w:firstLine="0" w:firstLineChars="0"/>
              <w:jc w:val="both"/>
              <w:rPr>
                <w:color w:val="auto"/>
                <w:sz w:val="21"/>
                <w:szCs w:val="21"/>
                <w:highlight w:val="none"/>
              </w:rPr>
            </w:pPr>
            <w:r>
              <w:rPr>
                <w:color w:val="auto"/>
                <w:sz w:val="21"/>
                <w:szCs w:val="21"/>
                <w:highlight w:val="none"/>
              </w:rPr>
              <w:t>a.投标函按招标文件规定填报了项目名称、标段名称、补遗书编号（如有）、服务期限、工程质量要求及安全目标；</w:t>
            </w:r>
          </w:p>
          <w:p>
            <w:pPr>
              <w:snapToGrid w:val="0"/>
              <w:spacing w:line="360" w:lineRule="exact"/>
              <w:ind w:firstLine="0" w:firstLineChars="0"/>
              <w:jc w:val="both"/>
              <w:rPr>
                <w:color w:val="auto"/>
                <w:sz w:val="21"/>
                <w:szCs w:val="21"/>
                <w:highlight w:val="none"/>
              </w:rPr>
            </w:pPr>
            <w:r>
              <w:rPr>
                <w:color w:val="auto"/>
                <w:sz w:val="21"/>
                <w:szCs w:val="21"/>
                <w:highlight w:val="none"/>
              </w:rPr>
              <w:t>b.投标文件组成齐全完整，内容均按规定填写。</w:t>
            </w:r>
          </w:p>
          <w:p>
            <w:pPr>
              <w:snapToGrid w:val="0"/>
              <w:spacing w:line="360" w:lineRule="exact"/>
              <w:ind w:firstLine="0" w:firstLineChars="0"/>
              <w:jc w:val="both"/>
              <w:rPr>
                <w:color w:val="auto"/>
                <w:sz w:val="21"/>
                <w:szCs w:val="21"/>
                <w:highlight w:val="none"/>
              </w:rPr>
            </w:pPr>
            <w:r>
              <w:rPr>
                <w:color w:val="auto"/>
                <w:sz w:val="21"/>
                <w:szCs w:val="21"/>
                <w:highlight w:val="none"/>
              </w:rPr>
              <w:t>（2）投标文件上法定代表人的个人电子印（签）章或其委托代理人电子印（签）章/签字、投标人的单位电子印章齐全，符合招标文件规定。</w:t>
            </w:r>
          </w:p>
          <w:p>
            <w:pPr>
              <w:snapToGrid w:val="0"/>
              <w:spacing w:line="360" w:lineRule="exact"/>
              <w:ind w:firstLine="0" w:firstLineChars="0"/>
              <w:jc w:val="both"/>
              <w:rPr>
                <w:color w:val="auto"/>
                <w:sz w:val="21"/>
                <w:szCs w:val="21"/>
                <w:highlight w:val="none"/>
              </w:rPr>
            </w:pPr>
            <w:r>
              <w:rPr>
                <w:color w:val="auto"/>
                <w:sz w:val="21"/>
                <w:szCs w:val="21"/>
                <w:highlight w:val="none"/>
              </w:rPr>
              <w:t>（3）投标人按照招标文件的规定提供了投标保证金：</w:t>
            </w:r>
          </w:p>
          <w:p>
            <w:pPr>
              <w:snapToGrid w:val="0"/>
              <w:spacing w:line="360" w:lineRule="exact"/>
              <w:ind w:firstLine="0" w:firstLineChars="0"/>
              <w:jc w:val="both"/>
              <w:rPr>
                <w:color w:val="auto"/>
                <w:sz w:val="21"/>
                <w:szCs w:val="21"/>
                <w:highlight w:val="none"/>
              </w:rPr>
            </w:pPr>
            <w:r>
              <w:rPr>
                <w:color w:val="auto"/>
                <w:sz w:val="21"/>
                <w:szCs w:val="21"/>
                <w:highlight w:val="none"/>
              </w:rPr>
              <w:t>a.投标保证金金额符合招标文件规定的金额，且投标保证金有效期不少于投标有效期；</w:t>
            </w:r>
          </w:p>
          <w:p>
            <w:pPr>
              <w:snapToGrid w:val="0"/>
              <w:spacing w:line="360" w:lineRule="exact"/>
              <w:ind w:firstLine="0" w:firstLineChars="0"/>
              <w:jc w:val="both"/>
              <w:rPr>
                <w:color w:val="auto"/>
                <w:sz w:val="21"/>
                <w:szCs w:val="21"/>
                <w:highlight w:val="none"/>
              </w:rPr>
            </w:pPr>
            <w:r>
              <w:rPr>
                <w:color w:val="auto"/>
                <w:sz w:val="21"/>
                <w:szCs w:val="21"/>
                <w:highlight w:val="none"/>
              </w:rPr>
              <w:t>b.若投标保证金采用现金或支票形式提交，投标人应在递交投标文件截止时间之前，将投标保证金由投标人的基本账户转入招标人指定账户；</w:t>
            </w:r>
          </w:p>
          <w:p>
            <w:pPr>
              <w:snapToGrid w:val="0"/>
              <w:spacing w:line="360" w:lineRule="exact"/>
              <w:ind w:firstLine="0" w:firstLineChars="0"/>
              <w:jc w:val="both"/>
              <w:rPr>
                <w:color w:val="auto"/>
                <w:sz w:val="21"/>
                <w:szCs w:val="21"/>
                <w:highlight w:val="none"/>
              </w:rPr>
            </w:pPr>
            <w:r>
              <w:rPr>
                <w:color w:val="auto"/>
                <w:sz w:val="21"/>
                <w:szCs w:val="21"/>
                <w:highlight w:val="none"/>
              </w:rPr>
              <w:t>c.若投标保证金采用银行保函形式提交，银行保函的格式、开具保函的银行均满足招标文件要求，且在递交投标文件截止时间之前向招标人提交了银行保函原件。</w:t>
            </w:r>
          </w:p>
          <w:p>
            <w:pPr>
              <w:snapToGrid w:val="0"/>
              <w:spacing w:line="360" w:lineRule="exact"/>
              <w:ind w:firstLine="0" w:firstLineChars="0"/>
              <w:jc w:val="both"/>
              <w:rPr>
                <w:color w:val="auto"/>
                <w:sz w:val="21"/>
                <w:szCs w:val="21"/>
                <w:highlight w:val="none"/>
              </w:rPr>
            </w:pPr>
            <w:r>
              <w:rPr>
                <w:color w:val="auto"/>
                <w:sz w:val="21"/>
                <w:szCs w:val="21"/>
                <w:highlight w:val="none"/>
              </w:rPr>
              <w:t>（4）投标人法定代表人授权委托代理人签署投标文件的，须提交授权委托书，且授权人个人电子印（签）章和被授权人均在授权委托书上加盖个人电子印（签）章/签字。</w:t>
            </w:r>
          </w:p>
          <w:p>
            <w:pPr>
              <w:snapToGrid w:val="0"/>
              <w:spacing w:line="360" w:lineRule="exact"/>
              <w:ind w:firstLine="0" w:firstLineChars="0"/>
              <w:jc w:val="both"/>
              <w:rPr>
                <w:color w:val="auto"/>
                <w:sz w:val="21"/>
                <w:szCs w:val="21"/>
                <w:highlight w:val="none"/>
              </w:rPr>
            </w:pPr>
            <w:r>
              <w:rPr>
                <w:color w:val="auto"/>
                <w:sz w:val="21"/>
                <w:szCs w:val="21"/>
                <w:highlight w:val="none"/>
              </w:rPr>
              <w:t>（5）投标人法定代表人亲自签署投标文件的，提供了法定代表人身份证明，且法定代表人在法定代表人身份证明上加盖个人电子印（签）章。</w:t>
            </w:r>
          </w:p>
          <w:p>
            <w:pPr>
              <w:snapToGrid w:val="0"/>
              <w:spacing w:line="360" w:lineRule="exact"/>
              <w:ind w:firstLine="0" w:firstLineChars="0"/>
              <w:jc w:val="both"/>
              <w:rPr>
                <w:color w:val="auto"/>
                <w:sz w:val="21"/>
                <w:szCs w:val="21"/>
                <w:highlight w:val="none"/>
              </w:rPr>
            </w:pPr>
            <w:r>
              <w:rPr>
                <w:color w:val="auto"/>
                <w:sz w:val="21"/>
                <w:szCs w:val="21"/>
                <w:highlight w:val="none"/>
              </w:rPr>
              <w:t>（6）同一投标人未提交两个以上不同的投标文件。</w:t>
            </w:r>
          </w:p>
          <w:p>
            <w:pPr>
              <w:snapToGrid w:val="0"/>
              <w:spacing w:line="360" w:lineRule="exact"/>
              <w:ind w:firstLine="0" w:firstLineChars="0"/>
              <w:jc w:val="both"/>
              <w:rPr>
                <w:color w:val="auto"/>
                <w:sz w:val="21"/>
                <w:szCs w:val="21"/>
                <w:highlight w:val="none"/>
              </w:rPr>
            </w:pPr>
            <w:r>
              <w:rPr>
                <w:color w:val="auto"/>
                <w:sz w:val="21"/>
                <w:szCs w:val="21"/>
                <w:highlight w:val="none"/>
              </w:rPr>
              <w:t>（7）投标文件中未出现有关投标报价的内容。</w:t>
            </w:r>
          </w:p>
          <w:p>
            <w:pPr>
              <w:snapToGrid w:val="0"/>
              <w:spacing w:line="360" w:lineRule="exact"/>
              <w:ind w:firstLine="0" w:firstLineChars="0"/>
              <w:jc w:val="both"/>
              <w:rPr>
                <w:color w:val="auto"/>
                <w:sz w:val="21"/>
                <w:szCs w:val="21"/>
                <w:highlight w:val="none"/>
              </w:rPr>
            </w:pPr>
            <w:r>
              <w:rPr>
                <w:color w:val="auto"/>
                <w:sz w:val="21"/>
                <w:szCs w:val="21"/>
                <w:highlight w:val="none"/>
              </w:rPr>
              <w:t>（8）投标文件载明的招标项目完成期限符合招标文件规定。</w:t>
            </w:r>
          </w:p>
          <w:p>
            <w:pPr>
              <w:snapToGrid w:val="0"/>
              <w:spacing w:line="360" w:lineRule="exact"/>
              <w:ind w:firstLine="0" w:firstLineChars="0"/>
              <w:jc w:val="both"/>
              <w:rPr>
                <w:color w:val="auto"/>
                <w:sz w:val="21"/>
                <w:szCs w:val="21"/>
                <w:highlight w:val="none"/>
              </w:rPr>
            </w:pPr>
            <w:r>
              <w:rPr>
                <w:color w:val="auto"/>
                <w:sz w:val="21"/>
                <w:szCs w:val="21"/>
                <w:highlight w:val="none"/>
              </w:rPr>
              <w:t>（9）投标文件对招标文件的实质性要求和条件作出响应。</w:t>
            </w:r>
          </w:p>
          <w:p>
            <w:pPr>
              <w:snapToGrid w:val="0"/>
              <w:spacing w:line="360" w:lineRule="exact"/>
              <w:ind w:firstLine="0" w:firstLineChars="0"/>
              <w:jc w:val="both"/>
              <w:rPr>
                <w:color w:val="auto"/>
                <w:sz w:val="21"/>
                <w:szCs w:val="21"/>
                <w:highlight w:val="none"/>
              </w:rPr>
            </w:pPr>
            <w:r>
              <w:rPr>
                <w:color w:val="auto"/>
                <w:sz w:val="21"/>
                <w:szCs w:val="21"/>
                <w:highlight w:val="none"/>
              </w:rPr>
              <w:t>（10）权利义务符合招标文件规定：</w:t>
            </w:r>
          </w:p>
          <w:p>
            <w:pPr>
              <w:snapToGrid w:val="0"/>
              <w:spacing w:line="360" w:lineRule="exact"/>
              <w:ind w:firstLine="0" w:firstLineChars="0"/>
              <w:jc w:val="both"/>
              <w:rPr>
                <w:color w:val="auto"/>
                <w:sz w:val="21"/>
                <w:szCs w:val="22"/>
                <w:highlight w:val="none"/>
              </w:rPr>
            </w:pPr>
            <w:r>
              <w:rPr>
                <w:color w:val="auto"/>
                <w:sz w:val="21"/>
                <w:szCs w:val="22"/>
                <w:highlight w:val="none"/>
              </w:rPr>
              <w:t>a.投标人应接受招标文件规定的风险划分原则，未提出新的风险划分办法；</w:t>
            </w:r>
          </w:p>
          <w:p>
            <w:pPr>
              <w:snapToGrid w:val="0"/>
              <w:spacing w:line="360" w:lineRule="exact"/>
              <w:ind w:firstLine="0" w:firstLineChars="0"/>
              <w:jc w:val="both"/>
              <w:rPr>
                <w:color w:val="auto"/>
                <w:sz w:val="21"/>
                <w:szCs w:val="22"/>
                <w:highlight w:val="none"/>
              </w:rPr>
            </w:pPr>
            <w:r>
              <w:rPr>
                <w:color w:val="auto"/>
                <w:sz w:val="21"/>
                <w:szCs w:val="22"/>
                <w:highlight w:val="none"/>
              </w:rPr>
              <w:t>b.投标人未增加委托人的责任范围，或减少投标人义务；</w:t>
            </w:r>
          </w:p>
          <w:p>
            <w:pPr>
              <w:snapToGrid w:val="0"/>
              <w:spacing w:line="360" w:lineRule="exact"/>
              <w:ind w:firstLine="0" w:firstLineChars="0"/>
              <w:jc w:val="both"/>
              <w:rPr>
                <w:color w:val="auto"/>
                <w:sz w:val="21"/>
                <w:szCs w:val="22"/>
                <w:highlight w:val="none"/>
              </w:rPr>
            </w:pPr>
            <w:r>
              <w:rPr>
                <w:color w:val="auto"/>
                <w:sz w:val="21"/>
                <w:szCs w:val="22"/>
                <w:highlight w:val="none"/>
              </w:rPr>
              <w:t>c.投标人未提出不同的支付办法；</w:t>
            </w:r>
          </w:p>
          <w:p>
            <w:pPr>
              <w:snapToGrid w:val="0"/>
              <w:spacing w:line="360" w:lineRule="exact"/>
              <w:ind w:firstLine="0" w:firstLineChars="0"/>
              <w:jc w:val="both"/>
              <w:rPr>
                <w:color w:val="auto"/>
                <w:sz w:val="21"/>
                <w:szCs w:val="22"/>
                <w:highlight w:val="none"/>
              </w:rPr>
            </w:pPr>
            <w:r>
              <w:rPr>
                <w:color w:val="auto"/>
                <w:sz w:val="21"/>
                <w:szCs w:val="22"/>
                <w:highlight w:val="none"/>
              </w:rPr>
              <w:t>d.投标人对合同纠纷、事故处理办法未提出异议；</w:t>
            </w:r>
          </w:p>
          <w:p>
            <w:pPr>
              <w:snapToGrid w:val="0"/>
              <w:spacing w:line="360" w:lineRule="exact"/>
              <w:ind w:firstLine="0" w:firstLineChars="0"/>
              <w:jc w:val="both"/>
              <w:rPr>
                <w:color w:val="auto"/>
                <w:sz w:val="21"/>
                <w:szCs w:val="22"/>
                <w:highlight w:val="none"/>
              </w:rPr>
            </w:pPr>
            <w:r>
              <w:rPr>
                <w:color w:val="auto"/>
                <w:sz w:val="21"/>
                <w:szCs w:val="22"/>
                <w:highlight w:val="none"/>
              </w:rPr>
              <w:t>e.投标人在投标活动中无欺诈行为；</w:t>
            </w:r>
          </w:p>
          <w:p>
            <w:pPr>
              <w:snapToGrid w:val="0"/>
              <w:spacing w:line="360" w:lineRule="exact"/>
              <w:ind w:firstLine="0" w:firstLineChars="0"/>
              <w:jc w:val="both"/>
              <w:rPr>
                <w:color w:val="auto"/>
                <w:sz w:val="21"/>
                <w:szCs w:val="22"/>
                <w:highlight w:val="none"/>
              </w:rPr>
            </w:pPr>
            <w:r>
              <w:rPr>
                <w:color w:val="auto"/>
                <w:sz w:val="21"/>
                <w:szCs w:val="22"/>
                <w:highlight w:val="none"/>
              </w:rPr>
              <w:t>f.投标人未对合同条款有重要保留。</w:t>
            </w:r>
          </w:p>
          <w:p>
            <w:pPr>
              <w:snapToGrid w:val="0"/>
              <w:spacing w:line="360" w:lineRule="exact"/>
              <w:ind w:firstLine="0" w:firstLineChars="0"/>
              <w:jc w:val="both"/>
              <w:rPr>
                <w:b/>
                <w:bCs/>
                <w:color w:val="auto"/>
                <w:sz w:val="21"/>
                <w:szCs w:val="22"/>
                <w:highlight w:val="none"/>
              </w:rPr>
            </w:pPr>
            <w:r>
              <w:rPr>
                <w:b/>
                <w:bCs/>
                <w:color w:val="auto"/>
                <w:sz w:val="21"/>
                <w:szCs w:val="22"/>
                <w:highlight w:val="none"/>
              </w:rPr>
              <w:t>第二个信封（报价文件）评审标准：</w:t>
            </w:r>
          </w:p>
          <w:p>
            <w:pPr>
              <w:snapToGrid w:val="0"/>
              <w:spacing w:line="360" w:lineRule="exact"/>
              <w:ind w:firstLine="0" w:firstLineChars="0"/>
              <w:jc w:val="both"/>
              <w:rPr>
                <w:color w:val="auto"/>
                <w:sz w:val="21"/>
                <w:szCs w:val="22"/>
                <w:highlight w:val="none"/>
              </w:rPr>
            </w:pPr>
            <w:r>
              <w:rPr>
                <w:color w:val="auto"/>
                <w:sz w:val="21"/>
                <w:szCs w:val="22"/>
                <w:highlight w:val="none"/>
              </w:rPr>
              <w:t>（1）投标文件按照招标文件规定的格式、内容填写，字迹清晰可辨，内容齐全完整：</w:t>
            </w:r>
          </w:p>
          <w:p>
            <w:pPr>
              <w:snapToGrid w:val="0"/>
              <w:spacing w:line="360" w:lineRule="exact"/>
              <w:ind w:firstLine="0" w:firstLineChars="0"/>
              <w:jc w:val="both"/>
              <w:rPr>
                <w:color w:val="auto"/>
                <w:sz w:val="21"/>
                <w:szCs w:val="22"/>
                <w:highlight w:val="none"/>
              </w:rPr>
            </w:pPr>
            <w:r>
              <w:rPr>
                <w:color w:val="auto"/>
                <w:sz w:val="21"/>
                <w:szCs w:val="22"/>
                <w:highlight w:val="none"/>
              </w:rPr>
              <w:t>a.投标函按招标文件规定填报了项目名称、标段名称、补遗书编号（如有）、投标价（包括大写金额和小写金额）；</w:t>
            </w:r>
          </w:p>
          <w:p>
            <w:pPr>
              <w:snapToGrid w:val="0"/>
              <w:spacing w:line="360" w:lineRule="exact"/>
              <w:ind w:firstLine="0" w:firstLineChars="0"/>
              <w:jc w:val="both"/>
              <w:rPr>
                <w:color w:val="auto"/>
                <w:sz w:val="21"/>
                <w:szCs w:val="22"/>
                <w:highlight w:val="none"/>
              </w:rPr>
            </w:pPr>
            <w:r>
              <w:rPr>
                <w:color w:val="auto"/>
                <w:sz w:val="21"/>
                <w:szCs w:val="22"/>
                <w:highlight w:val="none"/>
              </w:rPr>
              <w:t>b.已标价服务费用清单说明文字与招标文件规定一致，未进行实质性修改和删减；</w:t>
            </w:r>
          </w:p>
          <w:p>
            <w:pPr>
              <w:snapToGrid w:val="0"/>
              <w:spacing w:line="360" w:lineRule="exact"/>
              <w:ind w:firstLine="0" w:firstLineChars="0"/>
              <w:jc w:val="both"/>
              <w:rPr>
                <w:color w:val="auto"/>
                <w:sz w:val="21"/>
                <w:szCs w:val="22"/>
                <w:highlight w:val="none"/>
              </w:rPr>
            </w:pPr>
            <w:r>
              <w:rPr>
                <w:color w:val="auto"/>
                <w:sz w:val="21"/>
                <w:szCs w:val="22"/>
                <w:highlight w:val="none"/>
              </w:rPr>
              <w:t>c.投标文件组成齐全完整，内容均按规定填写。</w:t>
            </w:r>
          </w:p>
          <w:p>
            <w:pPr>
              <w:snapToGrid w:val="0"/>
              <w:spacing w:line="360" w:lineRule="exact"/>
              <w:ind w:firstLine="0" w:firstLineChars="0"/>
              <w:jc w:val="both"/>
              <w:rPr>
                <w:color w:val="auto"/>
                <w:sz w:val="21"/>
                <w:szCs w:val="22"/>
                <w:highlight w:val="none"/>
              </w:rPr>
            </w:pPr>
            <w:r>
              <w:rPr>
                <w:color w:val="auto"/>
                <w:sz w:val="21"/>
                <w:szCs w:val="22"/>
                <w:highlight w:val="none"/>
              </w:rPr>
              <w:t>（2）</w:t>
            </w:r>
            <w:r>
              <w:rPr>
                <w:color w:val="auto"/>
                <w:sz w:val="21"/>
                <w:szCs w:val="21"/>
                <w:highlight w:val="none"/>
              </w:rPr>
              <w:t>投标文件上法定代表人的个人电子印（签）章或其委托代理人电子印（签）章/签字、投标人的单位电子印章齐全，符合招标文件规定。</w:t>
            </w:r>
          </w:p>
          <w:p>
            <w:pPr>
              <w:snapToGrid w:val="0"/>
              <w:spacing w:line="360" w:lineRule="exact"/>
              <w:ind w:firstLine="0" w:firstLineChars="0"/>
              <w:jc w:val="both"/>
              <w:rPr>
                <w:color w:val="auto"/>
                <w:sz w:val="21"/>
                <w:szCs w:val="22"/>
                <w:highlight w:val="none"/>
              </w:rPr>
            </w:pPr>
            <w:r>
              <w:rPr>
                <w:color w:val="auto"/>
                <w:sz w:val="21"/>
                <w:szCs w:val="22"/>
                <w:highlight w:val="none"/>
              </w:rPr>
              <w:t>（3）投标报价未超过招标文件设定的最高投标限价。</w:t>
            </w:r>
          </w:p>
          <w:p>
            <w:pPr>
              <w:snapToGrid w:val="0"/>
              <w:spacing w:line="360" w:lineRule="exact"/>
              <w:ind w:firstLine="0" w:firstLineChars="0"/>
              <w:jc w:val="both"/>
              <w:rPr>
                <w:color w:val="auto"/>
                <w:sz w:val="21"/>
                <w:szCs w:val="22"/>
                <w:highlight w:val="none"/>
              </w:rPr>
            </w:pPr>
            <w:r>
              <w:rPr>
                <w:color w:val="auto"/>
                <w:sz w:val="21"/>
                <w:szCs w:val="22"/>
                <w:highlight w:val="none"/>
              </w:rPr>
              <w:t>（4）投标报价的大写金额能够确定具体数值。</w:t>
            </w:r>
          </w:p>
          <w:p>
            <w:pPr>
              <w:snapToGrid w:val="0"/>
              <w:spacing w:line="360" w:lineRule="exact"/>
              <w:ind w:firstLine="0" w:firstLineChars="0"/>
              <w:jc w:val="both"/>
              <w:rPr>
                <w:color w:val="auto"/>
                <w:sz w:val="21"/>
                <w:szCs w:val="22"/>
                <w:highlight w:val="none"/>
              </w:rPr>
            </w:pPr>
            <w:r>
              <w:rPr>
                <w:color w:val="auto"/>
                <w:sz w:val="21"/>
                <w:szCs w:val="22"/>
                <w:highlight w:val="none"/>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4" w:hRule="atLeast"/>
          <w:jc w:val="center"/>
        </w:trPr>
        <w:tc>
          <w:tcPr>
            <w:tcW w:w="401" w:type="pct"/>
            <w:tcBorders>
              <w:tl2br w:val="nil"/>
              <w:tr2bl w:val="nil"/>
            </w:tcBorders>
            <w:noWrap w:val="0"/>
            <w:vAlign w:val="center"/>
          </w:tcPr>
          <w:p>
            <w:pPr>
              <w:snapToGrid w:val="0"/>
              <w:spacing w:line="360" w:lineRule="exact"/>
              <w:ind w:firstLine="0" w:firstLineChars="0"/>
              <w:jc w:val="center"/>
              <w:rPr>
                <w:color w:val="auto"/>
                <w:sz w:val="21"/>
                <w:szCs w:val="21"/>
                <w:highlight w:val="none"/>
              </w:rPr>
            </w:pPr>
            <w:r>
              <w:rPr>
                <w:color w:val="auto"/>
                <w:sz w:val="21"/>
                <w:szCs w:val="21"/>
                <w:highlight w:val="none"/>
              </w:rPr>
              <w:t>2.1.2</w:t>
            </w:r>
          </w:p>
        </w:tc>
        <w:tc>
          <w:tcPr>
            <w:tcW w:w="888" w:type="pct"/>
            <w:tcBorders>
              <w:tl2br w:val="nil"/>
              <w:tr2bl w:val="nil"/>
            </w:tcBorders>
            <w:noWrap w:val="0"/>
            <w:vAlign w:val="center"/>
          </w:tcPr>
          <w:p>
            <w:pPr>
              <w:snapToGrid w:val="0"/>
              <w:spacing w:line="360" w:lineRule="exact"/>
              <w:ind w:firstLine="0" w:firstLineChars="0"/>
              <w:jc w:val="center"/>
              <w:rPr>
                <w:color w:val="auto"/>
                <w:sz w:val="21"/>
                <w:szCs w:val="22"/>
                <w:highlight w:val="none"/>
              </w:rPr>
            </w:pPr>
            <w:r>
              <w:rPr>
                <w:color w:val="auto"/>
                <w:sz w:val="21"/>
                <w:szCs w:val="22"/>
                <w:highlight w:val="none"/>
              </w:rPr>
              <w:t>资格评审标准</w:t>
            </w:r>
          </w:p>
        </w:tc>
        <w:tc>
          <w:tcPr>
            <w:tcW w:w="3711" w:type="pct"/>
            <w:tcBorders>
              <w:tl2br w:val="nil"/>
              <w:tr2bl w:val="nil"/>
            </w:tcBorders>
            <w:noWrap w:val="0"/>
            <w:vAlign w:val="center"/>
          </w:tcPr>
          <w:p>
            <w:pPr>
              <w:snapToGrid w:val="0"/>
              <w:spacing w:line="360" w:lineRule="exact"/>
              <w:ind w:firstLine="0" w:firstLineChars="0"/>
              <w:jc w:val="both"/>
              <w:rPr>
                <w:color w:val="auto"/>
                <w:sz w:val="21"/>
                <w:szCs w:val="22"/>
                <w:highlight w:val="none"/>
              </w:rPr>
            </w:pPr>
            <w:r>
              <w:rPr>
                <w:color w:val="auto"/>
                <w:sz w:val="21"/>
                <w:szCs w:val="22"/>
                <w:highlight w:val="none"/>
              </w:rPr>
              <w:t>（1）投标人具备有效的法人资格和资质证书。</w:t>
            </w:r>
          </w:p>
          <w:p>
            <w:pPr>
              <w:snapToGrid w:val="0"/>
              <w:spacing w:line="360" w:lineRule="exact"/>
              <w:ind w:firstLine="0" w:firstLineChars="0"/>
              <w:jc w:val="both"/>
              <w:rPr>
                <w:color w:val="auto"/>
                <w:sz w:val="21"/>
                <w:szCs w:val="22"/>
                <w:highlight w:val="none"/>
              </w:rPr>
            </w:pPr>
            <w:r>
              <w:rPr>
                <w:color w:val="auto"/>
                <w:sz w:val="21"/>
                <w:szCs w:val="22"/>
                <w:highlight w:val="none"/>
              </w:rPr>
              <w:t>（2）投标人的资质等级符合招标文件规定。</w:t>
            </w:r>
          </w:p>
          <w:p>
            <w:pPr>
              <w:snapToGrid w:val="0"/>
              <w:spacing w:line="360" w:lineRule="exact"/>
              <w:ind w:firstLine="0" w:firstLineChars="0"/>
              <w:jc w:val="both"/>
              <w:rPr>
                <w:color w:val="auto"/>
                <w:sz w:val="21"/>
                <w:szCs w:val="22"/>
                <w:highlight w:val="none"/>
              </w:rPr>
            </w:pPr>
            <w:r>
              <w:rPr>
                <w:color w:val="auto"/>
                <w:sz w:val="21"/>
                <w:szCs w:val="22"/>
                <w:highlight w:val="none"/>
              </w:rPr>
              <w:t>（3）投标人的信誉符合招标文件规定。</w:t>
            </w:r>
          </w:p>
          <w:p>
            <w:pPr>
              <w:snapToGrid w:val="0"/>
              <w:spacing w:line="360" w:lineRule="exact"/>
              <w:ind w:firstLine="0" w:firstLineChars="0"/>
              <w:jc w:val="both"/>
              <w:rPr>
                <w:color w:val="auto"/>
                <w:sz w:val="21"/>
                <w:szCs w:val="22"/>
                <w:highlight w:val="none"/>
              </w:rPr>
            </w:pPr>
            <w:r>
              <w:rPr>
                <w:color w:val="auto"/>
                <w:sz w:val="21"/>
                <w:szCs w:val="22"/>
                <w:highlight w:val="none"/>
              </w:rPr>
              <w:t>（4）投标人的项目负责人和技术负责人资格、在岗情况符合招标文件规定。</w:t>
            </w:r>
          </w:p>
          <w:p>
            <w:pPr>
              <w:snapToGrid w:val="0"/>
              <w:spacing w:line="360" w:lineRule="exact"/>
              <w:ind w:firstLine="0" w:firstLineChars="0"/>
              <w:jc w:val="both"/>
              <w:rPr>
                <w:color w:val="auto"/>
                <w:sz w:val="21"/>
                <w:szCs w:val="22"/>
                <w:highlight w:val="none"/>
              </w:rPr>
            </w:pPr>
            <w:r>
              <w:rPr>
                <w:color w:val="auto"/>
                <w:sz w:val="21"/>
                <w:szCs w:val="22"/>
                <w:highlight w:val="none"/>
              </w:rPr>
              <w:t>（5）投标人不存在第二章“投标人须知”第1.4.3项或第1.4.4项规定的任何一种情形。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47" w:hRule="atLeast"/>
          <w:jc w:val="center"/>
        </w:trPr>
        <w:tc>
          <w:tcPr>
            <w:tcW w:w="401" w:type="pct"/>
            <w:tcBorders>
              <w:tl2br w:val="nil"/>
              <w:tr2bl w:val="nil"/>
            </w:tcBorders>
            <w:noWrap w:val="0"/>
            <w:vAlign w:val="center"/>
          </w:tcPr>
          <w:p>
            <w:pPr>
              <w:snapToGrid w:val="0"/>
              <w:spacing w:line="360" w:lineRule="exact"/>
              <w:ind w:firstLine="0" w:firstLineChars="0"/>
              <w:jc w:val="center"/>
              <w:rPr>
                <w:color w:val="auto"/>
                <w:sz w:val="21"/>
                <w:szCs w:val="21"/>
                <w:highlight w:val="none"/>
              </w:rPr>
            </w:pPr>
            <w:r>
              <w:rPr>
                <w:color w:val="auto"/>
                <w:sz w:val="21"/>
                <w:szCs w:val="21"/>
                <w:highlight w:val="none"/>
              </w:rPr>
              <w:t>2.2.1</w:t>
            </w:r>
          </w:p>
        </w:tc>
        <w:tc>
          <w:tcPr>
            <w:tcW w:w="888" w:type="pct"/>
            <w:tcBorders>
              <w:tl2br w:val="nil"/>
              <w:tr2bl w:val="nil"/>
            </w:tcBorders>
            <w:noWrap w:val="0"/>
            <w:vAlign w:val="center"/>
          </w:tcPr>
          <w:p>
            <w:pPr>
              <w:snapToGrid w:val="0"/>
              <w:spacing w:line="360" w:lineRule="exact"/>
              <w:ind w:firstLine="0" w:firstLineChars="0"/>
              <w:jc w:val="center"/>
              <w:rPr>
                <w:color w:val="auto"/>
                <w:sz w:val="21"/>
                <w:szCs w:val="21"/>
                <w:highlight w:val="none"/>
              </w:rPr>
            </w:pPr>
            <w:r>
              <w:rPr>
                <w:color w:val="auto"/>
                <w:sz w:val="21"/>
                <w:szCs w:val="21"/>
                <w:highlight w:val="none"/>
              </w:rPr>
              <w:t>分值构成</w:t>
            </w:r>
          </w:p>
          <w:p>
            <w:pPr>
              <w:spacing w:line="360" w:lineRule="exact"/>
              <w:ind w:firstLine="0" w:firstLineChars="0"/>
              <w:jc w:val="both"/>
              <w:rPr>
                <w:color w:val="auto"/>
                <w:sz w:val="21"/>
                <w:szCs w:val="21"/>
                <w:highlight w:val="none"/>
              </w:rPr>
            </w:pPr>
            <w:r>
              <w:rPr>
                <w:color w:val="auto"/>
                <w:sz w:val="21"/>
                <w:szCs w:val="21"/>
                <w:highlight w:val="none"/>
              </w:rPr>
              <w:t>（总分100分）</w:t>
            </w:r>
          </w:p>
        </w:tc>
        <w:tc>
          <w:tcPr>
            <w:tcW w:w="3711" w:type="pct"/>
            <w:tcBorders>
              <w:tl2br w:val="nil"/>
              <w:tr2bl w:val="nil"/>
            </w:tcBorders>
            <w:noWrap w:val="0"/>
            <w:vAlign w:val="center"/>
          </w:tcPr>
          <w:p>
            <w:pPr>
              <w:snapToGrid w:val="0"/>
              <w:spacing w:line="360" w:lineRule="exact"/>
              <w:ind w:firstLine="0" w:firstLineChars="0"/>
              <w:jc w:val="both"/>
              <w:rPr>
                <w:b/>
                <w:bCs/>
                <w:color w:val="auto"/>
                <w:sz w:val="21"/>
                <w:szCs w:val="21"/>
                <w:highlight w:val="none"/>
              </w:rPr>
            </w:pPr>
            <w:r>
              <w:rPr>
                <w:b/>
                <w:bCs/>
                <w:color w:val="auto"/>
                <w:sz w:val="21"/>
                <w:szCs w:val="21"/>
                <w:highlight w:val="none"/>
              </w:rPr>
              <w:t>第一个信封（商务及技术文件）评分分值构成：</w:t>
            </w:r>
          </w:p>
          <w:p>
            <w:pPr>
              <w:snapToGrid w:val="0"/>
              <w:spacing w:line="360" w:lineRule="exact"/>
              <w:ind w:firstLine="0" w:firstLineChars="0"/>
              <w:jc w:val="both"/>
              <w:rPr>
                <w:color w:val="auto"/>
                <w:sz w:val="21"/>
                <w:szCs w:val="21"/>
                <w:highlight w:val="none"/>
              </w:rPr>
            </w:pPr>
            <w:r>
              <w:rPr>
                <w:color w:val="auto"/>
                <w:sz w:val="21"/>
                <w:szCs w:val="21"/>
                <w:highlight w:val="none"/>
              </w:rPr>
              <w:t>技术建议书：50分</w:t>
            </w:r>
          </w:p>
          <w:p>
            <w:pPr>
              <w:snapToGrid w:val="0"/>
              <w:spacing w:line="360" w:lineRule="exact"/>
              <w:ind w:firstLine="0" w:firstLineChars="0"/>
              <w:jc w:val="both"/>
              <w:rPr>
                <w:color w:val="auto"/>
                <w:sz w:val="21"/>
                <w:szCs w:val="21"/>
                <w:highlight w:val="none"/>
              </w:rPr>
            </w:pPr>
            <w:r>
              <w:rPr>
                <w:color w:val="auto"/>
                <w:sz w:val="21"/>
                <w:szCs w:val="21"/>
                <w:highlight w:val="none"/>
              </w:rPr>
              <w:t>主要人员：1</w:t>
            </w:r>
            <w:r>
              <w:rPr>
                <w:rFonts w:hint="eastAsia"/>
                <w:color w:val="auto"/>
                <w:sz w:val="21"/>
                <w:szCs w:val="21"/>
                <w:highlight w:val="none"/>
                <w:lang w:val="en-US" w:eastAsia="zh-CN"/>
              </w:rPr>
              <w:t>7</w:t>
            </w:r>
            <w:r>
              <w:rPr>
                <w:color w:val="auto"/>
                <w:sz w:val="21"/>
                <w:szCs w:val="21"/>
                <w:highlight w:val="none"/>
              </w:rPr>
              <w:t>分</w:t>
            </w:r>
          </w:p>
          <w:p>
            <w:pPr>
              <w:snapToGrid w:val="0"/>
              <w:spacing w:line="360" w:lineRule="exact"/>
              <w:ind w:firstLine="0" w:firstLineChars="0"/>
              <w:jc w:val="both"/>
              <w:rPr>
                <w:color w:val="auto"/>
                <w:sz w:val="21"/>
                <w:szCs w:val="21"/>
                <w:highlight w:val="none"/>
              </w:rPr>
            </w:pPr>
            <w:r>
              <w:rPr>
                <w:color w:val="auto"/>
                <w:sz w:val="21"/>
                <w:szCs w:val="21"/>
                <w:highlight w:val="none"/>
              </w:rPr>
              <w:t>业    绩：2</w:t>
            </w:r>
            <w:r>
              <w:rPr>
                <w:rFonts w:hint="eastAsia"/>
                <w:color w:val="auto"/>
                <w:sz w:val="21"/>
                <w:szCs w:val="21"/>
                <w:highlight w:val="none"/>
                <w:lang w:val="en-US" w:eastAsia="zh-CN"/>
              </w:rPr>
              <w:t>0</w:t>
            </w:r>
            <w:r>
              <w:rPr>
                <w:color w:val="auto"/>
                <w:sz w:val="21"/>
                <w:szCs w:val="21"/>
                <w:highlight w:val="none"/>
              </w:rPr>
              <w:t>分</w:t>
            </w:r>
          </w:p>
          <w:p>
            <w:pPr>
              <w:snapToGrid w:val="0"/>
              <w:spacing w:line="360" w:lineRule="exact"/>
              <w:ind w:firstLine="0" w:firstLineChars="0"/>
              <w:jc w:val="both"/>
              <w:rPr>
                <w:color w:val="auto"/>
                <w:sz w:val="21"/>
                <w:szCs w:val="21"/>
                <w:highlight w:val="none"/>
              </w:rPr>
            </w:pPr>
            <w:r>
              <w:rPr>
                <w:color w:val="auto"/>
                <w:sz w:val="21"/>
                <w:szCs w:val="21"/>
                <w:highlight w:val="none"/>
              </w:rPr>
              <w:t>履约信誉：3分</w:t>
            </w:r>
          </w:p>
          <w:p>
            <w:pPr>
              <w:snapToGrid w:val="0"/>
              <w:spacing w:line="360" w:lineRule="exact"/>
              <w:ind w:firstLine="0" w:firstLineChars="0"/>
              <w:jc w:val="both"/>
              <w:rPr>
                <w:b/>
                <w:bCs/>
                <w:color w:val="auto"/>
                <w:sz w:val="21"/>
                <w:szCs w:val="21"/>
                <w:highlight w:val="none"/>
              </w:rPr>
            </w:pPr>
            <w:r>
              <w:rPr>
                <w:b/>
                <w:bCs/>
                <w:color w:val="auto"/>
                <w:sz w:val="21"/>
                <w:szCs w:val="21"/>
                <w:highlight w:val="none"/>
              </w:rPr>
              <w:t>第二个信封（报价文件）评分分值构成：</w:t>
            </w:r>
          </w:p>
          <w:p>
            <w:pPr>
              <w:snapToGrid w:val="0"/>
              <w:spacing w:line="360" w:lineRule="exact"/>
              <w:ind w:firstLine="0" w:firstLineChars="0"/>
              <w:jc w:val="both"/>
              <w:rPr>
                <w:color w:val="auto"/>
                <w:sz w:val="21"/>
                <w:szCs w:val="21"/>
                <w:highlight w:val="none"/>
              </w:rPr>
            </w:pPr>
            <w:r>
              <w:rPr>
                <w:color w:val="auto"/>
                <w:sz w:val="21"/>
                <w:szCs w:val="21"/>
                <w:highlight w:val="none"/>
              </w:rPr>
              <w:t>评标价：10分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947" w:hRule="atLeast"/>
          <w:jc w:val="center"/>
        </w:trPr>
        <w:tc>
          <w:tcPr>
            <w:tcW w:w="401" w:type="pct"/>
            <w:tcBorders>
              <w:tl2br w:val="nil"/>
              <w:tr2bl w:val="nil"/>
            </w:tcBorders>
            <w:noWrap w:val="0"/>
            <w:vAlign w:val="center"/>
          </w:tcPr>
          <w:p>
            <w:pPr>
              <w:snapToGrid w:val="0"/>
              <w:spacing w:line="360" w:lineRule="exact"/>
              <w:ind w:firstLine="0" w:firstLineChars="0"/>
              <w:jc w:val="center"/>
              <w:rPr>
                <w:color w:val="auto"/>
                <w:sz w:val="21"/>
                <w:szCs w:val="21"/>
                <w:highlight w:val="none"/>
              </w:rPr>
            </w:pPr>
            <w:r>
              <w:rPr>
                <w:color w:val="auto"/>
                <w:sz w:val="21"/>
                <w:szCs w:val="21"/>
                <w:highlight w:val="none"/>
              </w:rPr>
              <w:t>2.2.2</w:t>
            </w:r>
          </w:p>
        </w:tc>
        <w:tc>
          <w:tcPr>
            <w:tcW w:w="888" w:type="pct"/>
            <w:tcBorders>
              <w:tl2br w:val="nil"/>
              <w:tr2bl w:val="nil"/>
            </w:tcBorders>
            <w:noWrap w:val="0"/>
            <w:vAlign w:val="center"/>
          </w:tcPr>
          <w:p>
            <w:pPr>
              <w:snapToGrid w:val="0"/>
              <w:spacing w:line="360" w:lineRule="exact"/>
              <w:ind w:firstLine="0" w:firstLineChars="0"/>
              <w:jc w:val="center"/>
              <w:rPr>
                <w:color w:val="auto"/>
                <w:sz w:val="21"/>
                <w:szCs w:val="22"/>
                <w:highlight w:val="none"/>
              </w:rPr>
            </w:pPr>
            <w:r>
              <w:rPr>
                <w:color w:val="auto"/>
                <w:sz w:val="21"/>
                <w:szCs w:val="22"/>
                <w:highlight w:val="none"/>
              </w:rPr>
              <w:t>评标基准价计算方法</w:t>
            </w:r>
          </w:p>
        </w:tc>
        <w:tc>
          <w:tcPr>
            <w:tcW w:w="3711" w:type="pct"/>
            <w:tcBorders>
              <w:tl2br w:val="nil"/>
              <w:tr2bl w:val="nil"/>
            </w:tcBorders>
            <w:noWrap w:val="0"/>
            <w:vAlign w:val="center"/>
          </w:tcPr>
          <w:p>
            <w:pPr>
              <w:snapToGrid w:val="0"/>
              <w:spacing w:line="360" w:lineRule="exact"/>
              <w:ind w:firstLine="0" w:firstLineChars="0"/>
              <w:jc w:val="both"/>
              <w:rPr>
                <w:color w:val="auto"/>
                <w:sz w:val="21"/>
                <w:szCs w:val="21"/>
                <w:highlight w:val="none"/>
              </w:rPr>
            </w:pPr>
            <w:r>
              <w:rPr>
                <w:color w:val="auto"/>
                <w:sz w:val="21"/>
                <w:szCs w:val="21"/>
                <w:highlight w:val="none"/>
              </w:rPr>
              <w:t>评标基准价的计算：</w:t>
            </w:r>
          </w:p>
          <w:p>
            <w:pPr>
              <w:snapToGrid w:val="0"/>
              <w:spacing w:line="360" w:lineRule="exact"/>
              <w:ind w:firstLine="0" w:firstLineChars="0"/>
              <w:jc w:val="both"/>
              <w:rPr>
                <w:color w:val="auto"/>
                <w:sz w:val="21"/>
                <w:szCs w:val="21"/>
                <w:highlight w:val="none"/>
              </w:rPr>
            </w:pPr>
            <w:r>
              <w:rPr>
                <w:color w:val="auto"/>
                <w:sz w:val="21"/>
                <w:szCs w:val="21"/>
                <w:highlight w:val="none"/>
              </w:rPr>
              <w:t>在开标现场，招标人将当场计算并宣布评标基准价。</w:t>
            </w:r>
          </w:p>
          <w:p>
            <w:pPr>
              <w:snapToGrid w:val="0"/>
              <w:spacing w:line="360" w:lineRule="exact"/>
              <w:ind w:firstLine="0" w:firstLineChars="0"/>
              <w:jc w:val="both"/>
              <w:rPr>
                <w:color w:val="auto"/>
                <w:sz w:val="21"/>
                <w:szCs w:val="21"/>
                <w:highlight w:val="none"/>
              </w:rPr>
            </w:pPr>
            <w:r>
              <w:rPr>
                <w:color w:val="auto"/>
                <w:sz w:val="21"/>
                <w:szCs w:val="21"/>
                <w:highlight w:val="none"/>
              </w:rPr>
              <w:t>（1）评标价的确定：</w:t>
            </w:r>
          </w:p>
          <w:p>
            <w:pPr>
              <w:snapToGrid w:val="0"/>
              <w:spacing w:line="360" w:lineRule="exact"/>
              <w:ind w:firstLine="0" w:firstLineChars="0"/>
              <w:jc w:val="both"/>
              <w:rPr>
                <w:color w:val="auto"/>
                <w:sz w:val="21"/>
                <w:szCs w:val="21"/>
                <w:highlight w:val="none"/>
              </w:rPr>
            </w:pPr>
            <w:r>
              <w:rPr>
                <w:color w:val="auto"/>
                <w:sz w:val="21"/>
                <w:szCs w:val="21"/>
                <w:highlight w:val="none"/>
              </w:rPr>
              <w:t>评标价＝投标函文字报价</w:t>
            </w:r>
          </w:p>
          <w:p>
            <w:pPr>
              <w:snapToGrid w:val="0"/>
              <w:spacing w:line="360" w:lineRule="exact"/>
              <w:ind w:firstLine="0" w:firstLineChars="0"/>
              <w:jc w:val="both"/>
              <w:rPr>
                <w:color w:val="auto"/>
                <w:sz w:val="21"/>
                <w:szCs w:val="21"/>
                <w:highlight w:val="none"/>
              </w:rPr>
            </w:pPr>
            <w:r>
              <w:rPr>
                <w:color w:val="auto"/>
                <w:sz w:val="21"/>
                <w:szCs w:val="21"/>
                <w:highlight w:val="none"/>
              </w:rPr>
              <w:t>（2）评标价平均值的计算：</w:t>
            </w:r>
          </w:p>
          <w:p>
            <w:pPr>
              <w:snapToGrid w:val="0"/>
              <w:spacing w:line="360" w:lineRule="exact"/>
              <w:ind w:firstLine="0" w:firstLineChars="0"/>
              <w:jc w:val="both"/>
              <w:rPr>
                <w:color w:val="auto"/>
                <w:sz w:val="21"/>
                <w:szCs w:val="21"/>
                <w:highlight w:val="none"/>
              </w:rPr>
            </w:pPr>
            <w:r>
              <w:rPr>
                <w:color w:val="auto"/>
                <w:sz w:val="21"/>
                <w:szCs w:val="21"/>
                <w:highlight w:val="non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napToGrid w:val="0"/>
              <w:spacing w:line="360" w:lineRule="exact"/>
              <w:ind w:firstLine="0" w:firstLineChars="0"/>
              <w:jc w:val="both"/>
              <w:rPr>
                <w:color w:val="auto"/>
                <w:sz w:val="21"/>
                <w:szCs w:val="21"/>
                <w:highlight w:val="none"/>
              </w:rPr>
            </w:pPr>
            <w:r>
              <w:rPr>
                <w:color w:val="auto"/>
                <w:sz w:val="21"/>
                <w:szCs w:val="21"/>
                <w:highlight w:val="none"/>
              </w:rPr>
              <w:t>（3）评标基准价的确定：</w:t>
            </w:r>
          </w:p>
          <w:p>
            <w:pPr>
              <w:snapToGrid w:val="0"/>
              <w:spacing w:line="360" w:lineRule="exact"/>
              <w:ind w:firstLine="0" w:firstLineChars="0"/>
              <w:jc w:val="both"/>
              <w:rPr>
                <w:color w:val="auto"/>
                <w:sz w:val="21"/>
                <w:szCs w:val="21"/>
                <w:highlight w:val="none"/>
              </w:rPr>
            </w:pPr>
            <w:r>
              <w:rPr>
                <w:color w:val="auto"/>
                <w:sz w:val="21"/>
                <w:szCs w:val="21"/>
                <w:highlight w:val="none"/>
              </w:rPr>
              <w:t>将评标价平均值直接作为评标基准价。</w:t>
            </w:r>
          </w:p>
          <w:p>
            <w:pPr>
              <w:snapToGrid w:val="0"/>
              <w:spacing w:line="360" w:lineRule="exact"/>
              <w:ind w:firstLine="0" w:firstLineChars="0"/>
              <w:jc w:val="both"/>
              <w:rPr>
                <w:rFonts w:hint="eastAsia" w:eastAsia="宋体"/>
                <w:color w:val="auto"/>
                <w:sz w:val="21"/>
                <w:szCs w:val="21"/>
                <w:highlight w:val="none"/>
                <w:lang w:eastAsia="zh-CN"/>
              </w:rPr>
            </w:pPr>
            <w:r>
              <w:rPr>
                <w:color w:val="auto"/>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17" w:hRule="atLeast"/>
          <w:jc w:val="center"/>
        </w:trPr>
        <w:tc>
          <w:tcPr>
            <w:tcW w:w="401" w:type="pct"/>
            <w:tcBorders>
              <w:tl2br w:val="nil"/>
              <w:tr2bl w:val="nil"/>
            </w:tcBorders>
            <w:noWrap w:val="0"/>
            <w:vAlign w:val="center"/>
          </w:tcPr>
          <w:p>
            <w:pPr>
              <w:snapToGrid w:val="0"/>
              <w:spacing w:line="360" w:lineRule="exact"/>
              <w:ind w:firstLine="0" w:firstLineChars="0"/>
              <w:jc w:val="center"/>
              <w:rPr>
                <w:color w:val="auto"/>
                <w:sz w:val="21"/>
                <w:szCs w:val="21"/>
                <w:highlight w:val="none"/>
              </w:rPr>
            </w:pPr>
            <w:r>
              <w:rPr>
                <w:color w:val="auto"/>
                <w:sz w:val="21"/>
                <w:szCs w:val="21"/>
                <w:highlight w:val="none"/>
              </w:rPr>
              <w:t>2.2.3</w:t>
            </w:r>
          </w:p>
        </w:tc>
        <w:tc>
          <w:tcPr>
            <w:tcW w:w="888" w:type="pct"/>
            <w:tcBorders>
              <w:tl2br w:val="nil"/>
              <w:tr2bl w:val="nil"/>
            </w:tcBorders>
            <w:noWrap w:val="0"/>
            <w:vAlign w:val="center"/>
          </w:tcPr>
          <w:p>
            <w:pPr>
              <w:snapToGrid w:val="0"/>
              <w:spacing w:line="360" w:lineRule="exact"/>
              <w:ind w:firstLine="0" w:firstLineChars="0"/>
              <w:jc w:val="center"/>
              <w:rPr>
                <w:color w:val="auto"/>
                <w:sz w:val="21"/>
                <w:szCs w:val="22"/>
                <w:highlight w:val="none"/>
              </w:rPr>
            </w:pPr>
            <w:r>
              <w:rPr>
                <w:color w:val="auto"/>
                <w:sz w:val="21"/>
                <w:szCs w:val="22"/>
                <w:highlight w:val="none"/>
              </w:rPr>
              <w:t>评标价的偏差率计算公式</w:t>
            </w:r>
          </w:p>
        </w:tc>
        <w:tc>
          <w:tcPr>
            <w:tcW w:w="3711" w:type="pct"/>
            <w:tcBorders>
              <w:tl2br w:val="nil"/>
              <w:tr2bl w:val="nil"/>
            </w:tcBorders>
            <w:noWrap w:val="0"/>
            <w:vAlign w:val="center"/>
          </w:tcPr>
          <w:p>
            <w:pPr>
              <w:snapToGrid w:val="0"/>
              <w:spacing w:line="360" w:lineRule="exact"/>
              <w:ind w:firstLine="0" w:firstLineChars="0"/>
              <w:jc w:val="both"/>
              <w:rPr>
                <w:color w:val="auto"/>
                <w:sz w:val="21"/>
                <w:szCs w:val="21"/>
                <w:highlight w:val="none"/>
              </w:rPr>
            </w:pPr>
            <w:r>
              <w:rPr>
                <w:color w:val="auto"/>
                <w:sz w:val="21"/>
                <w:szCs w:val="21"/>
                <w:highlight w:val="none"/>
              </w:rPr>
              <w:t>偏差率=100%×（投标人评标价－评标基准价）/评标基准价</w:t>
            </w:r>
          </w:p>
          <w:p>
            <w:pPr>
              <w:snapToGrid w:val="0"/>
              <w:spacing w:line="360" w:lineRule="exact"/>
              <w:ind w:firstLine="0" w:firstLineChars="0"/>
              <w:jc w:val="both"/>
              <w:rPr>
                <w:color w:val="auto"/>
                <w:sz w:val="21"/>
                <w:szCs w:val="21"/>
                <w:highlight w:val="none"/>
              </w:rPr>
            </w:pPr>
            <w:r>
              <w:rPr>
                <w:color w:val="auto"/>
                <w:sz w:val="21"/>
                <w:szCs w:val="21"/>
                <w:highlight w:val="none"/>
              </w:rPr>
              <w:t>偏差率保留</w:t>
            </w:r>
            <w:r>
              <w:rPr>
                <w:rFonts w:hint="eastAsia"/>
                <w:color w:val="auto"/>
                <w:sz w:val="21"/>
                <w:szCs w:val="21"/>
                <w:highlight w:val="none"/>
                <w:u w:val="single"/>
                <w:lang w:val="en-US" w:eastAsia="zh-CN"/>
              </w:rPr>
              <w:t>3</w:t>
            </w:r>
            <w:r>
              <w:rPr>
                <w:color w:val="auto"/>
                <w:sz w:val="21"/>
                <w:szCs w:val="21"/>
                <w:highlight w:val="none"/>
              </w:rPr>
              <w:t>位小数</w:t>
            </w:r>
          </w:p>
        </w:tc>
      </w:tr>
    </w:tbl>
    <w:p>
      <w:pPr>
        <w:snapToGrid w:val="0"/>
        <w:spacing w:line="360" w:lineRule="exact"/>
        <w:ind w:firstLine="0" w:firstLineChars="0"/>
        <w:rPr>
          <w:color w:val="auto"/>
          <w:sz w:val="21"/>
          <w:szCs w:val="21"/>
          <w:highlight w:val="none"/>
        </w:rPr>
      </w:pPr>
    </w:p>
    <w:p>
      <w:pPr>
        <w:spacing w:after="120" w:line="420" w:lineRule="atLeast"/>
        <w:ind w:left="480" w:leftChars="200" w:firstLine="420"/>
        <w:jc w:val="both"/>
        <w:rPr>
          <w:color w:val="auto"/>
          <w:sz w:val="21"/>
          <w:szCs w:val="22"/>
          <w:highlight w:val="none"/>
        </w:rPr>
      </w:pPr>
    </w:p>
    <w:p>
      <w:pPr>
        <w:widowControl/>
        <w:spacing w:line="240" w:lineRule="auto"/>
        <w:ind w:firstLine="0" w:firstLineChars="0"/>
        <w:rPr>
          <w:color w:val="auto"/>
          <w:sz w:val="21"/>
          <w:szCs w:val="21"/>
          <w:highlight w:val="none"/>
        </w:rPr>
      </w:pPr>
      <w:r>
        <w:rPr>
          <w:color w:val="auto"/>
          <w:sz w:val="21"/>
          <w:szCs w:val="21"/>
          <w:highlight w:val="none"/>
        </w:rPr>
        <w:br w:type="page"/>
      </w:r>
    </w:p>
    <w:p>
      <w:pPr>
        <w:snapToGrid w:val="0"/>
        <w:spacing w:line="360" w:lineRule="exact"/>
        <w:ind w:firstLine="0" w:firstLineChars="0"/>
        <w:jc w:val="right"/>
        <w:rPr>
          <w:color w:val="auto"/>
          <w:spacing w:val="4"/>
          <w:sz w:val="21"/>
          <w:szCs w:val="21"/>
          <w:highlight w:val="none"/>
        </w:rPr>
      </w:pPr>
      <w:r>
        <w:rPr>
          <w:color w:val="auto"/>
          <w:spacing w:val="4"/>
          <w:sz w:val="21"/>
          <w:szCs w:val="21"/>
          <w:highlight w:val="none"/>
        </w:rPr>
        <w:t>续上表</w:t>
      </w:r>
    </w:p>
    <w:tbl>
      <w:tblPr>
        <w:tblStyle w:val="4"/>
        <w:tblW w:w="50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1"/>
        <w:gridCol w:w="735"/>
        <w:gridCol w:w="456"/>
        <w:gridCol w:w="355"/>
        <w:gridCol w:w="673"/>
        <w:gridCol w:w="543"/>
        <w:gridCol w:w="4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518" w:type="pct"/>
            <w:vMerge w:val="restart"/>
            <w:noWrap w:val="0"/>
            <w:vAlign w:val="center"/>
          </w:tcPr>
          <w:p>
            <w:pPr>
              <w:adjustRightInd w:val="0"/>
              <w:snapToGrid w:val="0"/>
              <w:spacing w:line="360" w:lineRule="exact"/>
              <w:ind w:firstLine="0" w:firstLineChars="0"/>
              <w:jc w:val="center"/>
              <w:rPr>
                <w:b/>
                <w:bCs/>
                <w:color w:val="auto"/>
                <w:sz w:val="21"/>
                <w:szCs w:val="21"/>
                <w:highlight w:val="none"/>
              </w:rPr>
            </w:pPr>
            <w:r>
              <w:rPr>
                <w:b/>
                <w:bCs/>
                <w:color w:val="auto"/>
                <w:sz w:val="21"/>
                <w:szCs w:val="21"/>
                <w:highlight w:val="none"/>
              </w:rPr>
              <w:t>条款号</w:t>
            </w:r>
          </w:p>
        </w:tc>
        <w:tc>
          <w:tcPr>
            <w:tcW w:w="1624" w:type="pct"/>
            <w:gridSpan w:val="5"/>
            <w:noWrap w:val="0"/>
            <w:vAlign w:val="center"/>
          </w:tcPr>
          <w:p>
            <w:pPr>
              <w:adjustRightInd w:val="0"/>
              <w:snapToGrid w:val="0"/>
              <w:spacing w:line="360" w:lineRule="exact"/>
              <w:ind w:firstLine="0" w:firstLineChars="0"/>
              <w:jc w:val="center"/>
              <w:rPr>
                <w:b/>
                <w:bCs/>
                <w:color w:val="auto"/>
                <w:sz w:val="21"/>
                <w:szCs w:val="21"/>
                <w:highlight w:val="none"/>
              </w:rPr>
            </w:pPr>
            <w:r>
              <w:rPr>
                <w:b/>
                <w:bCs/>
                <w:color w:val="auto"/>
                <w:sz w:val="21"/>
                <w:szCs w:val="21"/>
                <w:highlight w:val="none"/>
              </w:rPr>
              <w:t>评分因素与权重分值</w:t>
            </w:r>
          </w:p>
        </w:tc>
        <w:tc>
          <w:tcPr>
            <w:tcW w:w="2857" w:type="pct"/>
            <w:vMerge w:val="restart"/>
            <w:noWrap w:val="0"/>
            <w:vAlign w:val="center"/>
          </w:tcPr>
          <w:p>
            <w:pPr>
              <w:adjustRightInd w:val="0"/>
              <w:snapToGrid w:val="0"/>
              <w:spacing w:line="360" w:lineRule="exact"/>
              <w:ind w:firstLine="0" w:firstLineChars="0"/>
              <w:jc w:val="center"/>
              <w:rPr>
                <w:b/>
                <w:bCs/>
                <w:color w:val="auto"/>
                <w:sz w:val="21"/>
                <w:szCs w:val="21"/>
                <w:highlight w:val="none"/>
              </w:rPr>
            </w:pPr>
            <w:r>
              <w:rPr>
                <w:b/>
                <w:bCs/>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518" w:type="pct"/>
            <w:vMerge w:val="continue"/>
            <w:noWrap w:val="0"/>
            <w:vAlign w:val="center"/>
          </w:tcPr>
          <w:p>
            <w:pPr>
              <w:adjustRightInd w:val="0"/>
              <w:snapToGrid w:val="0"/>
              <w:spacing w:line="360" w:lineRule="exact"/>
              <w:ind w:firstLine="0" w:firstLineChars="0"/>
              <w:jc w:val="center"/>
              <w:rPr>
                <w:color w:val="auto"/>
                <w:sz w:val="21"/>
                <w:szCs w:val="21"/>
                <w:highlight w:val="none"/>
              </w:rPr>
            </w:pPr>
          </w:p>
        </w:tc>
        <w:tc>
          <w:tcPr>
            <w:tcW w:w="432" w:type="pct"/>
            <w:noWrap w:val="0"/>
            <w:vAlign w:val="center"/>
          </w:tcPr>
          <w:p>
            <w:pPr>
              <w:adjustRightInd w:val="0"/>
              <w:snapToGrid w:val="0"/>
              <w:spacing w:line="360" w:lineRule="exact"/>
              <w:ind w:firstLine="0" w:firstLineChars="0"/>
              <w:jc w:val="center"/>
              <w:rPr>
                <w:b/>
                <w:bCs/>
                <w:color w:val="auto"/>
                <w:sz w:val="21"/>
                <w:szCs w:val="21"/>
                <w:highlight w:val="none"/>
              </w:rPr>
            </w:pPr>
            <w:r>
              <w:rPr>
                <w:b/>
                <w:bCs/>
                <w:color w:val="auto"/>
                <w:sz w:val="21"/>
                <w:szCs w:val="21"/>
                <w:highlight w:val="none"/>
              </w:rPr>
              <w:t>评分</w:t>
            </w:r>
          </w:p>
          <w:p>
            <w:pPr>
              <w:adjustRightInd w:val="0"/>
              <w:snapToGrid w:val="0"/>
              <w:spacing w:line="360" w:lineRule="exact"/>
              <w:ind w:firstLine="0" w:firstLineChars="0"/>
              <w:jc w:val="center"/>
              <w:rPr>
                <w:b/>
                <w:bCs/>
                <w:color w:val="auto"/>
                <w:sz w:val="21"/>
                <w:szCs w:val="21"/>
                <w:highlight w:val="none"/>
              </w:rPr>
            </w:pPr>
            <w:r>
              <w:rPr>
                <w:b/>
                <w:bCs/>
                <w:color w:val="auto"/>
                <w:sz w:val="21"/>
                <w:szCs w:val="21"/>
                <w:highlight w:val="none"/>
              </w:rPr>
              <w:t>因素</w:t>
            </w:r>
          </w:p>
        </w:tc>
        <w:tc>
          <w:tcPr>
            <w:tcW w:w="477" w:type="pct"/>
            <w:gridSpan w:val="2"/>
            <w:noWrap w:val="0"/>
            <w:vAlign w:val="center"/>
          </w:tcPr>
          <w:p>
            <w:pPr>
              <w:adjustRightInd w:val="0"/>
              <w:snapToGrid w:val="0"/>
              <w:spacing w:line="360" w:lineRule="exact"/>
              <w:ind w:firstLine="0" w:firstLineChars="0"/>
              <w:jc w:val="center"/>
              <w:rPr>
                <w:b/>
                <w:bCs/>
                <w:color w:val="auto"/>
                <w:sz w:val="21"/>
                <w:szCs w:val="21"/>
                <w:highlight w:val="none"/>
              </w:rPr>
            </w:pPr>
            <w:r>
              <w:rPr>
                <w:b/>
                <w:bCs/>
                <w:color w:val="auto"/>
                <w:sz w:val="21"/>
                <w:szCs w:val="21"/>
                <w:highlight w:val="none"/>
              </w:rPr>
              <w:t>评分因素权重分值</w:t>
            </w:r>
          </w:p>
        </w:tc>
        <w:tc>
          <w:tcPr>
            <w:tcW w:w="395" w:type="pct"/>
            <w:noWrap w:val="0"/>
            <w:vAlign w:val="center"/>
          </w:tcPr>
          <w:p>
            <w:pPr>
              <w:adjustRightInd w:val="0"/>
              <w:snapToGrid w:val="0"/>
              <w:spacing w:line="360" w:lineRule="exact"/>
              <w:ind w:firstLine="0" w:firstLineChars="0"/>
              <w:jc w:val="center"/>
              <w:rPr>
                <w:b/>
                <w:bCs/>
                <w:color w:val="auto"/>
                <w:sz w:val="21"/>
                <w:szCs w:val="21"/>
                <w:highlight w:val="none"/>
              </w:rPr>
            </w:pPr>
            <w:r>
              <w:rPr>
                <w:b/>
                <w:bCs/>
                <w:color w:val="auto"/>
                <w:sz w:val="21"/>
                <w:szCs w:val="21"/>
                <w:highlight w:val="none"/>
              </w:rPr>
              <w:t>各评分因素细分项</w:t>
            </w:r>
          </w:p>
        </w:tc>
        <w:tc>
          <w:tcPr>
            <w:tcW w:w="319" w:type="pct"/>
            <w:noWrap w:val="0"/>
            <w:vAlign w:val="center"/>
          </w:tcPr>
          <w:p>
            <w:pPr>
              <w:adjustRightInd w:val="0"/>
              <w:snapToGrid w:val="0"/>
              <w:spacing w:line="360" w:lineRule="exact"/>
              <w:ind w:firstLine="0" w:firstLineChars="0"/>
              <w:jc w:val="center"/>
              <w:rPr>
                <w:b/>
                <w:bCs/>
                <w:color w:val="auto"/>
                <w:sz w:val="21"/>
                <w:szCs w:val="21"/>
                <w:highlight w:val="none"/>
              </w:rPr>
            </w:pPr>
            <w:r>
              <w:rPr>
                <w:b/>
                <w:bCs/>
                <w:color w:val="auto"/>
                <w:sz w:val="21"/>
                <w:szCs w:val="21"/>
                <w:highlight w:val="none"/>
              </w:rPr>
              <w:t>分值</w:t>
            </w:r>
          </w:p>
        </w:tc>
        <w:tc>
          <w:tcPr>
            <w:tcW w:w="2857" w:type="pct"/>
            <w:vMerge w:val="continue"/>
            <w:noWrap w:val="0"/>
            <w:vAlign w:val="center"/>
          </w:tcPr>
          <w:p>
            <w:pPr>
              <w:adjustRightInd w:val="0"/>
              <w:snapToGrid w:val="0"/>
              <w:spacing w:line="360" w:lineRule="exact"/>
              <w:ind w:firstLine="0" w:firstLineChars="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5" w:hRule="atLeast"/>
          <w:jc w:val="center"/>
        </w:trPr>
        <w:tc>
          <w:tcPr>
            <w:tcW w:w="518" w:type="pct"/>
            <w:vMerge w:val="restart"/>
            <w:noWrap w:val="0"/>
            <w:vAlign w:val="center"/>
          </w:tcPr>
          <w:p>
            <w:pPr>
              <w:adjustRightInd w:val="0"/>
              <w:snapToGrid w:val="0"/>
              <w:spacing w:line="360" w:lineRule="exact"/>
              <w:ind w:firstLine="0" w:firstLineChars="0"/>
              <w:jc w:val="center"/>
              <w:rPr>
                <w:rFonts w:hint="eastAsia" w:eastAsia="宋体"/>
                <w:color w:val="auto"/>
                <w:sz w:val="21"/>
                <w:szCs w:val="21"/>
                <w:highlight w:val="none"/>
                <w:lang w:eastAsia="zh-CN"/>
              </w:rPr>
            </w:pPr>
            <w:r>
              <w:rPr>
                <w:color w:val="auto"/>
                <w:sz w:val="21"/>
                <w:szCs w:val="21"/>
                <w:highlight w:val="none"/>
              </w:rPr>
              <w:t>2.2.4</w:t>
            </w:r>
            <w:r>
              <w:rPr>
                <w:rFonts w:hint="eastAsia"/>
                <w:color w:val="auto"/>
                <w:sz w:val="21"/>
                <w:szCs w:val="21"/>
                <w:highlight w:val="none"/>
                <w:lang w:eastAsia="zh-CN"/>
              </w:rPr>
              <w:t>（</w:t>
            </w:r>
            <w:r>
              <w:rPr>
                <w:color w:val="auto"/>
                <w:sz w:val="21"/>
                <w:szCs w:val="21"/>
                <w:highlight w:val="none"/>
              </w:rPr>
              <w:t>1</w:t>
            </w:r>
            <w:r>
              <w:rPr>
                <w:rFonts w:hint="eastAsia"/>
                <w:color w:val="auto"/>
                <w:sz w:val="21"/>
                <w:szCs w:val="21"/>
                <w:highlight w:val="none"/>
                <w:lang w:eastAsia="zh-CN"/>
              </w:rPr>
              <w:t>）</w:t>
            </w:r>
          </w:p>
        </w:tc>
        <w:tc>
          <w:tcPr>
            <w:tcW w:w="432" w:type="pct"/>
            <w:vMerge w:val="restart"/>
            <w:noWrap w:val="0"/>
            <w:vAlign w:val="center"/>
          </w:tcPr>
          <w:p>
            <w:pPr>
              <w:adjustRightInd w:val="0"/>
              <w:snapToGrid w:val="0"/>
              <w:spacing w:line="360" w:lineRule="exact"/>
              <w:ind w:firstLine="0" w:firstLineChars="0"/>
              <w:jc w:val="center"/>
              <w:rPr>
                <w:rFonts w:hint="eastAsia"/>
                <w:b w:val="0"/>
                <w:bCs w:val="0"/>
                <w:color w:val="auto"/>
                <w:sz w:val="21"/>
                <w:szCs w:val="21"/>
                <w:highlight w:val="none"/>
              </w:rPr>
            </w:pPr>
            <w:r>
              <w:rPr>
                <w:rFonts w:hint="eastAsia"/>
                <w:b w:val="0"/>
                <w:bCs w:val="0"/>
                <w:color w:val="auto"/>
                <w:sz w:val="21"/>
                <w:szCs w:val="21"/>
                <w:highlight w:val="none"/>
              </w:rPr>
              <w:t>APQLJK-01标段、APQLJK-05标段</w:t>
            </w:r>
          </w:p>
          <w:p>
            <w:pPr>
              <w:adjustRightInd w:val="0"/>
              <w:snapToGrid w:val="0"/>
              <w:spacing w:line="360" w:lineRule="exact"/>
              <w:ind w:firstLine="0" w:firstLineChars="0"/>
              <w:jc w:val="center"/>
              <w:rPr>
                <w:rFonts w:hint="default" w:eastAsia="宋体"/>
                <w:b w:val="0"/>
                <w:bCs w:val="0"/>
                <w:color w:val="auto"/>
                <w:sz w:val="21"/>
                <w:szCs w:val="21"/>
                <w:highlight w:val="none"/>
                <w:lang w:val="en-US" w:eastAsia="zh-CN"/>
              </w:rPr>
            </w:pPr>
            <w:r>
              <w:rPr>
                <w:b w:val="0"/>
                <w:bCs w:val="0"/>
                <w:color w:val="auto"/>
                <w:sz w:val="21"/>
                <w:szCs w:val="21"/>
                <w:highlight w:val="none"/>
              </w:rPr>
              <w:t>技术建议书</w:t>
            </w:r>
          </w:p>
        </w:tc>
        <w:tc>
          <w:tcPr>
            <w:tcW w:w="477" w:type="pct"/>
            <w:gridSpan w:val="2"/>
            <w:vMerge w:val="restart"/>
            <w:noWrap w:val="0"/>
            <w:vAlign w:val="center"/>
          </w:tcPr>
          <w:p>
            <w:pPr>
              <w:adjustRightInd w:val="0"/>
              <w:snapToGrid w:val="0"/>
              <w:spacing w:line="360" w:lineRule="exact"/>
              <w:ind w:firstLine="0" w:firstLineChars="0"/>
              <w:jc w:val="center"/>
              <w:rPr>
                <w:color w:val="auto"/>
                <w:sz w:val="21"/>
                <w:szCs w:val="21"/>
                <w:highlight w:val="none"/>
              </w:rPr>
            </w:pPr>
            <w:r>
              <w:rPr>
                <w:color w:val="auto"/>
                <w:sz w:val="21"/>
                <w:szCs w:val="21"/>
                <w:highlight w:val="none"/>
                <w:u w:val="single"/>
              </w:rPr>
              <w:t>50</w:t>
            </w:r>
            <w:r>
              <w:rPr>
                <w:color w:val="auto"/>
                <w:sz w:val="21"/>
                <w:szCs w:val="21"/>
                <w:highlight w:val="none"/>
              </w:rPr>
              <w:t>分</w:t>
            </w:r>
          </w:p>
        </w:tc>
        <w:tc>
          <w:tcPr>
            <w:tcW w:w="395" w:type="pct"/>
            <w:noWrap w:val="0"/>
            <w:vAlign w:val="center"/>
          </w:tcPr>
          <w:p>
            <w:pPr>
              <w:adjustRightInd w:val="0"/>
              <w:snapToGrid w:val="0"/>
              <w:spacing w:line="360" w:lineRule="exact"/>
              <w:ind w:firstLine="0" w:firstLineChars="0"/>
              <w:jc w:val="center"/>
              <w:rPr>
                <w:color w:val="auto"/>
                <w:sz w:val="21"/>
                <w:szCs w:val="21"/>
                <w:highlight w:val="none"/>
              </w:rPr>
            </w:pPr>
            <w:r>
              <w:rPr>
                <w:color w:val="auto"/>
                <w:sz w:val="21"/>
                <w:szCs w:val="21"/>
                <w:highlight w:val="none"/>
              </w:rPr>
              <w:t>工作</w:t>
            </w:r>
            <w:r>
              <w:rPr>
                <w:rFonts w:hint="eastAsia"/>
                <w:color w:val="auto"/>
                <w:sz w:val="21"/>
                <w:szCs w:val="21"/>
                <w:highlight w:val="none"/>
              </w:rPr>
              <w:t>方案</w:t>
            </w:r>
          </w:p>
        </w:tc>
        <w:tc>
          <w:tcPr>
            <w:tcW w:w="319" w:type="pct"/>
            <w:noWrap w:val="0"/>
            <w:vAlign w:val="center"/>
          </w:tcPr>
          <w:p>
            <w:pPr>
              <w:adjustRightInd w:val="0"/>
              <w:snapToGrid w:val="0"/>
              <w:spacing w:line="360" w:lineRule="exact"/>
              <w:ind w:firstLine="0" w:firstLineChars="0"/>
              <w:jc w:val="center"/>
              <w:rPr>
                <w:color w:val="auto"/>
                <w:sz w:val="21"/>
                <w:szCs w:val="21"/>
                <w:highlight w:val="none"/>
              </w:rPr>
            </w:pPr>
            <w:r>
              <w:rPr>
                <w:color w:val="auto"/>
                <w:sz w:val="21"/>
                <w:szCs w:val="21"/>
                <w:highlight w:val="none"/>
                <w:u w:val="single"/>
              </w:rPr>
              <w:t>10</w:t>
            </w:r>
            <w:r>
              <w:rPr>
                <w:color w:val="auto"/>
                <w:sz w:val="21"/>
                <w:szCs w:val="21"/>
                <w:highlight w:val="none"/>
              </w:rPr>
              <w:t>分</w:t>
            </w:r>
          </w:p>
        </w:tc>
        <w:tc>
          <w:tcPr>
            <w:tcW w:w="2857" w:type="pct"/>
            <w:noWrap w:val="0"/>
            <w:vAlign w:val="center"/>
          </w:tcPr>
          <w:p>
            <w:pPr>
              <w:spacing w:line="360" w:lineRule="exact"/>
              <w:ind w:firstLine="0" w:firstLineChars="0"/>
              <w:jc w:val="both"/>
              <w:rPr>
                <w:color w:val="auto"/>
                <w:sz w:val="21"/>
                <w:szCs w:val="21"/>
                <w:highlight w:val="none"/>
              </w:rPr>
            </w:pPr>
            <w:r>
              <w:rPr>
                <w:color w:val="auto"/>
                <w:sz w:val="21"/>
                <w:szCs w:val="21"/>
                <w:highlight w:val="none"/>
              </w:rPr>
              <w:t>根据工作方案的总体思路及人员安排</w:t>
            </w:r>
            <w:r>
              <w:rPr>
                <w:rFonts w:hint="eastAsia"/>
                <w:color w:val="auto"/>
                <w:sz w:val="21"/>
                <w:szCs w:val="21"/>
                <w:highlight w:val="none"/>
              </w:rPr>
              <w:t>等内容</w:t>
            </w:r>
            <w:r>
              <w:rPr>
                <w:color w:val="auto"/>
                <w:sz w:val="21"/>
                <w:szCs w:val="21"/>
                <w:highlight w:val="none"/>
              </w:rPr>
              <w:t>的科学性、合理性、</w:t>
            </w:r>
            <w:r>
              <w:rPr>
                <w:rFonts w:hint="eastAsia"/>
                <w:color w:val="auto"/>
                <w:sz w:val="21"/>
                <w:szCs w:val="21"/>
                <w:highlight w:val="none"/>
              </w:rPr>
              <w:t>工作</w:t>
            </w:r>
            <w:r>
              <w:rPr>
                <w:color w:val="auto"/>
                <w:sz w:val="21"/>
                <w:szCs w:val="21"/>
                <w:highlight w:val="none"/>
              </w:rPr>
              <w:t>保障性等方面进行评分：</w:t>
            </w:r>
          </w:p>
          <w:p>
            <w:pPr>
              <w:adjustRightInd w:val="0"/>
              <w:snapToGrid w:val="0"/>
              <w:spacing w:line="360" w:lineRule="exact"/>
              <w:ind w:firstLine="0" w:firstLineChars="0"/>
              <w:jc w:val="both"/>
              <w:rPr>
                <w:color w:val="auto"/>
                <w:sz w:val="21"/>
                <w:szCs w:val="21"/>
                <w:highlight w:val="none"/>
              </w:rPr>
            </w:pPr>
            <w:r>
              <w:rPr>
                <w:color w:val="auto"/>
                <w:sz w:val="21"/>
                <w:szCs w:val="21"/>
                <w:highlight w:val="none"/>
              </w:rPr>
              <w:t>好，得9~10分；</w:t>
            </w:r>
          </w:p>
          <w:p>
            <w:pPr>
              <w:adjustRightInd w:val="0"/>
              <w:snapToGrid w:val="0"/>
              <w:spacing w:line="360" w:lineRule="exact"/>
              <w:ind w:firstLine="0" w:firstLineChars="0"/>
              <w:jc w:val="both"/>
              <w:rPr>
                <w:color w:val="auto"/>
                <w:sz w:val="21"/>
                <w:szCs w:val="21"/>
                <w:highlight w:val="none"/>
              </w:rPr>
            </w:pPr>
            <w:r>
              <w:rPr>
                <w:color w:val="auto"/>
                <w:sz w:val="21"/>
                <w:szCs w:val="21"/>
                <w:highlight w:val="none"/>
              </w:rPr>
              <w:t>较好，得7~9分；</w:t>
            </w:r>
          </w:p>
          <w:p>
            <w:pPr>
              <w:adjustRightInd w:val="0"/>
              <w:snapToGrid w:val="0"/>
              <w:spacing w:line="360" w:lineRule="exact"/>
              <w:ind w:firstLine="0" w:firstLineChars="0"/>
              <w:jc w:val="both"/>
              <w:rPr>
                <w:color w:val="auto"/>
                <w:sz w:val="21"/>
                <w:szCs w:val="21"/>
                <w:highlight w:val="none"/>
              </w:rPr>
            </w:pPr>
            <w:r>
              <w:rPr>
                <w:color w:val="auto"/>
                <w:sz w:val="21"/>
                <w:szCs w:val="21"/>
                <w:highlight w:val="none"/>
              </w:rPr>
              <w:t>一般，得6~7分。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5" w:hRule="atLeast"/>
          <w:jc w:val="center"/>
        </w:trPr>
        <w:tc>
          <w:tcPr>
            <w:tcW w:w="518" w:type="pct"/>
            <w:vMerge w:val="continue"/>
            <w:noWrap w:val="0"/>
            <w:vAlign w:val="center"/>
          </w:tcPr>
          <w:p>
            <w:pPr>
              <w:adjustRightInd w:val="0"/>
              <w:snapToGrid w:val="0"/>
              <w:spacing w:line="360" w:lineRule="exact"/>
              <w:ind w:firstLine="0" w:firstLineChars="0"/>
              <w:jc w:val="center"/>
              <w:rPr>
                <w:color w:val="auto"/>
                <w:sz w:val="21"/>
                <w:szCs w:val="21"/>
                <w:highlight w:val="none"/>
              </w:rPr>
            </w:pPr>
          </w:p>
        </w:tc>
        <w:tc>
          <w:tcPr>
            <w:tcW w:w="432" w:type="pct"/>
            <w:vMerge w:val="continue"/>
            <w:noWrap w:val="0"/>
            <w:vAlign w:val="center"/>
          </w:tcPr>
          <w:p>
            <w:pPr>
              <w:adjustRightInd w:val="0"/>
              <w:snapToGrid w:val="0"/>
              <w:spacing w:line="360" w:lineRule="exact"/>
              <w:ind w:firstLine="0" w:firstLineChars="0"/>
              <w:jc w:val="center"/>
              <w:rPr>
                <w:b w:val="0"/>
                <w:bCs w:val="0"/>
                <w:color w:val="auto"/>
                <w:sz w:val="21"/>
                <w:szCs w:val="21"/>
                <w:highlight w:val="none"/>
              </w:rPr>
            </w:pPr>
          </w:p>
        </w:tc>
        <w:tc>
          <w:tcPr>
            <w:tcW w:w="477" w:type="pct"/>
            <w:gridSpan w:val="2"/>
            <w:vMerge w:val="continue"/>
            <w:noWrap w:val="0"/>
            <w:vAlign w:val="center"/>
          </w:tcPr>
          <w:p>
            <w:pPr>
              <w:adjustRightInd w:val="0"/>
              <w:snapToGrid w:val="0"/>
              <w:spacing w:line="360" w:lineRule="exact"/>
              <w:ind w:firstLine="0" w:firstLineChars="0"/>
              <w:jc w:val="center"/>
              <w:rPr>
                <w:color w:val="auto"/>
                <w:sz w:val="21"/>
                <w:szCs w:val="21"/>
                <w:highlight w:val="none"/>
              </w:rPr>
            </w:pPr>
          </w:p>
        </w:tc>
        <w:tc>
          <w:tcPr>
            <w:tcW w:w="395" w:type="pct"/>
            <w:noWrap w:val="0"/>
            <w:vAlign w:val="center"/>
          </w:tcPr>
          <w:p>
            <w:pPr>
              <w:adjustRightInd w:val="0"/>
              <w:snapToGrid w:val="0"/>
              <w:spacing w:line="360" w:lineRule="exact"/>
              <w:ind w:firstLine="0" w:firstLineChars="0"/>
              <w:jc w:val="center"/>
              <w:rPr>
                <w:color w:val="auto"/>
                <w:sz w:val="21"/>
                <w:szCs w:val="21"/>
                <w:highlight w:val="none"/>
              </w:rPr>
            </w:pPr>
            <w:r>
              <w:rPr>
                <w:rFonts w:hint="eastAsia"/>
                <w:color w:val="auto"/>
                <w:sz w:val="21"/>
                <w:szCs w:val="21"/>
                <w:highlight w:val="none"/>
              </w:rPr>
              <w:t>监控</w:t>
            </w:r>
            <w:r>
              <w:rPr>
                <w:color w:val="auto"/>
                <w:sz w:val="21"/>
                <w:szCs w:val="21"/>
                <w:highlight w:val="none"/>
              </w:rPr>
              <w:t>的方法</w:t>
            </w:r>
            <w:r>
              <w:rPr>
                <w:rFonts w:hint="eastAsia"/>
                <w:color w:val="auto"/>
                <w:sz w:val="21"/>
                <w:szCs w:val="21"/>
                <w:highlight w:val="none"/>
              </w:rPr>
              <w:t>与关键指标</w:t>
            </w:r>
          </w:p>
        </w:tc>
        <w:tc>
          <w:tcPr>
            <w:tcW w:w="319" w:type="pct"/>
            <w:noWrap w:val="0"/>
            <w:vAlign w:val="center"/>
          </w:tcPr>
          <w:p>
            <w:pPr>
              <w:adjustRightInd w:val="0"/>
              <w:snapToGrid w:val="0"/>
              <w:spacing w:line="360" w:lineRule="exact"/>
              <w:ind w:firstLine="0" w:firstLineChars="0"/>
              <w:jc w:val="center"/>
              <w:rPr>
                <w:color w:val="auto"/>
                <w:sz w:val="21"/>
                <w:szCs w:val="21"/>
                <w:highlight w:val="none"/>
              </w:rPr>
            </w:pPr>
            <w:r>
              <w:rPr>
                <w:color w:val="auto"/>
                <w:sz w:val="21"/>
                <w:szCs w:val="21"/>
                <w:highlight w:val="none"/>
                <w:u w:val="single"/>
              </w:rPr>
              <w:t>15</w:t>
            </w:r>
            <w:r>
              <w:rPr>
                <w:color w:val="auto"/>
                <w:sz w:val="21"/>
                <w:szCs w:val="21"/>
                <w:highlight w:val="none"/>
              </w:rPr>
              <w:t>分</w:t>
            </w:r>
          </w:p>
        </w:tc>
        <w:tc>
          <w:tcPr>
            <w:tcW w:w="2857" w:type="pct"/>
            <w:noWrap w:val="0"/>
            <w:vAlign w:val="center"/>
          </w:tcPr>
          <w:p>
            <w:pPr>
              <w:adjustRightInd w:val="0"/>
              <w:snapToGrid w:val="0"/>
              <w:spacing w:line="360" w:lineRule="exact"/>
              <w:ind w:firstLine="0" w:firstLineChars="0"/>
              <w:jc w:val="both"/>
              <w:rPr>
                <w:color w:val="auto"/>
                <w:sz w:val="21"/>
                <w:szCs w:val="21"/>
                <w:highlight w:val="none"/>
              </w:rPr>
            </w:pPr>
            <w:r>
              <w:rPr>
                <w:color w:val="auto"/>
                <w:sz w:val="21"/>
                <w:szCs w:val="21"/>
                <w:highlight w:val="none"/>
              </w:rPr>
              <w:t>对</w:t>
            </w:r>
            <w:r>
              <w:rPr>
                <w:rFonts w:hint="eastAsia"/>
                <w:color w:val="auto"/>
                <w:sz w:val="21"/>
                <w:szCs w:val="21"/>
                <w:highlight w:val="none"/>
              </w:rPr>
              <w:t>监控</w:t>
            </w:r>
            <w:r>
              <w:rPr>
                <w:color w:val="auto"/>
                <w:sz w:val="21"/>
                <w:szCs w:val="21"/>
                <w:highlight w:val="none"/>
              </w:rPr>
              <w:t>方法</w:t>
            </w:r>
            <w:r>
              <w:rPr>
                <w:rFonts w:hint="eastAsia"/>
                <w:color w:val="auto"/>
                <w:sz w:val="21"/>
                <w:szCs w:val="21"/>
                <w:highlight w:val="none"/>
              </w:rPr>
              <w:t>与关键指标</w:t>
            </w:r>
            <w:r>
              <w:rPr>
                <w:color w:val="auto"/>
                <w:sz w:val="21"/>
                <w:szCs w:val="21"/>
                <w:highlight w:val="none"/>
              </w:rPr>
              <w:t>的适用性、准确性、可行性及检测内容的全面性、针对性等方面进行评分：</w:t>
            </w:r>
          </w:p>
          <w:p>
            <w:pPr>
              <w:adjustRightInd w:val="0"/>
              <w:snapToGrid w:val="0"/>
              <w:spacing w:line="360" w:lineRule="exact"/>
              <w:ind w:firstLine="0" w:firstLineChars="0"/>
              <w:jc w:val="both"/>
              <w:rPr>
                <w:color w:val="auto"/>
                <w:sz w:val="21"/>
                <w:szCs w:val="21"/>
                <w:highlight w:val="none"/>
              </w:rPr>
            </w:pPr>
            <w:r>
              <w:rPr>
                <w:color w:val="auto"/>
                <w:sz w:val="21"/>
                <w:szCs w:val="21"/>
                <w:highlight w:val="none"/>
              </w:rPr>
              <w:t>好，得13~15分；</w:t>
            </w:r>
          </w:p>
          <w:p>
            <w:pPr>
              <w:adjustRightInd w:val="0"/>
              <w:snapToGrid w:val="0"/>
              <w:spacing w:line="360" w:lineRule="exact"/>
              <w:ind w:firstLine="0" w:firstLineChars="0"/>
              <w:jc w:val="both"/>
              <w:rPr>
                <w:color w:val="auto"/>
                <w:sz w:val="21"/>
                <w:szCs w:val="21"/>
                <w:highlight w:val="none"/>
              </w:rPr>
            </w:pPr>
            <w:r>
              <w:rPr>
                <w:color w:val="auto"/>
                <w:sz w:val="21"/>
                <w:szCs w:val="21"/>
                <w:highlight w:val="none"/>
              </w:rPr>
              <w:t>较好，得11~13分；</w:t>
            </w:r>
          </w:p>
          <w:p>
            <w:pPr>
              <w:adjustRightInd w:val="0"/>
              <w:snapToGrid w:val="0"/>
              <w:spacing w:line="360" w:lineRule="exact"/>
              <w:ind w:firstLine="0" w:firstLineChars="0"/>
              <w:jc w:val="both"/>
              <w:rPr>
                <w:color w:val="auto"/>
                <w:sz w:val="21"/>
                <w:szCs w:val="21"/>
                <w:highlight w:val="none"/>
              </w:rPr>
            </w:pPr>
            <w:r>
              <w:rPr>
                <w:color w:val="auto"/>
                <w:sz w:val="21"/>
                <w:szCs w:val="21"/>
                <w:highlight w:val="none"/>
              </w:rPr>
              <w:t>一般，得9~11分。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5" w:hRule="atLeast"/>
          <w:jc w:val="center"/>
        </w:trPr>
        <w:tc>
          <w:tcPr>
            <w:tcW w:w="518" w:type="pct"/>
            <w:vMerge w:val="continue"/>
            <w:noWrap w:val="0"/>
            <w:vAlign w:val="center"/>
          </w:tcPr>
          <w:p>
            <w:pPr>
              <w:adjustRightInd w:val="0"/>
              <w:snapToGrid w:val="0"/>
              <w:spacing w:line="360" w:lineRule="exact"/>
              <w:ind w:firstLine="0" w:firstLineChars="0"/>
              <w:jc w:val="center"/>
              <w:rPr>
                <w:color w:val="auto"/>
                <w:sz w:val="21"/>
                <w:szCs w:val="21"/>
                <w:highlight w:val="none"/>
              </w:rPr>
            </w:pPr>
          </w:p>
        </w:tc>
        <w:tc>
          <w:tcPr>
            <w:tcW w:w="432" w:type="pct"/>
            <w:vMerge w:val="continue"/>
            <w:noWrap w:val="0"/>
            <w:vAlign w:val="center"/>
          </w:tcPr>
          <w:p>
            <w:pPr>
              <w:adjustRightInd w:val="0"/>
              <w:snapToGrid w:val="0"/>
              <w:spacing w:line="360" w:lineRule="exact"/>
              <w:ind w:firstLine="0" w:firstLineChars="0"/>
              <w:jc w:val="center"/>
              <w:rPr>
                <w:b w:val="0"/>
                <w:bCs w:val="0"/>
                <w:color w:val="auto"/>
                <w:sz w:val="21"/>
                <w:szCs w:val="21"/>
                <w:highlight w:val="none"/>
              </w:rPr>
            </w:pPr>
          </w:p>
        </w:tc>
        <w:tc>
          <w:tcPr>
            <w:tcW w:w="477" w:type="pct"/>
            <w:gridSpan w:val="2"/>
            <w:vMerge w:val="continue"/>
            <w:noWrap w:val="0"/>
            <w:vAlign w:val="center"/>
          </w:tcPr>
          <w:p>
            <w:pPr>
              <w:adjustRightInd w:val="0"/>
              <w:snapToGrid w:val="0"/>
              <w:spacing w:line="360" w:lineRule="exact"/>
              <w:ind w:firstLine="0" w:firstLineChars="0"/>
              <w:jc w:val="center"/>
              <w:rPr>
                <w:color w:val="auto"/>
                <w:sz w:val="21"/>
                <w:szCs w:val="21"/>
                <w:highlight w:val="none"/>
              </w:rPr>
            </w:pPr>
          </w:p>
        </w:tc>
        <w:tc>
          <w:tcPr>
            <w:tcW w:w="395" w:type="pct"/>
            <w:noWrap w:val="0"/>
            <w:vAlign w:val="center"/>
          </w:tcPr>
          <w:p>
            <w:pPr>
              <w:adjustRightInd w:val="0"/>
              <w:snapToGrid w:val="0"/>
              <w:spacing w:line="360" w:lineRule="exact"/>
              <w:ind w:firstLine="0" w:firstLineChars="0"/>
              <w:jc w:val="center"/>
              <w:rPr>
                <w:color w:val="auto"/>
                <w:sz w:val="21"/>
                <w:szCs w:val="21"/>
                <w:highlight w:val="none"/>
              </w:rPr>
            </w:pPr>
            <w:r>
              <w:rPr>
                <w:color w:val="auto"/>
                <w:sz w:val="21"/>
                <w:szCs w:val="21"/>
                <w:highlight w:val="none"/>
              </w:rPr>
              <w:t>质量保障措施</w:t>
            </w:r>
          </w:p>
        </w:tc>
        <w:tc>
          <w:tcPr>
            <w:tcW w:w="319" w:type="pct"/>
            <w:noWrap w:val="0"/>
            <w:vAlign w:val="center"/>
          </w:tcPr>
          <w:p>
            <w:pPr>
              <w:adjustRightInd w:val="0"/>
              <w:snapToGrid w:val="0"/>
              <w:spacing w:line="360" w:lineRule="exact"/>
              <w:ind w:firstLine="0" w:firstLineChars="0"/>
              <w:jc w:val="center"/>
              <w:rPr>
                <w:color w:val="auto"/>
                <w:sz w:val="21"/>
                <w:szCs w:val="21"/>
                <w:highlight w:val="none"/>
              </w:rPr>
            </w:pPr>
            <w:r>
              <w:rPr>
                <w:color w:val="auto"/>
                <w:sz w:val="21"/>
                <w:szCs w:val="21"/>
                <w:highlight w:val="none"/>
              </w:rPr>
              <w:t>15分</w:t>
            </w:r>
          </w:p>
        </w:tc>
        <w:tc>
          <w:tcPr>
            <w:tcW w:w="2857" w:type="pct"/>
            <w:noWrap w:val="0"/>
            <w:vAlign w:val="center"/>
          </w:tcPr>
          <w:p>
            <w:pPr>
              <w:adjustRightInd w:val="0"/>
              <w:snapToGrid w:val="0"/>
              <w:spacing w:line="360" w:lineRule="exact"/>
              <w:ind w:firstLine="0" w:firstLineChars="0"/>
              <w:jc w:val="both"/>
              <w:rPr>
                <w:color w:val="auto"/>
                <w:sz w:val="21"/>
                <w:szCs w:val="21"/>
                <w:highlight w:val="none"/>
              </w:rPr>
            </w:pPr>
            <w:r>
              <w:rPr>
                <w:color w:val="auto"/>
                <w:sz w:val="21"/>
                <w:szCs w:val="21"/>
                <w:highlight w:val="none"/>
              </w:rPr>
              <w:t>对数据质量保障措施的合理性、可行性、可靠性及管理制度的全面性、可行性等方面进行评分：</w:t>
            </w:r>
          </w:p>
          <w:p>
            <w:pPr>
              <w:adjustRightInd w:val="0"/>
              <w:snapToGrid w:val="0"/>
              <w:spacing w:line="360" w:lineRule="exact"/>
              <w:ind w:firstLine="0" w:firstLineChars="0"/>
              <w:jc w:val="both"/>
              <w:rPr>
                <w:color w:val="auto"/>
                <w:sz w:val="21"/>
                <w:szCs w:val="21"/>
                <w:highlight w:val="none"/>
              </w:rPr>
            </w:pPr>
            <w:r>
              <w:rPr>
                <w:color w:val="auto"/>
                <w:sz w:val="21"/>
                <w:szCs w:val="21"/>
                <w:highlight w:val="none"/>
              </w:rPr>
              <w:t>好，得13~15分；</w:t>
            </w:r>
          </w:p>
          <w:p>
            <w:pPr>
              <w:adjustRightInd w:val="0"/>
              <w:snapToGrid w:val="0"/>
              <w:spacing w:line="360" w:lineRule="exact"/>
              <w:ind w:firstLine="0" w:firstLineChars="0"/>
              <w:jc w:val="both"/>
              <w:rPr>
                <w:color w:val="auto"/>
                <w:sz w:val="21"/>
                <w:szCs w:val="21"/>
                <w:highlight w:val="none"/>
              </w:rPr>
            </w:pPr>
            <w:r>
              <w:rPr>
                <w:color w:val="auto"/>
                <w:sz w:val="21"/>
                <w:szCs w:val="21"/>
                <w:highlight w:val="none"/>
              </w:rPr>
              <w:t>较好，得11~13分；</w:t>
            </w:r>
          </w:p>
          <w:p>
            <w:pPr>
              <w:adjustRightInd w:val="0"/>
              <w:snapToGrid w:val="0"/>
              <w:spacing w:line="360" w:lineRule="exact"/>
              <w:ind w:firstLine="0" w:firstLineChars="0"/>
              <w:jc w:val="both"/>
              <w:rPr>
                <w:b/>
                <w:bCs/>
                <w:color w:val="auto"/>
                <w:sz w:val="21"/>
                <w:szCs w:val="21"/>
                <w:highlight w:val="none"/>
              </w:rPr>
            </w:pPr>
            <w:r>
              <w:rPr>
                <w:color w:val="auto"/>
                <w:sz w:val="21"/>
                <w:szCs w:val="21"/>
                <w:highlight w:val="none"/>
              </w:rPr>
              <w:t>一般，得9~11分。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5" w:hRule="atLeast"/>
          <w:jc w:val="center"/>
        </w:trPr>
        <w:tc>
          <w:tcPr>
            <w:tcW w:w="518" w:type="pct"/>
            <w:vMerge w:val="continue"/>
            <w:noWrap w:val="0"/>
            <w:vAlign w:val="center"/>
          </w:tcPr>
          <w:p>
            <w:pPr>
              <w:adjustRightInd w:val="0"/>
              <w:snapToGrid w:val="0"/>
              <w:spacing w:line="360" w:lineRule="exact"/>
              <w:ind w:firstLine="0" w:firstLineChars="0"/>
              <w:jc w:val="center"/>
              <w:rPr>
                <w:color w:val="auto"/>
                <w:sz w:val="21"/>
                <w:szCs w:val="21"/>
                <w:highlight w:val="none"/>
              </w:rPr>
            </w:pPr>
          </w:p>
        </w:tc>
        <w:tc>
          <w:tcPr>
            <w:tcW w:w="432" w:type="pct"/>
            <w:vMerge w:val="continue"/>
            <w:noWrap w:val="0"/>
            <w:vAlign w:val="center"/>
          </w:tcPr>
          <w:p>
            <w:pPr>
              <w:adjustRightInd w:val="0"/>
              <w:snapToGrid w:val="0"/>
              <w:spacing w:line="360" w:lineRule="exact"/>
              <w:ind w:firstLine="0" w:firstLineChars="0"/>
              <w:jc w:val="center"/>
              <w:rPr>
                <w:b w:val="0"/>
                <w:bCs w:val="0"/>
                <w:color w:val="auto"/>
                <w:sz w:val="21"/>
                <w:szCs w:val="21"/>
                <w:highlight w:val="none"/>
              </w:rPr>
            </w:pPr>
          </w:p>
        </w:tc>
        <w:tc>
          <w:tcPr>
            <w:tcW w:w="477" w:type="pct"/>
            <w:gridSpan w:val="2"/>
            <w:vMerge w:val="continue"/>
            <w:noWrap w:val="0"/>
            <w:vAlign w:val="center"/>
          </w:tcPr>
          <w:p>
            <w:pPr>
              <w:adjustRightInd w:val="0"/>
              <w:snapToGrid w:val="0"/>
              <w:spacing w:line="360" w:lineRule="exact"/>
              <w:ind w:firstLine="0" w:firstLineChars="0"/>
              <w:jc w:val="center"/>
              <w:rPr>
                <w:color w:val="auto"/>
                <w:sz w:val="21"/>
                <w:szCs w:val="21"/>
                <w:highlight w:val="none"/>
              </w:rPr>
            </w:pPr>
          </w:p>
        </w:tc>
        <w:tc>
          <w:tcPr>
            <w:tcW w:w="395" w:type="pct"/>
            <w:noWrap w:val="0"/>
            <w:vAlign w:val="center"/>
          </w:tcPr>
          <w:p>
            <w:pPr>
              <w:adjustRightInd w:val="0"/>
              <w:snapToGrid w:val="0"/>
              <w:spacing w:line="360" w:lineRule="exact"/>
              <w:ind w:firstLine="0" w:firstLineChars="0"/>
              <w:jc w:val="center"/>
              <w:rPr>
                <w:color w:val="auto"/>
                <w:sz w:val="21"/>
                <w:szCs w:val="21"/>
                <w:highlight w:val="none"/>
              </w:rPr>
            </w:pPr>
            <w:r>
              <w:rPr>
                <w:color w:val="auto"/>
                <w:sz w:val="21"/>
                <w:szCs w:val="21"/>
                <w:highlight w:val="none"/>
              </w:rPr>
              <w:t>对本项目</w:t>
            </w:r>
            <w:r>
              <w:rPr>
                <w:rFonts w:hint="eastAsia"/>
                <w:color w:val="auto"/>
                <w:sz w:val="21"/>
                <w:szCs w:val="21"/>
                <w:highlight w:val="none"/>
                <w:lang w:val="en-US" w:eastAsia="zh-CN"/>
              </w:rPr>
              <w:t>施工监控</w:t>
            </w:r>
            <w:r>
              <w:rPr>
                <w:color w:val="auto"/>
                <w:sz w:val="21"/>
                <w:szCs w:val="21"/>
                <w:highlight w:val="none"/>
              </w:rPr>
              <w:t>工作的建议</w:t>
            </w:r>
          </w:p>
        </w:tc>
        <w:tc>
          <w:tcPr>
            <w:tcW w:w="319" w:type="pct"/>
            <w:noWrap w:val="0"/>
            <w:vAlign w:val="center"/>
          </w:tcPr>
          <w:p>
            <w:pPr>
              <w:adjustRightInd w:val="0"/>
              <w:snapToGrid w:val="0"/>
              <w:spacing w:line="360" w:lineRule="exact"/>
              <w:ind w:firstLine="0" w:firstLineChars="0"/>
              <w:jc w:val="center"/>
              <w:rPr>
                <w:color w:val="auto"/>
                <w:sz w:val="21"/>
                <w:szCs w:val="21"/>
                <w:highlight w:val="none"/>
              </w:rPr>
            </w:pPr>
            <w:r>
              <w:rPr>
                <w:color w:val="auto"/>
                <w:sz w:val="21"/>
                <w:szCs w:val="21"/>
                <w:highlight w:val="none"/>
              </w:rPr>
              <w:t>10分</w:t>
            </w:r>
          </w:p>
        </w:tc>
        <w:tc>
          <w:tcPr>
            <w:tcW w:w="2857" w:type="pct"/>
            <w:noWrap w:val="0"/>
            <w:vAlign w:val="center"/>
          </w:tcPr>
          <w:p>
            <w:pPr>
              <w:adjustRightInd w:val="0"/>
              <w:snapToGrid w:val="0"/>
              <w:spacing w:line="360" w:lineRule="exact"/>
              <w:ind w:firstLine="0" w:firstLineChars="0"/>
              <w:jc w:val="both"/>
              <w:rPr>
                <w:color w:val="auto"/>
                <w:sz w:val="21"/>
                <w:szCs w:val="21"/>
                <w:highlight w:val="none"/>
              </w:rPr>
            </w:pPr>
            <w:r>
              <w:rPr>
                <w:color w:val="auto"/>
                <w:sz w:val="21"/>
                <w:szCs w:val="21"/>
                <w:highlight w:val="none"/>
              </w:rPr>
              <w:t>对投标人提出的建议的针对性、合理性、可靠性进行评分：</w:t>
            </w:r>
          </w:p>
          <w:p>
            <w:pPr>
              <w:adjustRightInd w:val="0"/>
              <w:snapToGrid w:val="0"/>
              <w:spacing w:line="360" w:lineRule="exact"/>
              <w:ind w:firstLine="0" w:firstLineChars="0"/>
              <w:jc w:val="both"/>
              <w:rPr>
                <w:color w:val="auto"/>
                <w:sz w:val="21"/>
                <w:szCs w:val="21"/>
                <w:highlight w:val="none"/>
              </w:rPr>
            </w:pPr>
            <w:r>
              <w:rPr>
                <w:color w:val="auto"/>
                <w:sz w:val="21"/>
                <w:szCs w:val="21"/>
                <w:highlight w:val="none"/>
              </w:rPr>
              <w:t>好，得9~10分；</w:t>
            </w:r>
          </w:p>
          <w:p>
            <w:pPr>
              <w:adjustRightInd w:val="0"/>
              <w:snapToGrid w:val="0"/>
              <w:spacing w:line="360" w:lineRule="exact"/>
              <w:ind w:firstLine="0" w:firstLineChars="0"/>
              <w:jc w:val="both"/>
              <w:rPr>
                <w:color w:val="auto"/>
                <w:sz w:val="21"/>
                <w:szCs w:val="21"/>
                <w:highlight w:val="none"/>
              </w:rPr>
            </w:pPr>
            <w:r>
              <w:rPr>
                <w:color w:val="auto"/>
                <w:sz w:val="21"/>
                <w:szCs w:val="21"/>
                <w:highlight w:val="none"/>
              </w:rPr>
              <w:t>较好，得7~9分；</w:t>
            </w:r>
          </w:p>
          <w:p>
            <w:pPr>
              <w:adjustRightInd w:val="0"/>
              <w:snapToGrid w:val="0"/>
              <w:spacing w:line="360" w:lineRule="exact"/>
              <w:ind w:firstLine="0" w:firstLineChars="0"/>
              <w:jc w:val="both"/>
              <w:rPr>
                <w:color w:val="auto"/>
                <w:sz w:val="21"/>
                <w:szCs w:val="21"/>
                <w:highlight w:val="none"/>
              </w:rPr>
            </w:pPr>
            <w:r>
              <w:rPr>
                <w:color w:val="auto"/>
                <w:sz w:val="21"/>
                <w:szCs w:val="21"/>
                <w:highlight w:val="none"/>
              </w:rPr>
              <w:t>一般，得6~7分。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5" w:hRule="atLeast"/>
          <w:jc w:val="center"/>
        </w:trPr>
        <w:tc>
          <w:tcPr>
            <w:tcW w:w="518" w:type="pct"/>
            <w:vMerge w:val="continue"/>
            <w:noWrap w:val="0"/>
            <w:vAlign w:val="center"/>
          </w:tcPr>
          <w:p>
            <w:pPr>
              <w:adjustRightInd w:val="0"/>
              <w:snapToGrid w:val="0"/>
              <w:spacing w:line="360" w:lineRule="exact"/>
              <w:ind w:firstLine="0" w:firstLineChars="0"/>
              <w:jc w:val="both"/>
              <w:rPr>
                <w:color w:val="auto"/>
                <w:sz w:val="21"/>
                <w:szCs w:val="21"/>
                <w:highlight w:val="none"/>
              </w:rPr>
            </w:pPr>
          </w:p>
        </w:tc>
        <w:tc>
          <w:tcPr>
            <w:tcW w:w="432" w:type="pct"/>
            <w:vMerge w:val="restart"/>
            <w:noWrap w:val="0"/>
            <w:vAlign w:val="center"/>
          </w:tcPr>
          <w:p>
            <w:pPr>
              <w:adjustRightInd w:val="0"/>
              <w:snapToGrid w:val="0"/>
              <w:spacing w:line="360" w:lineRule="exact"/>
              <w:ind w:firstLine="0" w:firstLineChars="0"/>
              <w:jc w:val="center"/>
              <w:rPr>
                <w:rFonts w:eastAsia="宋体"/>
                <w:b w:val="0"/>
                <w:bCs w:val="0"/>
                <w:color w:val="auto"/>
                <w:sz w:val="21"/>
                <w:szCs w:val="21"/>
                <w:highlight w:val="none"/>
              </w:rPr>
            </w:pPr>
            <w:r>
              <w:rPr>
                <w:rFonts w:hint="eastAsia" w:eastAsia="宋体"/>
                <w:b w:val="0"/>
                <w:bCs w:val="0"/>
                <w:color w:val="auto"/>
                <w:sz w:val="21"/>
                <w:szCs w:val="21"/>
                <w:highlight w:val="none"/>
                <w:lang w:val="en-US" w:eastAsia="zh-CN"/>
              </w:rPr>
              <w:t>APBPJC-01~APBPJC-04标段</w:t>
            </w:r>
            <w:r>
              <w:rPr>
                <w:rFonts w:eastAsia="宋体"/>
                <w:b w:val="0"/>
                <w:bCs w:val="0"/>
                <w:color w:val="auto"/>
                <w:sz w:val="21"/>
                <w:szCs w:val="21"/>
                <w:highlight w:val="none"/>
              </w:rPr>
              <w:t>技术建议书</w:t>
            </w:r>
          </w:p>
        </w:tc>
        <w:tc>
          <w:tcPr>
            <w:tcW w:w="477" w:type="pct"/>
            <w:gridSpan w:val="2"/>
            <w:vMerge w:val="restart"/>
            <w:noWrap w:val="0"/>
            <w:vAlign w:val="center"/>
          </w:tcPr>
          <w:p>
            <w:pPr>
              <w:adjustRightInd w:val="0"/>
              <w:snapToGrid w:val="0"/>
              <w:spacing w:line="360" w:lineRule="exact"/>
              <w:ind w:firstLine="0" w:firstLineChars="0"/>
              <w:jc w:val="center"/>
              <w:rPr>
                <w:rFonts w:eastAsia="宋体"/>
                <w:color w:val="auto"/>
                <w:sz w:val="21"/>
                <w:szCs w:val="21"/>
                <w:highlight w:val="none"/>
              </w:rPr>
            </w:pPr>
            <w:r>
              <w:rPr>
                <w:rFonts w:eastAsia="宋体"/>
                <w:color w:val="auto"/>
                <w:sz w:val="21"/>
                <w:szCs w:val="21"/>
                <w:highlight w:val="none"/>
              </w:rPr>
              <w:t>50分</w:t>
            </w:r>
          </w:p>
        </w:tc>
        <w:tc>
          <w:tcPr>
            <w:tcW w:w="395" w:type="pct"/>
            <w:noWrap w:val="0"/>
            <w:vAlign w:val="center"/>
          </w:tcPr>
          <w:p>
            <w:pPr>
              <w:adjustRightInd w:val="0"/>
              <w:snapToGrid w:val="0"/>
              <w:spacing w:line="360" w:lineRule="exact"/>
              <w:ind w:firstLine="0" w:firstLineChars="0"/>
              <w:jc w:val="center"/>
              <w:rPr>
                <w:rFonts w:eastAsia="宋体"/>
                <w:color w:val="auto"/>
                <w:sz w:val="21"/>
                <w:szCs w:val="21"/>
                <w:highlight w:val="none"/>
              </w:rPr>
            </w:pPr>
            <w:r>
              <w:rPr>
                <w:rFonts w:hint="eastAsia" w:eastAsia="宋体"/>
                <w:color w:val="auto"/>
                <w:sz w:val="21"/>
                <w:szCs w:val="21"/>
                <w:highlight w:val="none"/>
              </w:rPr>
              <w:t>工作方案</w:t>
            </w:r>
          </w:p>
        </w:tc>
        <w:tc>
          <w:tcPr>
            <w:tcW w:w="319" w:type="pct"/>
            <w:noWrap w:val="0"/>
            <w:vAlign w:val="center"/>
          </w:tcPr>
          <w:p>
            <w:pPr>
              <w:adjustRightInd w:val="0"/>
              <w:snapToGrid w:val="0"/>
              <w:spacing w:line="360" w:lineRule="exact"/>
              <w:ind w:firstLine="0" w:firstLineChars="0"/>
              <w:jc w:val="center"/>
              <w:rPr>
                <w:rFonts w:eastAsia="宋体"/>
                <w:color w:val="auto"/>
                <w:sz w:val="21"/>
                <w:szCs w:val="21"/>
                <w:highlight w:val="none"/>
              </w:rPr>
            </w:pPr>
            <w:r>
              <w:rPr>
                <w:color w:val="auto"/>
                <w:sz w:val="21"/>
                <w:szCs w:val="21"/>
                <w:highlight w:val="none"/>
                <w:u w:val="single"/>
              </w:rPr>
              <w:t>10</w:t>
            </w:r>
            <w:r>
              <w:rPr>
                <w:color w:val="auto"/>
                <w:sz w:val="21"/>
                <w:szCs w:val="21"/>
                <w:highlight w:val="none"/>
              </w:rPr>
              <w:t>分</w:t>
            </w:r>
          </w:p>
        </w:tc>
        <w:tc>
          <w:tcPr>
            <w:tcW w:w="2857" w:type="pct"/>
            <w:noWrap w:val="0"/>
            <w:vAlign w:val="center"/>
          </w:tcPr>
          <w:p>
            <w:pPr>
              <w:spacing w:line="360" w:lineRule="exact"/>
              <w:ind w:firstLine="0" w:firstLineChars="0"/>
              <w:jc w:val="both"/>
              <w:rPr>
                <w:color w:val="auto"/>
                <w:sz w:val="21"/>
                <w:szCs w:val="21"/>
                <w:highlight w:val="none"/>
              </w:rPr>
            </w:pPr>
            <w:r>
              <w:rPr>
                <w:color w:val="auto"/>
                <w:sz w:val="21"/>
                <w:szCs w:val="21"/>
                <w:highlight w:val="none"/>
              </w:rPr>
              <w:t>根据工作方案的总体思路及人员安排</w:t>
            </w:r>
            <w:r>
              <w:rPr>
                <w:rFonts w:hint="eastAsia"/>
                <w:color w:val="auto"/>
                <w:sz w:val="21"/>
                <w:szCs w:val="21"/>
                <w:highlight w:val="none"/>
              </w:rPr>
              <w:t>等内容</w:t>
            </w:r>
            <w:r>
              <w:rPr>
                <w:color w:val="auto"/>
                <w:sz w:val="21"/>
                <w:szCs w:val="21"/>
                <w:highlight w:val="none"/>
              </w:rPr>
              <w:t>的科学性、合理性、</w:t>
            </w:r>
            <w:r>
              <w:rPr>
                <w:rFonts w:hint="eastAsia"/>
                <w:color w:val="auto"/>
                <w:sz w:val="21"/>
                <w:szCs w:val="21"/>
                <w:highlight w:val="none"/>
              </w:rPr>
              <w:t>工作</w:t>
            </w:r>
            <w:r>
              <w:rPr>
                <w:color w:val="auto"/>
                <w:sz w:val="21"/>
                <w:szCs w:val="21"/>
                <w:highlight w:val="none"/>
              </w:rPr>
              <w:t>保障性等方面进行评分：</w:t>
            </w:r>
          </w:p>
          <w:p>
            <w:pPr>
              <w:adjustRightInd w:val="0"/>
              <w:snapToGrid w:val="0"/>
              <w:spacing w:line="360" w:lineRule="exact"/>
              <w:ind w:firstLine="0" w:firstLineChars="0"/>
              <w:jc w:val="both"/>
              <w:rPr>
                <w:color w:val="auto"/>
                <w:sz w:val="21"/>
                <w:szCs w:val="21"/>
                <w:highlight w:val="none"/>
              </w:rPr>
            </w:pPr>
            <w:r>
              <w:rPr>
                <w:color w:val="auto"/>
                <w:sz w:val="21"/>
                <w:szCs w:val="21"/>
                <w:highlight w:val="none"/>
              </w:rPr>
              <w:t>好，得9~10分；</w:t>
            </w:r>
          </w:p>
          <w:p>
            <w:pPr>
              <w:adjustRightInd w:val="0"/>
              <w:snapToGrid w:val="0"/>
              <w:spacing w:line="360" w:lineRule="exact"/>
              <w:ind w:firstLine="0" w:firstLineChars="0"/>
              <w:jc w:val="both"/>
              <w:rPr>
                <w:color w:val="auto"/>
                <w:sz w:val="21"/>
                <w:szCs w:val="21"/>
                <w:highlight w:val="none"/>
              </w:rPr>
            </w:pPr>
            <w:r>
              <w:rPr>
                <w:color w:val="auto"/>
                <w:sz w:val="21"/>
                <w:szCs w:val="21"/>
                <w:highlight w:val="none"/>
              </w:rPr>
              <w:t>较好，得7~9分；</w:t>
            </w:r>
          </w:p>
          <w:p>
            <w:pPr>
              <w:adjustRightInd w:val="0"/>
              <w:snapToGrid w:val="0"/>
              <w:spacing w:line="360" w:lineRule="exact"/>
              <w:ind w:firstLine="0" w:firstLineChars="0"/>
              <w:jc w:val="both"/>
              <w:rPr>
                <w:rFonts w:eastAsia="宋体"/>
                <w:color w:val="auto"/>
                <w:sz w:val="21"/>
                <w:szCs w:val="21"/>
                <w:highlight w:val="none"/>
              </w:rPr>
            </w:pPr>
            <w:r>
              <w:rPr>
                <w:color w:val="auto"/>
                <w:sz w:val="21"/>
                <w:szCs w:val="21"/>
                <w:highlight w:val="none"/>
              </w:rPr>
              <w:t>一般，得6~7分。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5" w:hRule="atLeast"/>
          <w:jc w:val="center"/>
        </w:trPr>
        <w:tc>
          <w:tcPr>
            <w:tcW w:w="518" w:type="pct"/>
            <w:vMerge w:val="continue"/>
            <w:noWrap w:val="0"/>
            <w:vAlign w:val="center"/>
          </w:tcPr>
          <w:p>
            <w:pPr>
              <w:adjustRightInd w:val="0"/>
              <w:snapToGrid w:val="0"/>
              <w:spacing w:line="360" w:lineRule="exact"/>
              <w:ind w:firstLine="0" w:firstLineChars="0"/>
              <w:jc w:val="both"/>
              <w:rPr>
                <w:color w:val="auto"/>
                <w:sz w:val="21"/>
                <w:szCs w:val="21"/>
                <w:highlight w:val="none"/>
              </w:rPr>
            </w:pPr>
          </w:p>
        </w:tc>
        <w:tc>
          <w:tcPr>
            <w:tcW w:w="432" w:type="pct"/>
            <w:vMerge w:val="continue"/>
            <w:noWrap w:val="0"/>
            <w:vAlign w:val="center"/>
          </w:tcPr>
          <w:p>
            <w:pPr>
              <w:adjustRightInd w:val="0"/>
              <w:snapToGrid w:val="0"/>
              <w:spacing w:line="360" w:lineRule="exact"/>
              <w:ind w:firstLine="0" w:firstLineChars="0"/>
              <w:jc w:val="center"/>
              <w:rPr>
                <w:rFonts w:eastAsia="宋体"/>
                <w:color w:val="auto"/>
                <w:sz w:val="21"/>
                <w:szCs w:val="21"/>
                <w:highlight w:val="none"/>
              </w:rPr>
            </w:pPr>
          </w:p>
        </w:tc>
        <w:tc>
          <w:tcPr>
            <w:tcW w:w="477" w:type="pct"/>
            <w:gridSpan w:val="2"/>
            <w:vMerge w:val="continue"/>
            <w:noWrap w:val="0"/>
            <w:vAlign w:val="center"/>
          </w:tcPr>
          <w:p>
            <w:pPr>
              <w:adjustRightInd w:val="0"/>
              <w:snapToGrid w:val="0"/>
              <w:spacing w:line="360" w:lineRule="exact"/>
              <w:ind w:firstLine="0" w:firstLineChars="0"/>
              <w:jc w:val="center"/>
              <w:rPr>
                <w:rFonts w:eastAsia="宋体"/>
                <w:color w:val="auto"/>
                <w:sz w:val="21"/>
                <w:szCs w:val="21"/>
                <w:highlight w:val="none"/>
              </w:rPr>
            </w:pPr>
          </w:p>
        </w:tc>
        <w:tc>
          <w:tcPr>
            <w:tcW w:w="395" w:type="pct"/>
            <w:noWrap w:val="0"/>
            <w:vAlign w:val="center"/>
          </w:tcPr>
          <w:p>
            <w:pPr>
              <w:adjustRightInd w:val="0"/>
              <w:snapToGrid w:val="0"/>
              <w:spacing w:line="360" w:lineRule="exact"/>
              <w:ind w:firstLine="0" w:firstLineChars="0"/>
              <w:jc w:val="center"/>
              <w:rPr>
                <w:rFonts w:eastAsia="宋体"/>
                <w:color w:val="auto"/>
                <w:sz w:val="21"/>
                <w:szCs w:val="21"/>
                <w:highlight w:val="none"/>
              </w:rPr>
            </w:pPr>
            <w:r>
              <w:rPr>
                <w:rFonts w:hint="eastAsia" w:eastAsia="宋体"/>
                <w:color w:val="auto"/>
                <w:sz w:val="21"/>
                <w:szCs w:val="21"/>
                <w:highlight w:val="none"/>
              </w:rPr>
              <w:t>监测方法与</w:t>
            </w:r>
            <w:r>
              <w:rPr>
                <w:rFonts w:hint="eastAsia" w:eastAsia="宋体"/>
                <w:color w:val="auto"/>
                <w:sz w:val="21"/>
                <w:szCs w:val="21"/>
                <w:highlight w:val="none"/>
                <w:lang w:val="en-US" w:eastAsia="zh-CN"/>
              </w:rPr>
              <w:t>监测依据</w:t>
            </w:r>
          </w:p>
        </w:tc>
        <w:tc>
          <w:tcPr>
            <w:tcW w:w="319" w:type="pct"/>
            <w:noWrap w:val="0"/>
            <w:vAlign w:val="center"/>
          </w:tcPr>
          <w:p>
            <w:pPr>
              <w:adjustRightInd w:val="0"/>
              <w:snapToGrid w:val="0"/>
              <w:spacing w:line="360" w:lineRule="exact"/>
              <w:ind w:firstLine="0" w:firstLineChars="0"/>
              <w:jc w:val="center"/>
              <w:rPr>
                <w:rFonts w:eastAsia="宋体"/>
                <w:color w:val="auto"/>
                <w:sz w:val="21"/>
                <w:szCs w:val="21"/>
                <w:highlight w:val="none"/>
              </w:rPr>
            </w:pPr>
            <w:r>
              <w:rPr>
                <w:color w:val="auto"/>
                <w:sz w:val="21"/>
                <w:szCs w:val="21"/>
                <w:highlight w:val="none"/>
                <w:u w:val="single"/>
              </w:rPr>
              <w:t>15</w:t>
            </w:r>
            <w:r>
              <w:rPr>
                <w:color w:val="auto"/>
                <w:sz w:val="21"/>
                <w:szCs w:val="21"/>
                <w:highlight w:val="none"/>
              </w:rPr>
              <w:t>分</w:t>
            </w:r>
          </w:p>
        </w:tc>
        <w:tc>
          <w:tcPr>
            <w:tcW w:w="2857" w:type="pct"/>
            <w:noWrap w:val="0"/>
            <w:vAlign w:val="center"/>
          </w:tcPr>
          <w:p>
            <w:pPr>
              <w:adjustRightInd w:val="0"/>
              <w:snapToGrid w:val="0"/>
              <w:spacing w:line="360" w:lineRule="exact"/>
              <w:ind w:firstLine="0" w:firstLineChars="0"/>
              <w:jc w:val="both"/>
              <w:rPr>
                <w:color w:val="auto"/>
                <w:sz w:val="21"/>
                <w:szCs w:val="21"/>
                <w:highlight w:val="none"/>
              </w:rPr>
            </w:pPr>
            <w:r>
              <w:rPr>
                <w:color w:val="auto"/>
                <w:sz w:val="21"/>
                <w:szCs w:val="21"/>
                <w:highlight w:val="none"/>
              </w:rPr>
              <w:t>对</w:t>
            </w:r>
            <w:r>
              <w:rPr>
                <w:rFonts w:hint="eastAsia"/>
                <w:color w:val="auto"/>
                <w:sz w:val="21"/>
                <w:szCs w:val="21"/>
                <w:highlight w:val="none"/>
              </w:rPr>
              <w:t>监测方法与</w:t>
            </w:r>
            <w:r>
              <w:rPr>
                <w:rFonts w:hint="eastAsia"/>
                <w:color w:val="auto"/>
                <w:sz w:val="21"/>
                <w:szCs w:val="21"/>
                <w:highlight w:val="none"/>
                <w:lang w:val="en-US" w:eastAsia="zh-CN"/>
              </w:rPr>
              <w:t>监测依据</w:t>
            </w:r>
            <w:r>
              <w:rPr>
                <w:color w:val="auto"/>
                <w:sz w:val="21"/>
                <w:szCs w:val="21"/>
                <w:highlight w:val="none"/>
              </w:rPr>
              <w:t>的适用性、准确性、可行性及检测内容的全面性、针对性等方面进行评分：</w:t>
            </w:r>
          </w:p>
          <w:p>
            <w:pPr>
              <w:adjustRightInd w:val="0"/>
              <w:snapToGrid w:val="0"/>
              <w:spacing w:line="360" w:lineRule="exact"/>
              <w:ind w:firstLine="0" w:firstLineChars="0"/>
              <w:jc w:val="both"/>
              <w:rPr>
                <w:color w:val="auto"/>
                <w:sz w:val="21"/>
                <w:szCs w:val="21"/>
                <w:highlight w:val="none"/>
              </w:rPr>
            </w:pPr>
            <w:r>
              <w:rPr>
                <w:color w:val="auto"/>
                <w:sz w:val="21"/>
                <w:szCs w:val="21"/>
                <w:highlight w:val="none"/>
              </w:rPr>
              <w:t>好，得13~15分；</w:t>
            </w:r>
          </w:p>
          <w:p>
            <w:pPr>
              <w:adjustRightInd w:val="0"/>
              <w:snapToGrid w:val="0"/>
              <w:spacing w:line="360" w:lineRule="exact"/>
              <w:ind w:firstLine="0" w:firstLineChars="0"/>
              <w:jc w:val="both"/>
              <w:rPr>
                <w:color w:val="auto"/>
                <w:sz w:val="21"/>
                <w:szCs w:val="21"/>
                <w:highlight w:val="none"/>
              </w:rPr>
            </w:pPr>
            <w:r>
              <w:rPr>
                <w:color w:val="auto"/>
                <w:sz w:val="21"/>
                <w:szCs w:val="21"/>
                <w:highlight w:val="none"/>
              </w:rPr>
              <w:t>较好，得11~13分；</w:t>
            </w:r>
          </w:p>
          <w:p>
            <w:pPr>
              <w:adjustRightInd w:val="0"/>
              <w:snapToGrid w:val="0"/>
              <w:spacing w:line="360" w:lineRule="exact"/>
              <w:ind w:firstLine="0" w:firstLineChars="0"/>
              <w:jc w:val="both"/>
              <w:rPr>
                <w:rFonts w:eastAsia="宋体"/>
                <w:color w:val="auto"/>
                <w:sz w:val="21"/>
                <w:szCs w:val="21"/>
                <w:highlight w:val="none"/>
              </w:rPr>
            </w:pPr>
            <w:r>
              <w:rPr>
                <w:color w:val="auto"/>
                <w:sz w:val="21"/>
                <w:szCs w:val="21"/>
                <w:highlight w:val="none"/>
              </w:rPr>
              <w:t>一般，得9~11分。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5" w:hRule="atLeast"/>
          <w:jc w:val="center"/>
        </w:trPr>
        <w:tc>
          <w:tcPr>
            <w:tcW w:w="518" w:type="pct"/>
            <w:vMerge w:val="continue"/>
            <w:noWrap w:val="0"/>
            <w:vAlign w:val="center"/>
          </w:tcPr>
          <w:p>
            <w:pPr>
              <w:adjustRightInd w:val="0"/>
              <w:snapToGrid w:val="0"/>
              <w:spacing w:line="360" w:lineRule="exact"/>
              <w:ind w:firstLine="0" w:firstLineChars="0"/>
              <w:jc w:val="both"/>
              <w:rPr>
                <w:color w:val="auto"/>
                <w:sz w:val="21"/>
                <w:szCs w:val="21"/>
                <w:highlight w:val="none"/>
              </w:rPr>
            </w:pPr>
          </w:p>
        </w:tc>
        <w:tc>
          <w:tcPr>
            <w:tcW w:w="432" w:type="pct"/>
            <w:vMerge w:val="continue"/>
            <w:noWrap w:val="0"/>
            <w:vAlign w:val="center"/>
          </w:tcPr>
          <w:p>
            <w:pPr>
              <w:adjustRightInd w:val="0"/>
              <w:snapToGrid w:val="0"/>
              <w:spacing w:line="360" w:lineRule="exact"/>
              <w:ind w:firstLine="0" w:firstLineChars="0"/>
              <w:jc w:val="center"/>
              <w:rPr>
                <w:rFonts w:eastAsia="宋体"/>
                <w:color w:val="auto"/>
                <w:sz w:val="21"/>
                <w:szCs w:val="21"/>
                <w:highlight w:val="none"/>
              </w:rPr>
            </w:pPr>
          </w:p>
        </w:tc>
        <w:tc>
          <w:tcPr>
            <w:tcW w:w="477" w:type="pct"/>
            <w:gridSpan w:val="2"/>
            <w:vMerge w:val="continue"/>
            <w:noWrap w:val="0"/>
            <w:vAlign w:val="center"/>
          </w:tcPr>
          <w:p>
            <w:pPr>
              <w:adjustRightInd w:val="0"/>
              <w:snapToGrid w:val="0"/>
              <w:spacing w:line="360" w:lineRule="exact"/>
              <w:ind w:firstLine="0" w:firstLineChars="0"/>
              <w:jc w:val="center"/>
              <w:rPr>
                <w:rFonts w:eastAsia="宋体"/>
                <w:color w:val="auto"/>
                <w:sz w:val="21"/>
                <w:szCs w:val="21"/>
                <w:highlight w:val="none"/>
              </w:rPr>
            </w:pPr>
          </w:p>
        </w:tc>
        <w:tc>
          <w:tcPr>
            <w:tcW w:w="395" w:type="pct"/>
            <w:noWrap w:val="0"/>
            <w:vAlign w:val="center"/>
          </w:tcPr>
          <w:p>
            <w:pPr>
              <w:adjustRightInd w:val="0"/>
              <w:snapToGrid w:val="0"/>
              <w:spacing w:line="360" w:lineRule="exact"/>
              <w:ind w:firstLine="0" w:firstLineChars="0"/>
              <w:jc w:val="center"/>
              <w:rPr>
                <w:rFonts w:hint="default" w:eastAsia="宋体"/>
                <w:color w:val="auto"/>
                <w:sz w:val="21"/>
                <w:szCs w:val="21"/>
                <w:highlight w:val="none"/>
                <w:lang w:val="en-US"/>
              </w:rPr>
            </w:pPr>
            <w:r>
              <w:rPr>
                <w:rFonts w:hint="eastAsia" w:eastAsia="宋体"/>
                <w:color w:val="auto"/>
                <w:sz w:val="21"/>
                <w:szCs w:val="21"/>
                <w:highlight w:val="none"/>
                <w:lang w:val="en-US" w:eastAsia="zh-CN"/>
              </w:rPr>
              <w:t>监测工作的质量保证措施</w:t>
            </w:r>
          </w:p>
        </w:tc>
        <w:tc>
          <w:tcPr>
            <w:tcW w:w="319" w:type="pct"/>
            <w:noWrap w:val="0"/>
            <w:vAlign w:val="center"/>
          </w:tcPr>
          <w:p>
            <w:pPr>
              <w:adjustRightInd w:val="0"/>
              <w:snapToGrid w:val="0"/>
              <w:spacing w:line="360" w:lineRule="exact"/>
              <w:ind w:firstLine="0" w:firstLineChars="0"/>
              <w:jc w:val="center"/>
              <w:rPr>
                <w:rFonts w:eastAsia="宋体"/>
                <w:color w:val="auto"/>
                <w:sz w:val="21"/>
                <w:szCs w:val="21"/>
                <w:highlight w:val="none"/>
              </w:rPr>
            </w:pPr>
            <w:r>
              <w:rPr>
                <w:color w:val="auto"/>
                <w:sz w:val="21"/>
                <w:szCs w:val="21"/>
                <w:highlight w:val="none"/>
              </w:rPr>
              <w:t>15分</w:t>
            </w:r>
          </w:p>
        </w:tc>
        <w:tc>
          <w:tcPr>
            <w:tcW w:w="2857" w:type="pct"/>
            <w:noWrap w:val="0"/>
            <w:vAlign w:val="center"/>
          </w:tcPr>
          <w:p>
            <w:pPr>
              <w:adjustRightInd w:val="0"/>
              <w:snapToGrid w:val="0"/>
              <w:spacing w:line="360" w:lineRule="exact"/>
              <w:ind w:firstLine="0" w:firstLineChars="0"/>
              <w:jc w:val="both"/>
              <w:rPr>
                <w:color w:val="auto"/>
                <w:sz w:val="21"/>
                <w:szCs w:val="21"/>
                <w:highlight w:val="none"/>
              </w:rPr>
            </w:pPr>
            <w:r>
              <w:rPr>
                <w:color w:val="auto"/>
                <w:sz w:val="21"/>
                <w:szCs w:val="21"/>
                <w:highlight w:val="none"/>
              </w:rPr>
              <w:t>对</w:t>
            </w:r>
            <w:r>
              <w:rPr>
                <w:rFonts w:hint="eastAsia"/>
                <w:color w:val="auto"/>
                <w:sz w:val="21"/>
                <w:szCs w:val="21"/>
                <w:highlight w:val="none"/>
                <w:lang w:val="en-US" w:eastAsia="zh-CN"/>
              </w:rPr>
              <w:t>监测工作</w:t>
            </w:r>
            <w:r>
              <w:rPr>
                <w:color w:val="auto"/>
                <w:sz w:val="21"/>
                <w:szCs w:val="21"/>
                <w:highlight w:val="none"/>
              </w:rPr>
              <w:t>质量保障措施的合理性、可行性、可靠性及管理制度的全面性、可行性等方面进行评分：</w:t>
            </w:r>
          </w:p>
          <w:p>
            <w:pPr>
              <w:adjustRightInd w:val="0"/>
              <w:snapToGrid w:val="0"/>
              <w:spacing w:line="360" w:lineRule="exact"/>
              <w:ind w:firstLine="0" w:firstLineChars="0"/>
              <w:jc w:val="both"/>
              <w:rPr>
                <w:color w:val="auto"/>
                <w:sz w:val="21"/>
                <w:szCs w:val="21"/>
                <w:highlight w:val="none"/>
              </w:rPr>
            </w:pPr>
            <w:r>
              <w:rPr>
                <w:color w:val="auto"/>
                <w:sz w:val="21"/>
                <w:szCs w:val="21"/>
                <w:highlight w:val="none"/>
              </w:rPr>
              <w:t>好，得13~15分；</w:t>
            </w:r>
          </w:p>
          <w:p>
            <w:pPr>
              <w:adjustRightInd w:val="0"/>
              <w:snapToGrid w:val="0"/>
              <w:spacing w:line="360" w:lineRule="exact"/>
              <w:ind w:firstLine="0" w:firstLineChars="0"/>
              <w:jc w:val="both"/>
              <w:rPr>
                <w:color w:val="auto"/>
                <w:sz w:val="21"/>
                <w:szCs w:val="21"/>
                <w:highlight w:val="none"/>
              </w:rPr>
            </w:pPr>
            <w:r>
              <w:rPr>
                <w:color w:val="auto"/>
                <w:sz w:val="21"/>
                <w:szCs w:val="21"/>
                <w:highlight w:val="none"/>
              </w:rPr>
              <w:t>较好，得11~13分；</w:t>
            </w:r>
          </w:p>
          <w:p>
            <w:pPr>
              <w:adjustRightInd w:val="0"/>
              <w:snapToGrid w:val="0"/>
              <w:spacing w:line="360" w:lineRule="exact"/>
              <w:ind w:firstLine="0" w:firstLineChars="0"/>
              <w:jc w:val="both"/>
              <w:rPr>
                <w:rFonts w:eastAsia="宋体"/>
                <w:color w:val="auto"/>
                <w:sz w:val="21"/>
                <w:szCs w:val="21"/>
                <w:highlight w:val="none"/>
              </w:rPr>
            </w:pPr>
            <w:r>
              <w:rPr>
                <w:color w:val="auto"/>
                <w:sz w:val="21"/>
                <w:szCs w:val="21"/>
                <w:highlight w:val="none"/>
              </w:rPr>
              <w:t>一般，得9~11分。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5" w:hRule="atLeast"/>
          <w:jc w:val="center"/>
        </w:trPr>
        <w:tc>
          <w:tcPr>
            <w:tcW w:w="518" w:type="pct"/>
            <w:vMerge w:val="continue"/>
            <w:noWrap w:val="0"/>
            <w:vAlign w:val="center"/>
          </w:tcPr>
          <w:p>
            <w:pPr>
              <w:adjustRightInd w:val="0"/>
              <w:snapToGrid w:val="0"/>
              <w:spacing w:line="360" w:lineRule="exact"/>
              <w:ind w:firstLine="0" w:firstLineChars="0"/>
              <w:jc w:val="both"/>
              <w:rPr>
                <w:color w:val="auto"/>
                <w:sz w:val="21"/>
                <w:szCs w:val="21"/>
                <w:highlight w:val="none"/>
              </w:rPr>
            </w:pPr>
          </w:p>
        </w:tc>
        <w:tc>
          <w:tcPr>
            <w:tcW w:w="432" w:type="pct"/>
            <w:vMerge w:val="continue"/>
            <w:noWrap w:val="0"/>
            <w:vAlign w:val="center"/>
          </w:tcPr>
          <w:p>
            <w:pPr>
              <w:adjustRightInd w:val="0"/>
              <w:snapToGrid w:val="0"/>
              <w:spacing w:line="360" w:lineRule="exact"/>
              <w:ind w:firstLine="0" w:firstLineChars="0"/>
              <w:jc w:val="center"/>
              <w:rPr>
                <w:rFonts w:eastAsia="宋体"/>
                <w:color w:val="auto"/>
                <w:sz w:val="21"/>
                <w:szCs w:val="21"/>
                <w:highlight w:val="none"/>
              </w:rPr>
            </w:pPr>
          </w:p>
        </w:tc>
        <w:tc>
          <w:tcPr>
            <w:tcW w:w="477" w:type="pct"/>
            <w:gridSpan w:val="2"/>
            <w:vMerge w:val="continue"/>
            <w:noWrap w:val="0"/>
            <w:vAlign w:val="center"/>
          </w:tcPr>
          <w:p>
            <w:pPr>
              <w:adjustRightInd w:val="0"/>
              <w:snapToGrid w:val="0"/>
              <w:spacing w:line="360" w:lineRule="exact"/>
              <w:ind w:firstLine="0" w:firstLineChars="0"/>
              <w:jc w:val="center"/>
              <w:rPr>
                <w:rFonts w:eastAsia="宋体"/>
                <w:color w:val="auto"/>
                <w:sz w:val="21"/>
                <w:szCs w:val="21"/>
                <w:highlight w:val="none"/>
              </w:rPr>
            </w:pPr>
          </w:p>
        </w:tc>
        <w:tc>
          <w:tcPr>
            <w:tcW w:w="395" w:type="pct"/>
            <w:noWrap w:val="0"/>
            <w:vAlign w:val="center"/>
          </w:tcPr>
          <w:p>
            <w:pPr>
              <w:adjustRightInd w:val="0"/>
              <w:snapToGrid w:val="0"/>
              <w:spacing w:line="360" w:lineRule="exact"/>
              <w:ind w:firstLine="0" w:firstLineChars="0"/>
              <w:jc w:val="center"/>
              <w:rPr>
                <w:rFonts w:eastAsia="宋体"/>
                <w:color w:val="auto"/>
                <w:sz w:val="21"/>
                <w:szCs w:val="21"/>
                <w:highlight w:val="none"/>
              </w:rPr>
            </w:pPr>
            <w:r>
              <w:rPr>
                <w:rFonts w:hint="eastAsia" w:eastAsia="宋体"/>
                <w:color w:val="auto"/>
                <w:sz w:val="21"/>
                <w:szCs w:val="21"/>
                <w:highlight w:val="none"/>
              </w:rPr>
              <w:t>对本项目</w:t>
            </w:r>
            <w:r>
              <w:rPr>
                <w:rFonts w:hint="eastAsia" w:eastAsia="宋体"/>
                <w:color w:val="auto"/>
                <w:sz w:val="21"/>
                <w:szCs w:val="21"/>
                <w:highlight w:val="none"/>
                <w:lang w:val="en-US" w:eastAsia="zh-CN"/>
              </w:rPr>
              <w:t>监测</w:t>
            </w:r>
            <w:r>
              <w:rPr>
                <w:rFonts w:hint="eastAsia" w:eastAsia="宋体"/>
                <w:color w:val="auto"/>
                <w:sz w:val="21"/>
                <w:szCs w:val="21"/>
                <w:highlight w:val="none"/>
              </w:rPr>
              <w:t>工作的合理化建议</w:t>
            </w:r>
          </w:p>
        </w:tc>
        <w:tc>
          <w:tcPr>
            <w:tcW w:w="319" w:type="pct"/>
            <w:noWrap w:val="0"/>
            <w:vAlign w:val="center"/>
          </w:tcPr>
          <w:p>
            <w:pPr>
              <w:adjustRightInd w:val="0"/>
              <w:snapToGrid w:val="0"/>
              <w:spacing w:line="360" w:lineRule="exact"/>
              <w:ind w:firstLine="0" w:firstLineChars="0"/>
              <w:jc w:val="center"/>
              <w:rPr>
                <w:rFonts w:eastAsia="宋体"/>
                <w:color w:val="auto"/>
                <w:sz w:val="21"/>
                <w:szCs w:val="21"/>
                <w:highlight w:val="none"/>
              </w:rPr>
            </w:pPr>
            <w:r>
              <w:rPr>
                <w:color w:val="auto"/>
                <w:sz w:val="21"/>
                <w:szCs w:val="21"/>
                <w:highlight w:val="none"/>
              </w:rPr>
              <w:t>10分</w:t>
            </w:r>
          </w:p>
        </w:tc>
        <w:tc>
          <w:tcPr>
            <w:tcW w:w="2857" w:type="pct"/>
            <w:noWrap w:val="0"/>
            <w:vAlign w:val="center"/>
          </w:tcPr>
          <w:p>
            <w:pPr>
              <w:adjustRightInd w:val="0"/>
              <w:snapToGrid w:val="0"/>
              <w:spacing w:line="360" w:lineRule="exact"/>
              <w:ind w:firstLine="0" w:firstLineChars="0"/>
              <w:jc w:val="both"/>
              <w:rPr>
                <w:color w:val="auto"/>
                <w:sz w:val="21"/>
                <w:szCs w:val="21"/>
                <w:highlight w:val="none"/>
              </w:rPr>
            </w:pPr>
            <w:r>
              <w:rPr>
                <w:color w:val="auto"/>
                <w:sz w:val="21"/>
                <w:szCs w:val="21"/>
                <w:highlight w:val="none"/>
              </w:rPr>
              <w:t>对投标人提出的建议的针对性、合理性、可靠性进行评分：</w:t>
            </w:r>
          </w:p>
          <w:p>
            <w:pPr>
              <w:adjustRightInd w:val="0"/>
              <w:snapToGrid w:val="0"/>
              <w:spacing w:line="360" w:lineRule="exact"/>
              <w:ind w:firstLine="0" w:firstLineChars="0"/>
              <w:jc w:val="both"/>
              <w:rPr>
                <w:color w:val="auto"/>
                <w:sz w:val="21"/>
                <w:szCs w:val="21"/>
                <w:highlight w:val="none"/>
              </w:rPr>
            </w:pPr>
            <w:r>
              <w:rPr>
                <w:color w:val="auto"/>
                <w:sz w:val="21"/>
                <w:szCs w:val="21"/>
                <w:highlight w:val="none"/>
              </w:rPr>
              <w:t>好，得9~10分；</w:t>
            </w:r>
          </w:p>
          <w:p>
            <w:pPr>
              <w:adjustRightInd w:val="0"/>
              <w:snapToGrid w:val="0"/>
              <w:spacing w:line="360" w:lineRule="exact"/>
              <w:ind w:firstLine="0" w:firstLineChars="0"/>
              <w:jc w:val="both"/>
              <w:rPr>
                <w:color w:val="auto"/>
                <w:sz w:val="21"/>
                <w:szCs w:val="21"/>
                <w:highlight w:val="none"/>
              </w:rPr>
            </w:pPr>
            <w:r>
              <w:rPr>
                <w:color w:val="auto"/>
                <w:sz w:val="21"/>
                <w:szCs w:val="21"/>
                <w:highlight w:val="none"/>
              </w:rPr>
              <w:t>较好，得7~9分；</w:t>
            </w:r>
          </w:p>
          <w:p>
            <w:pPr>
              <w:adjustRightInd w:val="0"/>
              <w:snapToGrid w:val="0"/>
              <w:spacing w:line="360" w:lineRule="exact"/>
              <w:ind w:firstLine="0" w:firstLineChars="0"/>
              <w:jc w:val="both"/>
              <w:rPr>
                <w:rFonts w:eastAsia="宋体"/>
                <w:color w:val="auto"/>
                <w:sz w:val="21"/>
                <w:szCs w:val="21"/>
                <w:highlight w:val="none"/>
              </w:rPr>
            </w:pPr>
            <w:r>
              <w:rPr>
                <w:color w:val="auto"/>
                <w:sz w:val="21"/>
                <w:szCs w:val="21"/>
                <w:highlight w:val="none"/>
              </w:rPr>
              <w:t>一般，得6~7分。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93" w:hRule="atLeast"/>
          <w:jc w:val="center"/>
        </w:trPr>
        <w:tc>
          <w:tcPr>
            <w:tcW w:w="518" w:type="pct"/>
            <w:vMerge w:val="restart"/>
            <w:noWrap w:val="0"/>
            <w:vAlign w:val="center"/>
          </w:tcPr>
          <w:p>
            <w:pPr>
              <w:adjustRightInd w:val="0"/>
              <w:snapToGrid w:val="0"/>
              <w:spacing w:line="360" w:lineRule="exact"/>
              <w:ind w:firstLine="0" w:firstLineChars="0"/>
              <w:jc w:val="center"/>
              <w:rPr>
                <w:rFonts w:hint="eastAsia" w:eastAsia="宋体"/>
                <w:color w:val="auto"/>
                <w:sz w:val="21"/>
                <w:szCs w:val="21"/>
                <w:highlight w:val="none"/>
                <w:lang w:eastAsia="zh-CN"/>
              </w:rPr>
            </w:pPr>
            <w:r>
              <w:rPr>
                <w:color w:val="auto"/>
                <w:sz w:val="21"/>
                <w:szCs w:val="21"/>
                <w:highlight w:val="none"/>
              </w:rPr>
              <w:t>2.2.4</w:t>
            </w:r>
            <w:r>
              <w:rPr>
                <w:rFonts w:hint="eastAsia"/>
                <w:color w:val="auto"/>
                <w:sz w:val="21"/>
                <w:szCs w:val="21"/>
                <w:highlight w:val="none"/>
                <w:lang w:eastAsia="zh-CN"/>
              </w:rPr>
              <w:t>（</w:t>
            </w:r>
            <w:r>
              <w:rPr>
                <w:color w:val="auto"/>
                <w:sz w:val="21"/>
                <w:szCs w:val="21"/>
                <w:highlight w:val="none"/>
              </w:rPr>
              <w:t>2</w:t>
            </w:r>
            <w:r>
              <w:rPr>
                <w:rFonts w:hint="eastAsia"/>
                <w:color w:val="auto"/>
                <w:sz w:val="21"/>
                <w:szCs w:val="21"/>
                <w:highlight w:val="none"/>
                <w:lang w:eastAsia="zh-CN"/>
              </w:rPr>
              <w:t>）</w:t>
            </w:r>
          </w:p>
        </w:tc>
        <w:tc>
          <w:tcPr>
            <w:tcW w:w="432" w:type="pct"/>
            <w:vMerge w:val="restart"/>
            <w:noWrap w:val="0"/>
            <w:vAlign w:val="center"/>
          </w:tcPr>
          <w:p>
            <w:pPr>
              <w:adjustRightInd w:val="0"/>
              <w:snapToGrid w:val="0"/>
              <w:spacing w:line="360" w:lineRule="exact"/>
              <w:ind w:firstLine="0" w:firstLineChars="0"/>
              <w:jc w:val="center"/>
              <w:rPr>
                <w:color w:val="auto"/>
                <w:sz w:val="21"/>
                <w:szCs w:val="21"/>
                <w:highlight w:val="none"/>
              </w:rPr>
            </w:pPr>
            <w:r>
              <w:rPr>
                <w:color w:val="auto"/>
                <w:sz w:val="21"/>
                <w:szCs w:val="21"/>
                <w:highlight w:val="none"/>
              </w:rPr>
              <w:t>主要</w:t>
            </w:r>
          </w:p>
          <w:p>
            <w:pPr>
              <w:adjustRightInd w:val="0"/>
              <w:snapToGrid w:val="0"/>
              <w:spacing w:line="360" w:lineRule="exact"/>
              <w:ind w:firstLine="0" w:firstLineChars="0"/>
              <w:jc w:val="center"/>
              <w:rPr>
                <w:color w:val="auto"/>
                <w:sz w:val="21"/>
                <w:szCs w:val="21"/>
                <w:highlight w:val="none"/>
              </w:rPr>
            </w:pPr>
            <w:r>
              <w:rPr>
                <w:color w:val="auto"/>
                <w:sz w:val="21"/>
                <w:szCs w:val="21"/>
                <w:highlight w:val="none"/>
              </w:rPr>
              <w:t>人员</w:t>
            </w:r>
          </w:p>
        </w:tc>
        <w:tc>
          <w:tcPr>
            <w:tcW w:w="477" w:type="pct"/>
            <w:gridSpan w:val="2"/>
            <w:vMerge w:val="restart"/>
            <w:noWrap w:val="0"/>
            <w:vAlign w:val="center"/>
          </w:tcPr>
          <w:p>
            <w:pPr>
              <w:adjustRightInd w:val="0"/>
              <w:snapToGrid w:val="0"/>
              <w:spacing w:line="360" w:lineRule="exact"/>
              <w:ind w:firstLine="0" w:firstLineChars="0"/>
              <w:jc w:val="center"/>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7</w:t>
            </w:r>
            <w:r>
              <w:rPr>
                <w:color w:val="auto"/>
                <w:sz w:val="21"/>
                <w:szCs w:val="21"/>
                <w:highlight w:val="none"/>
              </w:rPr>
              <w:t>分</w:t>
            </w:r>
          </w:p>
        </w:tc>
        <w:tc>
          <w:tcPr>
            <w:tcW w:w="395" w:type="pct"/>
            <w:noWrap w:val="0"/>
            <w:vAlign w:val="center"/>
          </w:tcPr>
          <w:p>
            <w:pPr>
              <w:adjustRightInd w:val="0"/>
              <w:snapToGrid w:val="0"/>
              <w:spacing w:line="360" w:lineRule="exact"/>
              <w:ind w:firstLine="0" w:firstLineChars="0"/>
              <w:jc w:val="center"/>
              <w:rPr>
                <w:color w:val="auto"/>
                <w:sz w:val="21"/>
                <w:szCs w:val="21"/>
                <w:highlight w:val="none"/>
              </w:rPr>
            </w:pPr>
            <w:r>
              <w:rPr>
                <w:color w:val="auto"/>
                <w:sz w:val="21"/>
                <w:szCs w:val="21"/>
                <w:highlight w:val="none"/>
              </w:rPr>
              <w:t>项目负责人任职资格与业绩</w:t>
            </w:r>
          </w:p>
        </w:tc>
        <w:tc>
          <w:tcPr>
            <w:tcW w:w="319" w:type="pct"/>
            <w:noWrap w:val="0"/>
            <w:vAlign w:val="center"/>
          </w:tcPr>
          <w:p>
            <w:pPr>
              <w:adjustRightInd w:val="0"/>
              <w:snapToGrid w:val="0"/>
              <w:spacing w:line="360" w:lineRule="exact"/>
              <w:ind w:firstLine="0" w:firstLineChars="0"/>
              <w:jc w:val="center"/>
              <w:rPr>
                <w:color w:val="auto"/>
                <w:sz w:val="21"/>
                <w:szCs w:val="21"/>
                <w:highlight w:val="none"/>
              </w:rPr>
            </w:pPr>
            <w:r>
              <w:rPr>
                <w:rFonts w:hint="eastAsia"/>
                <w:color w:val="auto"/>
                <w:sz w:val="21"/>
                <w:szCs w:val="21"/>
                <w:highlight w:val="none"/>
                <w:lang w:val="en-US" w:eastAsia="zh-CN"/>
              </w:rPr>
              <w:t>9</w:t>
            </w:r>
            <w:r>
              <w:rPr>
                <w:color w:val="auto"/>
                <w:sz w:val="21"/>
                <w:szCs w:val="21"/>
                <w:highlight w:val="none"/>
              </w:rPr>
              <w:t>分</w:t>
            </w:r>
          </w:p>
        </w:tc>
        <w:tc>
          <w:tcPr>
            <w:tcW w:w="2857" w:type="pct"/>
            <w:noWrap w:val="0"/>
            <w:vAlign w:val="center"/>
          </w:tcPr>
          <w:p>
            <w:pPr>
              <w:adjustRightInd w:val="0"/>
              <w:snapToGrid w:val="0"/>
              <w:spacing w:line="360" w:lineRule="exact"/>
              <w:ind w:firstLine="0" w:firstLineChars="0"/>
              <w:jc w:val="both"/>
              <w:rPr>
                <w:rFonts w:hint="eastAsia"/>
                <w:color w:val="auto"/>
                <w:sz w:val="21"/>
                <w:szCs w:val="21"/>
                <w:highlight w:val="none"/>
                <w:lang w:val="en-US" w:eastAsia="zh-CN"/>
              </w:rPr>
            </w:pPr>
            <w:r>
              <w:rPr>
                <w:rFonts w:hint="eastAsia" w:eastAsia="宋体"/>
                <w:b/>
                <w:bCs/>
                <w:color w:val="auto"/>
                <w:sz w:val="21"/>
                <w:szCs w:val="22"/>
                <w:highlight w:val="none"/>
                <w:lang w:val="en-US" w:eastAsia="zh-CN"/>
              </w:rPr>
              <w:t>APQLJK-01标段~APQLJK-05标段：</w:t>
            </w:r>
          </w:p>
          <w:p>
            <w:pPr>
              <w:adjustRightInd w:val="0"/>
              <w:snapToGrid w:val="0"/>
              <w:spacing w:line="360" w:lineRule="exact"/>
              <w:ind w:firstLine="0" w:firstLineChars="0"/>
              <w:jc w:val="both"/>
              <w:rPr>
                <w:rFonts w:hint="default"/>
                <w:color w:val="auto"/>
                <w:sz w:val="21"/>
                <w:szCs w:val="21"/>
                <w:highlight w:val="none"/>
              </w:rPr>
            </w:pPr>
            <w:r>
              <w:rPr>
                <w:rFonts w:hint="eastAsia"/>
                <w:color w:val="auto"/>
                <w:sz w:val="21"/>
                <w:szCs w:val="21"/>
                <w:highlight w:val="none"/>
                <w:lang w:val="en-US" w:eastAsia="zh-CN"/>
              </w:rPr>
              <w:t>1.</w:t>
            </w:r>
            <w:r>
              <w:rPr>
                <w:color w:val="auto"/>
                <w:sz w:val="21"/>
                <w:szCs w:val="21"/>
                <w:highlight w:val="none"/>
              </w:rPr>
              <w:t>满足最低资格条件要求的，得</w:t>
            </w:r>
            <w:r>
              <w:rPr>
                <w:rFonts w:hint="eastAsia"/>
                <w:color w:val="auto"/>
                <w:sz w:val="21"/>
                <w:szCs w:val="21"/>
                <w:highlight w:val="none"/>
                <w:lang w:val="en-US" w:eastAsia="zh-CN"/>
              </w:rPr>
              <w:t>3</w:t>
            </w:r>
            <w:r>
              <w:rPr>
                <w:color w:val="auto"/>
                <w:sz w:val="21"/>
                <w:szCs w:val="21"/>
                <w:highlight w:val="none"/>
              </w:rPr>
              <w:t>分。</w:t>
            </w:r>
          </w:p>
          <w:p>
            <w:pPr>
              <w:adjustRightInd w:val="0"/>
              <w:snapToGrid w:val="0"/>
              <w:spacing w:line="360" w:lineRule="exact"/>
              <w:ind w:firstLine="0" w:firstLineChars="0"/>
              <w:jc w:val="both"/>
              <w:rPr>
                <w:rFonts w:hint="eastAsia"/>
                <w:color w:val="auto"/>
                <w:sz w:val="21"/>
                <w:szCs w:val="21"/>
                <w:highlight w:val="none"/>
                <w:lang w:eastAsia="zh-CN"/>
              </w:rPr>
            </w:pPr>
            <w:r>
              <w:rPr>
                <w:color w:val="auto"/>
                <w:sz w:val="21"/>
                <w:szCs w:val="21"/>
                <w:highlight w:val="none"/>
              </w:rPr>
              <w:t>2.</w:t>
            </w:r>
            <w:r>
              <w:rPr>
                <w:rFonts w:hint="eastAsia"/>
                <w:color w:val="auto"/>
                <w:sz w:val="21"/>
                <w:szCs w:val="21"/>
                <w:highlight w:val="none"/>
                <w:lang w:val="en-US" w:eastAsia="zh-CN"/>
              </w:rPr>
              <w:t>每</w:t>
            </w:r>
            <w:r>
              <w:rPr>
                <w:rFonts w:hint="default"/>
                <w:color w:val="auto"/>
                <w:sz w:val="21"/>
                <w:szCs w:val="21"/>
                <w:highlight w:val="none"/>
              </w:rPr>
              <w:t>担任过</w:t>
            </w:r>
            <w:r>
              <w:rPr>
                <w:rFonts w:hint="default"/>
                <w:color w:val="auto"/>
                <w:sz w:val="21"/>
                <w:szCs w:val="21"/>
                <w:highlight w:val="none"/>
                <w:lang w:val="en-US" w:eastAsia="zh-CN"/>
              </w:rPr>
              <w:t>1个高速</w:t>
            </w:r>
            <w:r>
              <w:rPr>
                <w:rFonts w:hint="default"/>
                <w:color w:val="auto"/>
                <w:sz w:val="21"/>
                <w:szCs w:val="21"/>
                <w:highlight w:val="none"/>
              </w:rPr>
              <w:t>公路</w:t>
            </w:r>
            <w:r>
              <w:rPr>
                <w:rFonts w:hint="default"/>
                <w:color w:val="auto"/>
                <w:sz w:val="21"/>
                <w:szCs w:val="21"/>
                <w:highlight w:val="none"/>
                <w:lang w:val="en-US" w:eastAsia="zh-CN"/>
              </w:rPr>
              <w:t>桥梁</w:t>
            </w:r>
            <w:r>
              <w:rPr>
                <w:rFonts w:hint="default"/>
                <w:color w:val="auto"/>
                <w:sz w:val="21"/>
                <w:szCs w:val="21"/>
                <w:highlight w:val="none"/>
              </w:rPr>
              <w:t>施工监控项目</w:t>
            </w:r>
            <w:r>
              <w:rPr>
                <w:rFonts w:hint="eastAsia"/>
                <w:color w:val="auto"/>
                <w:sz w:val="21"/>
                <w:szCs w:val="21"/>
                <w:highlight w:val="none"/>
                <w:lang w:val="en-US" w:eastAsia="zh-CN"/>
              </w:rPr>
              <w:t>的项目</w:t>
            </w:r>
            <w:r>
              <w:rPr>
                <w:rFonts w:hint="default"/>
                <w:color w:val="auto"/>
                <w:sz w:val="21"/>
                <w:szCs w:val="21"/>
                <w:highlight w:val="none"/>
              </w:rPr>
              <w:t>负责人</w:t>
            </w:r>
            <w:r>
              <w:rPr>
                <w:rFonts w:hint="eastAsia"/>
                <w:color w:val="auto"/>
                <w:sz w:val="21"/>
                <w:szCs w:val="21"/>
                <w:highlight w:val="none"/>
                <w:lang w:val="en-US" w:eastAsia="zh-CN"/>
              </w:rPr>
              <w:t>或技术负责人职务</w:t>
            </w:r>
            <w:r>
              <w:rPr>
                <w:rFonts w:hint="default"/>
                <w:color w:val="auto"/>
                <w:sz w:val="21"/>
                <w:szCs w:val="21"/>
                <w:highlight w:val="none"/>
              </w:rPr>
              <w:t>的，每1个项目加</w:t>
            </w:r>
            <w:r>
              <w:rPr>
                <w:rFonts w:hint="eastAsia"/>
                <w:color w:val="auto"/>
                <w:sz w:val="21"/>
                <w:szCs w:val="21"/>
                <w:highlight w:val="none"/>
                <w:lang w:val="en-US" w:eastAsia="zh-CN"/>
              </w:rPr>
              <w:t>6</w:t>
            </w:r>
            <w:r>
              <w:rPr>
                <w:rFonts w:hint="default"/>
                <w:color w:val="auto"/>
                <w:sz w:val="21"/>
                <w:szCs w:val="21"/>
                <w:highlight w:val="none"/>
              </w:rPr>
              <w:t>分，此项最多加</w:t>
            </w:r>
            <w:r>
              <w:rPr>
                <w:rFonts w:hint="default"/>
                <w:color w:val="auto"/>
                <w:sz w:val="21"/>
                <w:szCs w:val="21"/>
                <w:highlight w:val="none"/>
                <w:lang w:val="en-US" w:eastAsia="zh-CN"/>
              </w:rPr>
              <w:t>6</w:t>
            </w:r>
            <w:r>
              <w:rPr>
                <w:rFonts w:hint="default"/>
                <w:color w:val="auto"/>
                <w:sz w:val="21"/>
                <w:szCs w:val="21"/>
                <w:highlight w:val="none"/>
              </w:rPr>
              <w:t>分</w:t>
            </w:r>
            <w:r>
              <w:rPr>
                <w:rFonts w:hint="eastAsia"/>
                <w:color w:val="auto"/>
                <w:sz w:val="21"/>
                <w:szCs w:val="21"/>
                <w:highlight w:val="none"/>
                <w:lang w:eastAsia="zh-CN"/>
              </w:rPr>
              <w:t>。</w:t>
            </w:r>
          </w:p>
          <w:p>
            <w:pPr>
              <w:adjustRightInd w:val="0"/>
              <w:snapToGrid w:val="0"/>
              <w:spacing w:line="360" w:lineRule="exact"/>
              <w:ind w:firstLine="0" w:firstLineChars="0"/>
              <w:jc w:val="both"/>
              <w:rPr>
                <w:rFonts w:hint="eastAsia" w:eastAsia="宋体"/>
                <w:color w:val="auto"/>
                <w:sz w:val="21"/>
                <w:szCs w:val="21"/>
                <w:highlight w:val="none"/>
                <w:lang w:val="en-US" w:eastAsia="zh-CN"/>
              </w:rPr>
            </w:pPr>
            <w:r>
              <w:rPr>
                <w:rFonts w:hint="eastAsia" w:eastAsia="宋体"/>
                <w:b/>
                <w:bCs/>
                <w:color w:val="auto"/>
                <w:sz w:val="21"/>
                <w:szCs w:val="22"/>
                <w:highlight w:val="none"/>
                <w:lang w:val="en-US" w:eastAsia="zh-CN"/>
              </w:rPr>
              <w:t>APBPJC-01标段~APBPJC-04标段：</w:t>
            </w:r>
          </w:p>
          <w:p>
            <w:pPr>
              <w:adjustRightInd w:val="0"/>
              <w:snapToGrid w:val="0"/>
              <w:spacing w:line="360" w:lineRule="exact"/>
              <w:ind w:firstLine="0" w:firstLineChars="0"/>
              <w:jc w:val="both"/>
              <w:rPr>
                <w:rFonts w:hint="default" w:eastAsia="宋体"/>
                <w:color w:val="auto"/>
                <w:sz w:val="21"/>
                <w:szCs w:val="21"/>
                <w:highlight w:val="none"/>
              </w:rPr>
            </w:pPr>
            <w:r>
              <w:rPr>
                <w:rFonts w:hint="eastAsia" w:eastAsia="宋体"/>
                <w:color w:val="auto"/>
                <w:sz w:val="21"/>
                <w:szCs w:val="21"/>
                <w:highlight w:val="none"/>
                <w:lang w:val="en-US" w:eastAsia="zh-CN"/>
              </w:rPr>
              <w:t>1.</w:t>
            </w:r>
            <w:r>
              <w:rPr>
                <w:rFonts w:eastAsia="宋体"/>
                <w:color w:val="auto"/>
                <w:sz w:val="21"/>
                <w:szCs w:val="21"/>
                <w:highlight w:val="none"/>
              </w:rPr>
              <w:t>满足最低资格条件要求的，得</w:t>
            </w:r>
            <w:r>
              <w:rPr>
                <w:rFonts w:hint="eastAsia" w:eastAsia="宋体"/>
                <w:color w:val="auto"/>
                <w:sz w:val="21"/>
                <w:szCs w:val="21"/>
                <w:highlight w:val="none"/>
                <w:lang w:val="en-US" w:eastAsia="zh-CN"/>
              </w:rPr>
              <w:t>3</w:t>
            </w:r>
            <w:r>
              <w:rPr>
                <w:rFonts w:eastAsia="宋体"/>
                <w:color w:val="auto"/>
                <w:sz w:val="21"/>
                <w:szCs w:val="21"/>
                <w:highlight w:val="none"/>
              </w:rPr>
              <w:t>分。</w:t>
            </w:r>
          </w:p>
          <w:p>
            <w:pPr>
              <w:adjustRightInd w:val="0"/>
              <w:snapToGrid w:val="0"/>
              <w:spacing w:line="360" w:lineRule="exact"/>
              <w:ind w:firstLine="0" w:firstLineChars="0"/>
              <w:jc w:val="both"/>
              <w:rPr>
                <w:rFonts w:hint="default"/>
                <w:color w:val="auto"/>
                <w:sz w:val="21"/>
                <w:szCs w:val="21"/>
                <w:highlight w:val="none"/>
              </w:rPr>
            </w:pPr>
            <w:r>
              <w:rPr>
                <w:rFonts w:eastAsia="宋体"/>
                <w:color w:val="auto"/>
                <w:sz w:val="21"/>
                <w:szCs w:val="21"/>
                <w:highlight w:val="none"/>
              </w:rPr>
              <w:t>2.</w:t>
            </w:r>
            <w:r>
              <w:rPr>
                <w:rFonts w:hint="eastAsia" w:eastAsia="宋体"/>
                <w:color w:val="auto"/>
                <w:sz w:val="21"/>
                <w:szCs w:val="21"/>
                <w:highlight w:val="none"/>
                <w:lang w:val="en-US" w:eastAsia="zh-CN"/>
              </w:rPr>
              <w:t>每</w:t>
            </w:r>
            <w:r>
              <w:rPr>
                <w:rFonts w:hint="default" w:eastAsia="宋体"/>
                <w:color w:val="auto"/>
                <w:sz w:val="21"/>
                <w:szCs w:val="21"/>
                <w:highlight w:val="none"/>
              </w:rPr>
              <w:t>担任过</w:t>
            </w:r>
            <w:r>
              <w:rPr>
                <w:rFonts w:hint="default" w:eastAsia="宋体"/>
                <w:color w:val="auto"/>
                <w:sz w:val="21"/>
                <w:szCs w:val="21"/>
                <w:highlight w:val="none"/>
                <w:lang w:val="en-US" w:eastAsia="zh-CN"/>
              </w:rPr>
              <w:t>1个</w:t>
            </w:r>
            <w:r>
              <w:rPr>
                <w:rFonts w:hint="default" w:eastAsia="宋体"/>
                <w:b/>
                <w:bCs/>
                <w:color w:val="auto"/>
                <w:sz w:val="21"/>
                <w:szCs w:val="21"/>
                <w:highlight w:val="none"/>
                <w:lang w:val="en-US" w:eastAsia="zh-CN"/>
              </w:rPr>
              <w:t>高速</w:t>
            </w:r>
            <w:r>
              <w:rPr>
                <w:rFonts w:hint="default" w:eastAsia="宋体"/>
                <w:b/>
                <w:bCs/>
                <w:color w:val="auto"/>
                <w:sz w:val="21"/>
                <w:szCs w:val="21"/>
                <w:highlight w:val="none"/>
              </w:rPr>
              <w:t>公路</w:t>
            </w:r>
            <w:r>
              <w:rPr>
                <w:rFonts w:hint="eastAsia" w:eastAsia="宋体"/>
                <w:b/>
                <w:bCs/>
                <w:color w:val="auto"/>
                <w:sz w:val="21"/>
                <w:szCs w:val="21"/>
                <w:highlight w:val="none"/>
                <w:lang w:val="en-US" w:eastAsia="zh-CN"/>
              </w:rPr>
              <w:t>高边坡监测</w:t>
            </w:r>
            <w:r>
              <w:rPr>
                <w:rFonts w:hint="eastAsia" w:eastAsia="宋体"/>
                <w:color w:val="auto"/>
                <w:sz w:val="21"/>
                <w:szCs w:val="21"/>
                <w:highlight w:val="none"/>
                <w:lang w:val="en-US" w:eastAsia="zh-CN"/>
              </w:rPr>
              <w:t>项目的</w:t>
            </w:r>
            <w:r>
              <w:rPr>
                <w:rFonts w:hint="default" w:eastAsia="宋体"/>
                <w:color w:val="auto"/>
                <w:sz w:val="21"/>
                <w:szCs w:val="21"/>
                <w:highlight w:val="none"/>
              </w:rPr>
              <w:t>项目负责人</w:t>
            </w:r>
            <w:r>
              <w:rPr>
                <w:rFonts w:hint="eastAsia" w:eastAsia="宋体"/>
                <w:color w:val="auto"/>
                <w:sz w:val="21"/>
                <w:szCs w:val="21"/>
                <w:highlight w:val="none"/>
                <w:lang w:val="en-US" w:eastAsia="zh-CN"/>
              </w:rPr>
              <w:t>或技术负责人职务</w:t>
            </w:r>
            <w:r>
              <w:rPr>
                <w:rFonts w:hint="default" w:eastAsia="宋体"/>
                <w:color w:val="auto"/>
                <w:sz w:val="21"/>
                <w:szCs w:val="21"/>
                <w:highlight w:val="none"/>
              </w:rPr>
              <w:t>的，每1个项目加</w:t>
            </w:r>
            <w:r>
              <w:rPr>
                <w:rFonts w:hint="eastAsia" w:eastAsia="宋体"/>
                <w:color w:val="auto"/>
                <w:sz w:val="21"/>
                <w:szCs w:val="21"/>
                <w:highlight w:val="none"/>
                <w:lang w:val="en-US" w:eastAsia="zh-CN"/>
              </w:rPr>
              <w:t>6</w:t>
            </w:r>
            <w:r>
              <w:rPr>
                <w:rFonts w:hint="default" w:eastAsia="宋体"/>
                <w:color w:val="auto"/>
                <w:sz w:val="21"/>
                <w:szCs w:val="21"/>
                <w:highlight w:val="none"/>
              </w:rPr>
              <w:t>分，此项最多加</w:t>
            </w:r>
            <w:r>
              <w:rPr>
                <w:rFonts w:hint="default" w:eastAsia="宋体"/>
                <w:color w:val="auto"/>
                <w:sz w:val="21"/>
                <w:szCs w:val="21"/>
                <w:highlight w:val="none"/>
                <w:lang w:val="en-US" w:eastAsia="zh-CN"/>
              </w:rPr>
              <w:t>6</w:t>
            </w:r>
            <w:r>
              <w:rPr>
                <w:rFonts w:hint="default" w:eastAsia="宋体"/>
                <w:color w:val="auto"/>
                <w:sz w:val="21"/>
                <w:szCs w:val="21"/>
                <w:highlight w:val="none"/>
              </w:rPr>
              <w:t>分</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96" w:hRule="atLeast"/>
          <w:jc w:val="center"/>
        </w:trPr>
        <w:tc>
          <w:tcPr>
            <w:tcW w:w="518" w:type="pct"/>
            <w:vMerge w:val="continue"/>
            <w:noWrap w:val="0"/>
            <w:vAlign w:val="center"/>
          </w:tcPr>
          <w:p>
            <w:pPr>
              <w:adjustRightInd w:val="0"/>
              <w:snapToGrid w:val="0"/>
              <w:spacing w:line="360" w:lineRule="exact"/>
              <w:ind w:firstLine="0" w:firstLineChars="0"/>
              <w:jc w:val="center"/>
              <w:rPr>
                <w:color w:val="auto"/>
                <w:sz w:val="21"/>
                <w:szCs w:val="21"/>
                <w:highlight w:val="none"/>
              </w:rPr>
            </w:pPr>
          </w:p>
        </w:tc>
        <w:tc>
          <w:tcPr>
            <w:tcW w:w="432" w:type="pct"/>
            <w:vMerge w:val="continue"/>
            <w:noWrap w:val="0"/>
            <w:vAlign w:val="center"/>
          </w:tcPr>
          <w:p>
            <w:pPr>
              <w:adjustRightInd w:val="0"/>
              <w:snapToGrid w:val="0"/>
              <w:spacing w:line="360" w:lineRule="exact"/>
              <w:ind w:firstLine="0" w:firstLineChars="0"/>
              <w:jc w:val="center"/>
              <w:rPr>
                <w:color w:val="auto"/>
                <w:sz w:val="21"/>
                <w:szCs w:val="21"/>
                <w:highlight w:val="none"/>
              </w:rPr>
            </w:pPr>
          </w:p>
        </w:tc>
        <w:tc>
          <w:tcPr>
            <w:tcW w:w="477" w:type="pct"/>
            <w:gridSpan w:val="2"/>
            <w:vMerge w:val="continue"/>
            <w:noWrap w:val="0"/>
            <w:vAlign w:val="center"/>
          </w:tcPr>
          <w:p>
            <w:pPr>
              <w:adjustRightInd w:val="0"/>
              <w:snapToGrid w:val="0"/>
              <w:spacing w:line="360" w:lineRule="exact"/>
              <w:ind w:firstLine="0" w:firstLineChars="0"/>
              <w:jc w:val="center"/>
              <w:rPr>
                <w:color w:val="auto"/>
                <w:sz w:val="21"/>
                <w:szCs w:val="21"/>
                <w:highlight w:val="none"/>
              </w:rPr>
            </w:pPr>
          </w:p>
        </w:tc>
        <w:tc>
          <w:tcPr>
            <w:tcW w:w="395" w:type="pct"/>
            <w:noWrap w:val="0"/>
            <w:vAlign w:val="center"/>
          </w:tcPr>
          <w:p>
            <w:pPr>
              <w:adjustRightInd w:val="0"/>
              <w:snapToGrid w:val="0"/>
              <w:spacing w:line="360" w:lineRule="exact"/>
              <w:ind w:firstLine="0" w:firstLineChars="0"/>
              <w:jc w:val="center"/>
              <w:rPr>
                <w:color w:val="auto"/>
                <w:sz w:val="21"/>
                <w:szCs w:val="21"/>
                <w:highlight w:val="none"/>
              </w:rPr>
            </w:pPr>
            <w:r>
              <w:rPr>
                <w:color w:val="auto"/>
                <w:sz w:val="21"/>
                <w:szCs w:val="21"/>
                <w:highlight w:val="none"/>
              </w:rPr>
              <w:t>技术负责人任职资格与业绩</w:t>
            </w:r>
          </w:p>
        </w:tc>
        <w:tc>
          <w:tcPr>
            <w:tcW w:w="319" w:type="pct"/>
            <w:noWrap w:val="0"/>
            <w:vAlign w:val="center"/>
          </w:tcPr>
          <w:p>
            <w:pPr>
              <w:adjustRightInd w:val="0"/>
              <w:snapToGrid w:val="0"/>
              <w:spacing w:line="36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8</w:t>
            </w:r>
            <w:r>
              <w:rPr>
                <w:rFonts w:hint="default"/>
                <w:color w:val="auto"/>
                <w:sz w:val="21"/>
                <w:szCs w:val="21"/>
                <w:highlight w:val="none"/>
                <w:lang w:val="en-US" w:eastAsia="zh-CN"/>
              </w:rPr>
              <w:t>分</w:t>
            </w:r>
          </w:p>
        </w:tc>
        <w:tc>
          <w:tcPr>
            <w:tcW w:w="2857" w:type="pct"/>
            <w:noWrap w:val="0"/>
            <w:vAlign w:val="center"/>
          </w:tcPr>
          <w:p>
            <w:pPr>
              <w:adjustRightInd w:val="0"/>
              <w:snapToGrid w:val="0"/>
              <w:spacing w:line="360" w:lineRule="exact"/>
              <w:ind w:firstLine="0" w:firstLineChars="0"/>
              <w:jc w:val="both"/>
              <w:rPr>
                <w:rFonts w:hint="default"/>
                <w:color w:val="auto"/>
                <w:sz w:val="21"/>
                <w:szCs w:val="21"/>
                <w:highlight w:val="none"/>
                <w:lang w:val="en-US" w:eastAsia="zh-CN"/>
              </w:rPr>
            </w:pPr>
            <w:r>
              <w:rPr>
                <w:rFonts w:hint="eastAsia" w:eastAsia="宋体"/>
                <w:b/>
                <w:bCs/>
                <w:color w:val="auto"/>
                <w:sz w:val="21"/>
                <w:szCs w:val="22"/>
                <w:highlight w:val="none"/>
                <w:lang w:val="en-US" w:eastAsia="zh-CN"/>
              </w:rPr>
              <w:t>APQLJK-01标段~APQLJK-05标段：</w:t>
            </w:r>
          </w:p>
          <w:p>
            <w:pPr>
              <w:adjustRightInd w:val="0"/>
              <w:snapToGrid w:val="0"/>
              <w:spacing w:line="360" w:lineRule="exact"/>
              <w:ind w:firstLine="0" w:firstLineChars="0"/>
              <w:jc w:val="both"/>
              <w:rPr>
                <w:rFonts w:hint="default"/>
                <w:color w:val="auto"/>
                <w:sz w:val="21"/>
                <w:szCs w:val="21"/>
                <w:highlight w:val="none"/>
                <w:lang w:val="en-US" w:eastAsia="zh-CN"/>
              </w:rPr>
            </w:pPr>
            <w:r>
              <w:rPr>
                <w:rFonts w:hint="default"/>
                <w:color w:val="auto"/>
                <w:sz w:val="21"/>
                <w:szCs w:val="21"/>
                <w:highlight w:val="none"/>
                <w:lang w:val="en-US" w:eastAsia="zh-CN"/>
              </w:rPr>
              <w:t>1.满足最低资格条件要求的，得</w:t>
            </w:r>
            <w:r>
              <w:rPr>
                <w:rFonts w:hint="eastAsia"/>
                <w:color w:val="auto"/>
                <w:sz w:val="21"/>
                <w:szCs w:val="21"/>
                <w:highlight w:val="none"/>
                <w:lang w:val="en-US" w:eastAsia="zh-CN"/>
              </w:rPr>
              <w:t>4</w:t>
            </w:r>
            <w:r>
              <w:rPr>
                <w:rFonts w:hint="default"/>
                <w:color w:val="auto"/>
                <w:sz w:val="21"/>
                <w:szCs w:val="21"/>
                <w:highlight w:val="none"/>
                <w:lang w:val="en-US" w:eastAsia="zh-CN"/>
              </w:rPr>
              <w:t>分。</w:t>
            </w:r>
          </w:p>
          <w:p>
            <w:pPr>
              <w:adjustRightInd w:val="0"/>
              <w:snapToGrid w:val="0"/>
              <w:spacing w:line="360" w:lineRule="exact"/>
              <w:ind w:firstLine="0" w:firstLineChars="0"/>
              <w:jc w:val="both"/>
              <w:rPr>
                <w:rFonts w:hint="eastAsia"/>
                <w:color w:val="auto"/>
                <w:sz w:val="21"/>
                <w:szCs w:val="21"/>
                <w:highlight w:val="none"/>
                <w:lang w:val="en-US" w:eastAsia="zh-CN"/>
              </w:rPr>
            </w:pPr>
            <w:r>
              <w:rPr>
                <w:rFonts w:hint="default"/>
                <w:color w:val="auto"/>
                <w:sz w:val="21"/>
                <w:szCs w:val="21"/>
                <w:highlight w:val="none"/>
                <w:lang w:val="en-US" w:eastAsia="zh-CN"/>
              </w:rPr>
              <w:t>2.</w:t>
            </w:r>
            <w:r>
              <w:rPr>
                <w:rFonts w:hint="eastAsia"/>
                <w:color w:val="auto"/>
                <w:sz w:val="21"/>
                <w:szCs w:val="21"/>
                <w:highlight w:val="none"/>
                <w:lang w:val="en-US" w:eastAsia="zh-CN"/>
              </w:rPr>
              <w:t>每担任过1个高速公路桥梁施工监控项目的项目负责人或技术负责人职务的</w:t>
            </w:r>
            <w:r>
              <w:rPr>
                <w:rFonts w:hint="default"/>
                <w:color w:val="auto"/>
                <w:sz w:val="21"/>
                <w:szCs w:val="21"/>
                <w:highlight w:val="none"/>
                <w:lang w:val="en-US" w:eastAsia="zh-CN"/>
              </w:rPr>
              <w:t>，每1个项目加</w:t>
            </w:r>
            <w:r>
              <w:rPr>
                <w:rFonts w:hint="eastAsia"/>
                <w:color w:val="auto"/>
                <w:sz w:val="21"/>
                <w:szCs w:val="21"/>
                <w:highlight w:val="none"/>
                <w:lang w:val="en-US" w:eastAsia="zh-CN"/>
              </w:rPr>
              <w:t>4</w:t>
            </w:r>
            <w:r>
              <w:rPr>
                <w:rFonts w:hint="default"/>
                <w:color w:val="auto"/>
                <w:sz w:val="21"/>
                <w:szCs w:val="21"/>
                <w:highlight w:val="none"/>
                <w:lang w:val="en-US" w:eastAsia="zh-CN"/>
              </w:rPr>
              <w:t>分，此项最多加4分</w:t>
            </w:r>
            <w:r>
              <w:rPr>
                <w:rFonts w:hint="eastAsia"/>
                <w:color w:val="auto"/>
                <w:sz w:val="21"/>
                <w:szCs w:val="21"/>
                <w:highlight w:val="none"/>
                <w:lang w:val="en-US" w:eastAsia="zh-CN"/>
              </w:rPr>
              <w:t>。</w:t>
            </w:r>
          </w:p>
          <w:p>
            <w:pPr>
              <w:adjustRightInd w:val="0"/>
              <w:snapToGrid w:val="0"/>
              <w:spacing w:line="360" w:lineRule="exact"/>
              <w:ind w:firstLine="0" w:firstLineChars="0"/>
              <w:jc w:val="both"/>
              <w:rPr>
                <w:rFonts w:hint="eastAsia" w:eastAsia="宋体"/>
                <w:color w:val="auto"/>
                <w:sz w:val="21"/>
                <w:szCs w:val="21"/>
                <w:highlight w:val="none"/>
                <w:lang w:val="en-US" w:eastAsia="zh-CN"/>
              </w:rPr>
            </w:pPr>
            <w:r>
              <w:rPr>
                <w:rFonts w:hint="eastAsia" w:eastAsia="宋体"/>
                <w:b/>
                <w:bCs/>
                <w:color w:val="auto"/>
                <w:sz w:val="21"/>
                <w:szCs w:val="22"/>
                <w:highlight w:val="none"/>
                <w:lang w:val="en-US" w:eastAsia="zh-CN"/>
              </w:rPr>
              <w:t>APBPJC-01标段~APBPJC-04标段：</w:t>
            </w:r>
          </w:p>
          <w:p>
            <w:pPr>
              <w:adjustRightInd w:val="0"/>
              <w:snapToGrid w:val="0"/>
              <w:spacing w:line="360" w:lineRule="exact"/>
              <w:ind w:firstLine="0" w:firstLineChars="0"/>
              <w:jc w:val="both"/>
              <w:rPr>
                <w:rFonts w:hint="default" w:eastAsia="宋体"/>
                <w:color w:val="auto"/>
                <w:sz w:val="21"/>
                <w:szCs w:val="21"/>
                <w:highlight w:val="none"/>
              </w:rPr>
            </w:pPr>
            <w:r>
              <w:rPr>
                <w:rFonts w:hint="eastAsia" w:eastAsia="宋体"/>
                <w:color w:val="auto"/>
                <w:sz w:val="21"/>
                <w:szCs w:val="21"/>
                <w:highlight w:val="none"/>
                <w:lang w:val="en-US" w:eastAsia="zh-CN"/>
              </w:rPr>
              <w:t>1.</w:t>
            </w:r>
            <w:r>
              <w:rPr>
                <w:rFonts w:eastAsia="宋体"/>
                <w:color w:val="auto"/>
                <w:sz w:val="21"/>
                <w:szCs w:val="21"/>
                <w:highlight w:val="none"/>
              </w:rPr>
              <w:t>满足最低资格条件要求的，得</w:t>
            </w:r>
            <w:r>
              <w:rPr>
                <w:rFonts w:hint="default" w:eastAsia="宋体"/>
                <w:color w:val="auto"/>
                <w:sz w:val="21"/>
                <w:szCs w:val="21"/>
                <w:highlight w:val="none"/>
                <w:lang w:val="en-US" w:eastAsia="zh-CN"/>
              </w:rPr>
              <w:t>4</w:t>
            </w:r>
            <w:r>
              <w:rPr>
                <w:rFonts w:eastAsia="宋体"/>
                <w:color w:val="auto"/>
                <w:sz w:val="21"/>
                <w:szCs w:val="21"/>
                <w:highlight w:val="none"/>
              </w:rPr>
              <w:t>分。</w:t>
            </w:r>
          </w:p>
          <w:p>
            <w:pPr>
              <w:adjustRightInd w:val="0"/>
              <w:snapToGrid w:val="0"/>
              <w:spacing w:line="360" w:lineRule="exact"/>
              <w:ind w:firstLine="0" w:firstLineChars="0"/>
              <w:jc w:val="both"/>
              <w:rPr>
                <w:rFonts w:hint="default"/>
                <w:color w:val="auto"/>
                <w:sz w:val="21"/>
                <w:szCs w:val="21"/>
                <w:highlight w:val="none"/>
                <w:lang w:val="en-US" w:eastAsia="zh-CN"/>
              </w:rPr>
            </w:pPr>
            <w:r>
              <w:rPr>
                <w:rFonts w:eastAsia="宋体"/>
                <w:color w:val="auto"/>
                <w:sz w:val="21"/>
                <w:szCs w:val="21"/>
                <w:highlight w:val="none"/>
              </w:rPr>
              <w:t>2.</w:t>
            </w:r>
            <w:r>
              <w:rPr>
                <w:rFonts w:hint="eastAsia" w:eastAsia="宋体"/>
                <w:color w:val="auto"/>
                <w:sz w:val="21"/>
                <w:szCs w:val="21"/>
                <w:highlight w:val="none"/>
                <w:lang w:val="en-US" w:eastAsia="zh-CN"/>
              </w:rPr>
              <w:t>每担任过1个</w:t>
            </w:r>
            <w:r>
              <w:rPr>
                <w:rFonts w:hint="eastAsia" w:eastAsia="宋体"/>
                <w:b/>
                <w:bCs/>
                <w:color w:val="auto"/>
                <w:sz w:val="21"/>
                <w:szCs w:val="21"/>
                <w:highlight w:val="none"/>
                <w:lang w:val="en-US" w:eastAsia="zh-CN"/>
              </w:rPr>
              <w:t>高速公路高边坡监测</w:t>
            </w:r>
            <w:r>
              <w:rPr>
                <w:rFonts w:hint="eastAsia" w:eastAsia="宋体"/>
                <w:color w:val="auto"/>
                <w:sz w:val="21"/>
                <w:szCs w:val="21"/>
                <w:highlight w:val="none"/>
                <w:lang w:val="en-US" w:eastAsia="zh-CN"/>
              </w:rPr>
              <w:t>项目的项目负责人或技术负责人职务的，每1个项目加4分，此项最多加4分</w:t>
            </w:r>
            <w:r>
              <w:rPr>
                <w:rFonts w:hint="default"/>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518" w:type="pct"/>
            <w:noWrap w:val="0"/>
            <w:vAlign w:val="center"/>
          </w:tcPr>
          <w:p>
            <w:pPr>
              <w:adjustRightInd w:val="0"/>
              <w:snapToGrid w:val="0"/>
              <w:spacing w:line="360" w:lineRule="exact"/>
              <w:ind w:firstLine="0" w:firstLineChars="0"/>
              <w:jc w:val="center"/>
              <w:rPr>
                <w:rFonts w:hint="eastAsia" w:eastAsia="宋体"/>
                <w:color w:val="auto"/>
                <w:sz w:val="21"/>
                <w:szCs w:val="21"/>
                <w:highlight w:val="none"/>
                <w:lang w:eastAsia="zh-CN"/>
              </w:rPr>
            </w:pPr>
            <w:r>
              <w:rPr>
                <w:color w:val="auto"/>
                <w:sz w:val="21"/>
                <w:szCs w:val="21"/>
                <w:highlight w:val="none"/>
              </w:rPr>
              <w:t>2.2.4</w:t>
            </w:r>
            <w:r>
              <w:rPr>
                <w:rFonts w:hint="eastAsia"/>
                <w:color w:val="auto"/>
                <w:sz w:val="21"/>
                <w:szCs w:val="21"/>
                <w:highlight w:val="none"/>
                <w:lang w:eastAsia="zh-CN"/>
              </w:rPr>
              <w:t>（</w:t>
            </w:r>
            <w:r>
              <w:rPr>
                <w:color w:val="auto"/>
                <w:sz w:val="21"/>
                <w:szCs w:val="21"/>
                <w:highlight w:val="none"/>
              </w:rPr>
              <w:t>3</w:t>
            </w:r>
            <w:r>
              <w:rPr>
                <w:rFonts w:hint="eastAsia"/>
                <w:color w:val="auto"/>
                <w:sz w:val="21"/>
                <w:szCs w:val="21"/>
                <w:highlight w:val="none"/>
                <w:lang w:eastAsia="zh-CN"/>
              </w:rPr>
              <w:t>）</w:t>
            </w:r>
          </w:p>
        </w:tc>
        <w:tc>
          <w:tcPr>
            <w:tcW w:w="432" w:type="pct"/>
            <w:noWrap w:val="0"/>
            <w:vAlign w:val="center"/>
          </w:tcPr>
          <w:p>
            <w:pPr>
              <w:adjustRightInd w:val="0"/>
              <w:snapToGrid w:val="0"/>
              <w:spacing w:line="360" w:lineRule="exact"/>
              <w:ind w:firstLine="0" w:firstLineChars="0"/>
              <w:jc w:val="center"/>
              <w:rPr>
                <w:color w:val="auto"/>
                <w:sz w:val="21"/>
                <w:szCs w:val="22"/>
                <w:highlight w:val="none"/>
              </w:rPr>
            </w:pPr>
            <w:r>
              <w:rPr>
                <w:color w:val="auto"/>
                <w:sz w:val="21"/>
                <w:szCs w:val="22"/>
                <w:highlight w:val="none"/>
              </w:rPr>
              <w:t>评标价</w:t>
            </w:r>
          </w:p>
        </w:tc>
        <w:tc>
          <w:tcPr>
            <w:tcW w:w="477" w:type="pct"/>
            <w:gridSpan w:val="2"/>
            <w:noWrap w:val="0"/>
            <w:vAlign w:val="center"/>
          </w:tcPr>
          <w:p>
            <w:pPr>
              <w:adjustRightInd w:val="0"/>
              <w:snapToGrid w:val="0"/>
              <w:spacing w:line="360" w:lineRule="exact"/>
              <w:ind w:firstLine="0" w:firstLineChars="0"/>
              <w:jc w:val="center"/>
              <w:rPr>
                <w:color w:val="auto"/>
                <w:sz w:val="21"/>
                <w:szCs w:val="21"/>
                <w:highlight w:val="none"/>
              </w:rPr>
            </w:pPr>
            <w:r>
              <w:rPr>
                <w:color w:val="auto"/>
                <w:sz w:val="21"/>
                <w:szCs w:val="21"/>
                <w:highlight w:val="none"/>
                <w:u w:val="single"/>
              </w:rPr>
              <w:t>10</w:t>
            </w:r>
            <w:r>
              <w:rPr>
                <w:color w:val="auto"/>
                <w:sz w:val="21"/>
                <w:szCs w:val="21"/>
                <w:highlight w:val="none"/>
              </w:rPr>
              <w:t>分</w:t>
            </w:r>
          </w:p>
        </w:tc>
        <w:tc>
          <w:tcPr>
            <w:tcW w:w="3572" w:type="pct"/>
            <w:gridSpan w:val="3"/>
            <w:noWrap w:val="0"/>
            <w:vAlign w:val="center"/>
          </w:tcPr>
          <w:p>
            <w:pPr>
              <w:adjustRightInd w:val="0"/>
              <w:snapToGrid w:val="0"/>
              <w:spacing w:line="360" w:lineRule="exact"/>
              <w:ind w:firstLine="0" w:firstLineChars="0"/>
              <w:jc w:val="both"/>
              <w:rPr>
                <w:color w:val="auto"/>
                <w:sz w:val="21"/>
                <w:szCs w:val="21"/>
                <w:highlight w:val="none"/>
              </w:rPr>
            </w:pPr>
            <w:r>
              <w:rPr>
                <w:color w:val="auto"/>
                <w:sz w:val="21"/>
                <w:szCs w:val="21"/>
                <w:highlight w:val="none"/>
              </w:rPr>
              <w:t>评标价得分计算公式示例：</w:t>
            </w:r>
          </w:p>
          <w:p>
            <w:pPr>
              <w:adjustRightInd w:val="0"/>
              <w:snapToGrid w:val="0"/>
              <w:spacing w:line="360" w:lineRule="exact"/>
              <w:ind w:firstLine="0" w:firstLineChars="0"/>
              <w:jc w:val="both"/>
              <w:rPr>
                <w:color w:val="auto"/>
                <w:sz w:val="21"/>
                <w:szCs w:val="21"/>
                <w:highlight w:val="none"/>
              </w:rPr>
            </w:pPr>
            <w:r>
              <w:rPr>
                <w:rFonts w:hint="eastAsia"/>
                <w:color w:val="auto"/>
                <w:sz w:val="21"/>
                <w:szCs w:val="21"/>
                <w:highlight w:val="none"/>
                <w:lang w:eastAsia="zh-CN"/>
              </w:rPr>
              <w:t>（</w:t>
            </w:r>
            <w:r>
              <w:rPr>
                <w:color w:val="auto"/>
                <w:sz w:val="21"/>
                <w:szCs w:val="21"/>
                <w:highlight w:val="none"/>
              </w:rPr>
              <w:t>1</w:t>
            </w:r>
            <w:r>
              <w:rPr>
                <w:rFonts w:hint="eastAsia"/>
                <w:color w:val="auto"/>
                <w:sz w:val="21"/>
                <w:szCs w:val="21"/>
                <w:highlight w:val="none"/>
                <w:lang w:eastAsia="zh-CN"/>
              </w:rPr>
              <w:t>）</w:t>
            </w:r>
            <w:r>
              <w:rPr>
                <w:color w:val="auto"/>
                <w:sz w:val="21"/>
                <w:szCs w:val="21"/>
                <w:highlight w:val="none"/>
              </w:rPr>
              <w:t>如果投标人的评标价&gt;评标基准价，则评标价得分＝F－偏差率×100×E</w:t>
            </w:r>
            <w:r>
              <w:rPr>
                <w:color w:val="auto"/>
                <w:sz w:val="21"/>
                <w:szCs w:val="21"/>
                <w:highlight w:val="none"/>
                <w:vertAlign w:val="subscript"/>
              </w:rPr>
              <w:t>1</w:t>
            </w:r>
            <w:r>
              <w:rPr>
                <w:color w:val="auto"/>
                <w:sz w:val="21"/>
                <w:szCs w:val="21"/>
                <w:highlight w:val="none"/>
              </w:rPr>
              <w:t>；</w:t>
            </w:r>
          </w:p>
          <w:p>
            <w:pPr>
              <w:adjustRightInd w:val="0"/>
              <w:snapToGrid w:val="0"/>
              <w:spacing w:line="360" w:lineRule="exact"/>
              <w:ind w:firstLine="0" w:firstLineChars="0"/>
              <w:jc w:val="both"/>
              <w:rPr>
                <w:color w:val="auto"/>
                <w:sz w:val="21"/>
                <w:szCs w:val="21"/>
                <w:highlight w:val="none"/>
              </w:rPr>
            </w:pPr>
            <w:r>
              <w:rPr>
                <w:rFonts w:hint="eastAsia"/>
                <w:color w:val="auto"/>
                <w:sz w:val="21"/>
                <w:szCs w:val="21"/>
                <w:highlight w:val="none"/>
                <w:lang w:eastAsia="zh-CN"/>
              </w:rPr>
              <w:t>（</w:t>
            </w:r>
            <w:r>
              <w:rPr>
                <w:color w:val="auto"/>
                <w:sz w:val="21"/>
                <w:szCs w:val="21"/>
                <w:highlight w:val="none"/>
              </w:rPr>
              <w:t>2</w:t>
            </w:r>
            <w:r>
              <w:rPr>
                <w:rFonts w:hint="eastAsia"/>
                <w:color w:val="auto"/>
                <w:sz w:val="21"/>
                <w:szCs w:val="21"/>
                <w:highlight w:val="none"/>
                <w:lang w:eastAsia="zh-CN"/>
              </w:rPr>
              <w:t>）</w:t>
            </w:r>
            <w:r>
              <w:rPr>
                <w:color w:val="auto"/>
                <w:sz w:val="21"/>
                <w:szCs w:val="21"/>
                <w:highlight w:val="none"/>
              </w:rPr>
              <w:t>如果投标人的评标价≤评标基准价，则评标价得分＝F＋偏差率×100×E</w:t>
            </w:r>
            <w:r>
              <w:rPr>
                <w:color w:val="auto"/>
                <w:sz w:val="21"/>
                <w:szCs w:val="21"/>
                <w:highlight w:val="none"/>
                <w:vertAlign w:val="subscript"/>
              </w:rPr>
              <w:t>2</w:t>
            </w:r>
            <w:r>
              <w:rPr>
                <w:color w:val="auto"/>
                <w:sz w:val="21"/>
                <w:szCs w:val="21"/>
                <w:highlight w:val="none"/>
              </w:rPr>
              <w:t>。</w:t>
            </w:r>
          </w:p>
          <w:p>
            <w:pPr>
              <w:adjustRightInd w:val="0"/>
              <w:snapToGrid w:val="0"/>
              <w:spacing w:line="360" w:lineRule="exact"/>
              <w:ind w:firstLine="0" w:firstLineChars="0"/>
              <w:jc w:val="both"/>
              <w:rPr>
                <w:color w:val="auto"/>
                <w:sz w:val="21"/>
                <w:szCs w:val="21"/>
                <w:highlight w:val="none"/>
              </w:rPr>
            </w:pPr>
            <w:r>
              <w:rPr>
                <w:color w:val="auto"/>
                <w:sz w:val="21"/>
                <w:szCs w:val="21"/>
                <w:highlight w:val="none"/>
              </w:rPr>
              <w:t>其中：F是评标价所占的权重分值，F=10；</w:t>
            </w:r>
          </w:p>
          <w:p>
            <w:pPr>
              <w:adjustRightInd w:val="0"/>
              <w:snapToGrid w:val="0"/>
              <w:spacing w:line="360" w:lineRule="exact"/>
              <w:ind w:firstLine="0" w:firstLineChars="0"/>
              <w:jc w:val="both"/>
              <w:rPr>
                <w:color w:val="auto"/>
                <w:sz w:val="21"/>
                <w:szCs w:val="21"/>
                <w:highlight w:val="none"/>
              </w:rPr>
            </w:pPr>
            <w:r>
              <w:rPr>
                <w:color w:val="auto"/>
                <w:sz w:val="21"/>
                <w:szCs w:val="21"/>
                <w:highlight w:val="none"/>
              </w:rPr>
              <w:t>E</w:t>
            </w:r>
            <w:r>
              <w:rPr>
                <w:color w:val="auto"/>
                <w:sz w:val="21"/>
                <w:szCs w:val="21"/>
                <w:highlight w:val="none"/>
                <w:vertAlign w:val="subscript"/>
              </w:rPr>
              <w:t>1</w:t>
            </w:r>
            <w:r>
              <w:rPr>
                <w:color w:val="auto"/>
                <w:sz w:val="21"/>
                <w:szCs w:val="21"/>
                <w:highlight w:val="none"/>
              </w:rPr>
              <w:t>是评标价每高于评标基准价一个百分点的扣分值，E</w:t>
            </w:r>
            <w:r>
              <w:rPr>
                <w:color w:val="auto"/>
                <w:sz w:val="21"/>
                <w:szCs w:val="21"/>
                <w:highlight w:val="none"/>
                <w:vertAlign w:val="subscript"/>
              </w:rPr>
              <w:t>1</w:t>
            </w:r>
            <w:r>
              <w:rPr>
                <w:color w:val="auto"/>
                <w:sz w:val="21"/>
                <w:szCs w:val="21"/>
                <w:highlight w:val="none"/>
              </w:rPr>
              <w:t>=0.2；E</w:t>
            </w:r>
            <w:r>
              <w:rPr>
                <w:color w:val="auto"/>
                <w:sz w:val="21"/>
                <w:szCs w:val="21"/>
                <w:highlight w:val="none"/>
                <w:vertAlign w:val="subscript"/>
              </w:rPr>
              <w:t>2</w:t>
            </w:r>
            <w:r>
              <w:rPr>
                <w:color w:val="auto"/>
                <w:sz w:val="21"/>
                <w:szCs w:val="21"/>
                <w:highlight w:val="none"/>
              </w:rPr>
              <w:t>是评标价每低于评标基准价一个百分点的扣分值，低于评标基准价但不低于最高投标限价90%时，E</w:t>
            </w:r>
            <w:r>
              <w:rPr>
                <w:color w:val="auto"/>
                <w:sz w:val="21"/>
                <w:szCs w:val="21"/>
                <w:highlight w:val="none"/>
                <w:vertAlign w:val="subscript"/>
              </w:rPr>
              <w:t>2</w:t>
            </w:r>
            <w:r>
              <w:rPr>
                <w:color w:val="auto"/>
                <w:sz w:val="21"/>
                <w:szCs w:val="21"/>
                <w:highlight w:val="none"/>
              </w:rPr>
              <w:t>=0.1，低于最高投标限价90%时，E</w:t>
            </w:r>
            <w:r>
              <w:rPr>
                <w:color w:val="auto"/>
                <w:sz w:val="21"/>
                <w:szCs w:val="21"/>
                <w:highlight w:val="none"/>
                <w:vertAlign w:val="subscript"/>
              </w:rPr>
              <w:t>2</w:t>
            </w:r>
            <w:r>
              <w:rPr>
                <w:color w:val="auto"/>
                <w:sz w:val="21"/>
                <w:szCs w:val="21"/>
                <w:highlight w:val="none"/>
              </w:rPr>
              <w:t>=0.2。</w:t>
            </w:r>
          </w:p>
          <w:p>
            <w:pPr>
              <w:adjustRightInd w:val="0"/>
              <w:snapToGrid w:val="0"/>
              <w:spacing w:line="360" w:lineRule="exact"/>
              <w:ind w:firstLine="0" w:firstLineChars="0"/>
              <w:jc w:val="both"/>
              <w:rPr>
                <w:color w:val="auto"/>
                <w:sz w:val="21"/>
                <w:szCs w:val="21"/>
                <w:highlight w:val="none"/>
              </w:rPr>
            </w:pPr>
            <w:r>
              <w:rPr>
                <w:color w:val="auto"/>
                <w:sz w:val="21"/>
                <w:szCs w:val="21"/>
                <w:highlight w:val="none"/>
              </w:rPr>
              <w:t>评标价最低得0分。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95" w:hRule="atLeast"/>
          <w:jc w:val="center"/>
        </w:trPr>
        <w:tc>
          <w:tcPr>
            <w:tcW w:w="518" w:type="pct"/>
            <w:vMerge w:val="restart"/>
            <w:noWrap w:val="0"/>
            <w:vAlign w:val="center"/>
          </w:tcPr>
          <w:p>
            <w:pPr>
              <w:adjustRightInd w:val="0"/>
              <w:snapToGrid w:val="0"/>
              <w:spacing w:line="360" w:lineRule="exact"/>
              <w:ind w:firstLine="0" w:firstLineChars="0"/>
              <w:jc w:val="center"/>
              <w:rPr>
                <w:rFonts w:hint="eastAsia" w:eastAsia="宋体"/>
                <w:color w:val="auto"/>
                <w:sz w:val="21"/>
                <w:szCs w:val="21"/>
                <w:highlight w:val="none"/>
                <w:lang w:eastAsia="zh-CN"/>
              </w:rPr>
            </w:pPr>
            <w:r>
              <w:rPr>
                <w:color w:val="auto"/>
                <w:sz w:val="21"/>
                <w:szCs w:val="21"/>
                <w:highlight w:val="none"/>
              </w:rPr>
              <w:t>2.2.4</w:t>
            </w:r>
            <w:r>
              <w:rPr>
                <w:rFonts w:hint="eastAsia"/>
                <w:color w:val="auto"/>
                <w:sz w:val="21"/>
                <w:szCs w:val="21"/>
                <w:highlight w:val="none"/>
                <w:lang w:eastAsia="zh-CN"/>
              </w:rPr>
              <w:t>（</w:t>
            </w:r>
            <w:r>
              <w:rPr>
                <w:color w:val="auto"/>
                <w:sz w:val="21"/>
                <w:szCs w:val="21"/>
                <w:highlight w:val="none"/>
              </w:rPr>
              <w:t>4</w:t>
            </w:r>
            <w:r>
              <w:rPr>
                <w:rFonts w:hint="eastAsia"/>
                <w:color w:val="auto"/>
                <w:sz w:val="21"/>
                <w:szCs w:val="21"/>
                <w:highlight w:val="none"/>
                <w:lang w:eastAsia="zh-CN"/>
              </w:rPr>
              <w:t>）</w:t>
            </w:r>
          </w:p>
        </w:tc>
        <w:tc>
          <w:tcPr>
            <w:tcW w:w="432" w:type="pct"/>
            <w:vMerge w:val="restart"/>
            <w:noWrap w:val="0"/>
            <w:vAlign w:val="center"/>
          </w:tcPr>
          <w:p>
            <w:pPr>
              <w:adjustRightInd w:val="0"/>
              <w:snapToGrid w:val="0"/>
              <w:spacing w:line="360" w:lineRule="exact"/>
              <w:ind w:firstLine="0" w:firstLineChars="0"/>
              <w:jc w:val="center"/>
              <w:rPr>
                <w:color w:val="auto"/>
                <w:sz w:val="21"/>
                <w:szCs w:val="21"/>
                <w:highlight w:val="none"/>
              </w:rPr>
            </w:pPr>
            <w:r>
              <w:rPr>
                <w:color w:val="auto"/>
                <w:sz w:val="21"/>
                <w:szCs w:val="21"/>
                <w:highlight w:val="none"/>
              </w:rPr>
              <w:t>其他因素</w:t>
            </w:r>
          </w:p>
        </w:tc>
        <w:tc>
          <w:tcPr>
            <w:tcW w:w="267" w:type="pct"/>
            <w:vMerge w:val="restart"/>
            <w:noWrap w:val="0"/>
            <w:vAlign w:val="center"/>
          </w:tcPr>
          <w:p>
            <w:pPr>
              <w:adjustRightInd w:val="0"/>
              <w:snapToGrid w:val="0"/>
              <w:spacing w:line="360" w:lineRule="exact"/>
              <w:ind w:firstLine="0" w:firstLineChars="0"/>
              <w:jc w:val="center"/>
              <w:rPr>
                <w:color w:val="auto"/>
                <w:sz w:val="21"/>
                <w:szCs w:val="21"/>
                <w:highlight w:val="none"/>
              </w:rPr>
            </w:pPr>
            <w:r>
              <w:rPr>
                <w:color w:val="auto"/>
                <w:sz w:val="21"/>
                <w:szCs w:val="21"/>
                <w:highlight w:val="none"/>
              </w:rPr>
              <w:t>业绩</w:t>
            </w:r>
          </w:p>
        </w:tc>
        <w:tc>
          <w:tcPr>
            <w:tcW w:w="209" w:type="pct"/>
            <w:vMerge w:val="restart"/>
            <w:noWrap w:val="0"/>
            <w:vAlign w:val="center"/>
          </w:tcPr>
          <w:p>
            <w:pPr>
              <w:adjustRightInd w:val="0"/>
              <w:snapToGrid w:val="0"/>
              <w:spacing w:line="360" w:lineRule="exact"/>
              <w:ind w:firstLine="0" w:firstLineChars="0"/>
              <w:jc w:val="center"/>
              <w:rPr>
                <w:color w:val="auto"/>
                <w:sz w:val="21"/>
                <w:szCs w:val="21"/>
                <w:highlight w:val="none"/>
              </w:rPr>
            </w:pPr>
            <w:r>
              <w:rPr>
                <w:color w:val="auto"/>
                <w:sz w:val="21"/>
                <w:szCs w:val="21"/>
                <w:highlight w:val="none"/>
              </w:rPr>
              <w:t>2</w:t>
            </w:r>
            <w:r>
              <w:rPr>
                <w:rFonts w:hint="eastAsia"/>
                <w:color w:val="auto"/>
                <w:sz w:val="21"/>
                <w:szCs w:val="21"/>
                <w:highlight w:val="none"/>
                <w:lang w:val="en-US" w:eastAsia="zh-CN"/>
              </w:rPr>
              <w:t>0</w:t>
            </w:r>
            <w:r>
              <w:rPr>
                <w:color w:val="auto"/>
                <w:sz w:val="21"/>
                <w:szCs w:val="21"/>
                <w:highlight w:val="none"/>
              </w:rPr>
              <w:t>分</w:t>
            </w:r>
          </w:p>
        </w:tc>
        <w:tc>
          <w:tcPr>
            <w:tcW w:w="395" w:type="pct"/>
            <w:noWrap w:val="0"/>
            <w:vAlign w:val="center"/>
          </w:tcPr>
          <w:p>
            <w:pPr>
              <w:adjustRightInd w:val="0"/>
              <w:snapToGrid w:val="0"/>
              <w:spacing w:line="360" w:lineRule="exact"/>
              <w:ind w:firstLine="0" w:firstLineChars="0"/>
              <w:jc w:val="center"/>
              <w:rPr>
                <w:rFonts w:hint="default"/>
                <w:b w:val="0"/>
                <w:bCs w:val="0"/>
                <w:color w:val="auto"/>
                <w:sz w:val="21"/>
                <w:szCs w:val="21"/>
                <w:highlight w:val="none"/>
                <w:lang w:val="en-US"/>
              </w:rPr>
            </w:pPr>
            <w:r>
              <w:rPr>
                <w:rFonts w:hint="eastAsia" w:eastAsia="宋体"/>
                <w:b w:val="0"/>
                <w:bCs w:val="0"/>
                <w:color w:val="auto"/>
                <w:sz w:val="21"/>
                <w:szCs w:val="22"/>
                <w:highlight w:val="none"/>
                <w:lang w:val="en-US" w:eastAsia="zh-CN"/>
              </w:rPr>
              <w:t>APQLJK-01标段~APQLJK-05标段</w:t>
            </w:r>
          </w:p>
        </w:tc>
        <w:tc>
          <w:tcPr>
            <w:tcW w:w="319" w:type="pct"/>
            <w:noWrap w:val="0"/>
            <w:vAlign w:val="center"/>
          </w:tcPr>
          <w:p>
            <w:pPr>
              <w:adjustRightInd w:val="0"/>
              <w:snapToGrid w:val="0"/>
              <w:spacing w:line="360" w:lineRule="exact"/>
              <w:ind w:firstLine="0" w:firstLineChars="0"/>
              <w:jc w:val="center"/>
              <w:rPr>
                <w:color w:val="auto"/>
                <w:sz w:val="21"/>
                <w:szCs w:val="21"/>
                <w:highlight w:val="none"/>
              </w:rPr>
            </w:pPr>
            <w:r>
              <w:rPr>
                <w:color w:val="auto"/>
                <w:sz w:val="21"/>
                <w:szCs w:val="21"/>
                <w:highlight w:val="none"/>
              </w:rPr>
              <w:t>2</w:t>
            </w:r>
            <w:r>
              <w:rPr>
                <w:rFonts w:hint="eastAsia"/>
                <w:color w:val="auto"/>
                <w:sz w:val="21"/>
                <w:szCs w:val="21"/>
                <w:highlight w:val="none"/>
                <w:lang w:val="en-US" w:eastAsia="zh-CN"/>
              </w:rPr>
              <w:t>0</w:t>
            </w:r>
            <w:r>
              <w:rPr>
                <w:color w:val="auto"/>
                <w:sz w:val="21"/>
                <w:szCs w:val="21"/>
                <w:highlight w:val="none"/>
              </w:rPr>
              <w:t>分</w:t>
            </w:r>
          </w:p>
        </w:tc>
        <w:tc>
          <w:tcPr>
            <w:tcW w:w="2857" w:type="pct"/>
            <w:noWrap w:val="0"/>
            <w:vAlign w:val="center"/>
          </w:tcPr>
          <w:p>
            <w:pPr>
              <w:adjustRightInd w:val="0"/>
              <w:snapToGrid w:val="0"/>
              <w:spacing w:line="360" w:lineRule="exact"/>
              <w:ind w:firstLine="0" w:firstLineChars="0"/>
              <w:jc w:val="both"/>
              <w:rPr>
                <w:rFonts w:hint="eastAsia" w:eastAsia="宋体"/>
                <w:b/>
                <w:bCs/>
                <w:color w:val="auto"/>
                <w:sz w:val="21"/>
                <w:szCs w:val="22"/>
                <w:highlight w:val="none"/>
                <w:lang w:val="en-US" w:eastAsia="zh-CN"/>
              </w:rPr>
            </w:pPr>
            <w:r>
              <w:rPr>
                <w:rFonts w:hint="eastAsia" w:eastAsia="宋体"/>
                <w:b/>
                <w:bCs/>
                <w:color w:val="auto"/>
                <w:sz w:val="21"/>
                <w:szCs w:val="22"/>
                <w:highlight w:val="none"/>
                <w:lang w:val="en-US" w:eastAsia="zh-CN"/>
              </w:rPr>
              <w:t>（1）APQLJK-01标段、APQLJK-05标段：</w:t>
            </w:r>
          </w:p>
          <w:p>
            <w:pPr>
              <w:adjustRightInd w:val="0"/>
              <w:snapToGrid w:val="0"/>
              <w:spacing w:line="360" w:lineRule="exact"/>
              <w:ind w:firstLine="0" w:firstLineChars="0"/>
              <w:jc w:val="both"/>
              <w:rPr>
                <w:rFonts w:hint="default" w:eastAsia="宋体"/>
                <w:color w:val="auto"/>
                <w:sz w:val="21"/>
                <w:szCs w:val="22"/>
                <w:highlight w:val="none"/>
                <w:lang w:val="en-US" w:eastAsia="zh-CN"/>
              </w:rPr>
            </w:pPr>
            <w:r>
              <w:rPr>
                <w:rFonts w:hint="eastAsia" w:eastAsia="宋体"/>
                <w:color w:val="auto"/>
                <w:sz w:val="21"/>
                <w:szCs w:val="22"/>
                <w:highlight w:val="none"/>
                <w:lang w:val="en-US" w:eastAsia="zh-CN"/>
              </w:rPr>
              <w:t>投标人</w:t>
            </w:r>
            <w:r>
              <w:rPr>
                <w:rFonts w:hint="default" w:eastAsia="宋体"/>
                <w:color w:val="auto"/>
                <w:sz w:val="21"/>
                <w:szCs w:val="22"/>
                <w:highlight w:val="none"/>
                <w:lang w:val="en-US" w:eastAsia="zh-CN"/>
              </w:rPr>
              <w:t>近年（项目交工日期</w:t>
            </w:r>
            <w:r>
              <w:rPr>
                <w:rFonts w:hint="eastAsia" w:eastAsia="宋体"/>
                <w:color w:val="auto"/>
                <w:sz w:val="21"/>
                <w:szCs w:val="22"/>
                <w:highlight w:val="none"/>
                <w:lang w:val="en-US" w:eastAsia="zh-CN"/>
              </w:rPr>
              <w:t>或合同签订日期</w:t>
            </w:r>
            <w:r>
              <w:rPr>
                <w:rFonts w:hint="default" w:eastAsia="宋体"/>
                <w:color w:val="auto"/>
                <w:sz w:val="21"/>
                <w:szCs w:val="22"/>
                <w:highlight w:val="none"/>
                <w:lang w:val="en-US" w:eastAsia="zh-CN"/>
              </w:rPr>
              <w:t>介于2018年1月1日~投标截止日之间）内</w:t>
            </w:r>
            <w:r>
              <w:rPr>
                <w:rFonts w:hint="eastAsia" w:eastAsia="宋体"/>
                <w:color w:val="auto"/>
                <w:sz w:val="21"/>
                <w:szCs w:val="22"/>
                <w:highlight w:val="none"/>
                <w:lang w:val="en-US" w:eastAsia="zh-CN"/>
              </w:rPr>
              <w:t>每</w:t>
            </w:r>
            <w:r>
              <w:rPr>
                <w:rFonts w:hint="default" w:eastAsia="宋体"/>
                <w:color w:val="auto"/>
                <w:sz w:val="21"/>
                <w:szCs w:val="22"/>
                <w:highlight w:val="none"/>
                <w:lang w:val="en-US" w:eastAsia="zh-CN"/>
              </w:rPr>
              <w:t>独立承担过</w:t>
            </w:r>
            <w:r>
              <w:rPr>
                <w:rFonts w:hint="default" w:eastAsia="宋体"/>
                <w:b/>
                <w:bCs/>
                <w:color w:val="auto"/>
                <w:sz w:val="21"/>
                <w:szCs w:val="22"/>
                <w:highlight w:val="none"/>
                <w:lang w:val="en-US" w:eastAsia="zh-CN"/>
              </w:rPr>
              <w:t>1</w:t>
            </w:r>
            <w:r>
              <w:rPr>
                <w:rFonts w:hint="eastAsia" w:eastAsia="宋体"/>
                <w:b/>
                <w:bCs/>
                <w:color w:val="auto"/>
                <w:sz w:val="21"/>
                <w:szCs w:val="22"/>
                <w:highlight w:val="none"/>
                <w:lang w:val="en-US" w:eastAsia="zh-CN"/>
              </w:rPr>
              <w:t>座主跨不小于150米的</w:t>
            </w:r>
            <w:r>
              <w:rPr>
                <w:rFonts w:hint="default" w:eastAsia="宋体"/>
                <w:b/>
                <w:bCs/>
                <w:color w:val="auto"/>
                <w:sz w:val="21"/>
                <w:szCs w:val="22"/>
                <w:highlight w:val="none"/>
                <w:lang w:val="en-US" w:eastAsia="zh-CN"/>
              </w:rPr>
              <w:t>高速公路桥梁</w:t>
            </w:r>
            <w:r>
              <w:rPr>
                <w:rFonts w:hint="default" w:eastAsia="宋体"/>
                <w:color w:val="auto"/>
                <w:sz w:val="21"/>
                <w:szCs w:val="22"/>
                <w:highlight w:val="none"/>
                <w:lang w:val="en-US" w:eastAsia="zh-CN"/>
              </w:rPr>
              <w:t>施工监控</w:t>
            </w:r>
            <w:r>
              <w:rPr>
                <w:rFonts w:hint="eastAsia" w:eastAsia="宋体"/>
                <w:color w:val="auto"/>
                <w:sz w:val="21"/>
                <w:szCs w:val="22"/>
                <w:highlight w:val="none"/>
                <w:lang w:val="en-US" w:eastAsia="zh-CN"/>
              </w:rPr>
              <w:t>业绩</w:t>
            </w:r>
            <w:r>
              <w:rPr>
                <w:rFonts w:hint="default" w:eastAsia="宋体"/>
                <w:color w:val="auto"/>
                <w:sz w:val="21"/>
                <w:szCs w:val="22"/>
                <w:highlight w:val="none"/>
                <w:lang w:val="en-US" w:eastAsia="zh-CN"/>
              </w:rPr>
              <w:t>，每1</w:t>
            </w:r>
            <w:r>
              <w:rPr>
                <w:rFonts w:hint="eastAsia" w:eastAsia="宋体"/>
                <w:color w:val="auto"/>
                <w:sz w:val="21"/>
                <w:szCs w:val="22"/>
                <w:highlight w:val="none"/>
                <w:lang w:val="en-US" w:eastAsia="zh-CN"/>
              </w:rPr>
              <w:t>座桥梁</w:t>
            </w:r>
            <w:r>
              <w:rPr>
                <w:rFonts w:hint="default" w:eastAsia="宋体"/>
                <w:color w:val="auto"/>
                <w:sz w:val="21"/>
                <w:szCs w:val="22"/>
                <w:highlight w:val="none"/>
                <w:lang w:val="en-US" w:eastAsia="zh-CN"/>
              </w:rPr>
              <w:t>加</w:t>
            </w:r>
            <w:r>
              <w:rPr>
                <w:rFonts w:hint="eastAsia" w:eastAsia="宋体"/>
                <w:color w:val="auto"/>
                <w:sz w:val="21"/>
                <w:szCs w:val="22"/>
                <w:highlight w:val="none"/>
                <w:lang w:val="en-US" w:eastAsia="zh-CN"/>
              </w:rPr>
              <w:t>5</w:t>
            </w:r>
            <w:r>
              <w:rPr>
                <w:rFonts w:hint="default" w:eastAsia="宋体"/>
                <w:color w:val="auto"/>
                <w:sz w:val="21"/>
                <w:szCs w:val="22"/>
                <w:highlight w:val="none"/>
                <w:lang w:val="en-US" w:eastAsia="zh-CN"/>
              </w:rPr>
              <w:t>分，此项最多加20分。</w:t>
            </w:r>
          </w:p>
          <w:p>
            <w:pPr>
              <w:adjustRightInd w:val="0"/>
              <w:snapToGrid w:val="0"/>
              <w:spacing w:line="360" w:lineRule="exact"/>
              <w:ind w:firstLine="0" w:firstLineChars="0"/>
              <w:jc w:val="both"/>
              <w:rPr>
                <w:rFonts w:hint="default" w:eastAsia="宋体"/>
                <w:b/>
                <w:bCs/>
                <w:color w:val="auto"/>
                <w:sz w:val="21"/>
                <w:szCs w:val="22"/>
                <w:highlight w:val="none"/>
                <w:lang w:val="en-US" w:eastAsia="zh-CN"/>
              </w:rPr>
            </w:pPr>
            <w:r>
              <w:rPr>
                <w:rFonts w:hint="eastAsia" w:eastAsia="宋体"/>
                <w:b/>
                <w:bCs/>
                <w:color w:val="auto"/>
                <w:sz w:val="21"/>
                <w:szCs w:val="22"/>
                <w:highlight w:val="none"/>
                <w:lang w:val="en-US" w:eastAsia="zh-CN"/>
              </w:rPr>
              <w:t>（2）</w:t>
            </w:r>
            <w:r>
              <w:rPr>
                <w:rFonts w:hint="default" w:eastAsia="宋体"/>
                <w:b/>
                <w:bCs/>
                <w:color w:val="auto"/>
                <w:sz w:val="21"/>
                <w:szCs w:val="22"/>
                <w:highlight w:val="none"/>
                <w:lang w:val="en-US" w:eastAsia="zh-CN"/>
              </w:rPr>
              <w:t>APQLJK-03</w:t>
            </w:r>
            <w:r>
              <w:rPr>
                <w:rFonts w:hint="eastAsia" w:eastAsia="宋体"/>
                <w:b/>
                <w:bCs/>
                <w:color w:val="auto"/>
                <w:sz w:val="21"/>
                <w:szCs w:val="22"/>
                <w:highlight w:val="none"/>
                <w:lang w:val="en-US" w:eastAsia="zh-CN"/>
              </w:rPr>
              <w:t>标段：</w:t>
            </w:r>
          </w:p>
          <w:p>
            <w:pPr>
              <w:adjustRightInd w:val="0"/>
              <w:snapToGrid w:val="0"/>
              <w:spacing w:line="360" w:lineRule="exact"/>
              <w:ind w:firstLine="0" w:firstLineChars="0"/>
              <w:jc w:val="both"/>
              <w:rPr>
                <w:rFonts w:hint="default" w:eastAsia="宋体"/>
                <w:color w:val="auto"/>
                <w:sz w:val="21"/>
                <w:szCs w:val="22"/>
                <w:highlight w:val="none"/>
                <w:lang w:val="en-US" w:eastAsia="zh-CN"/>
              </w:rPr>
            </w:pPr>
            <w:r>
              <w:rPr>
                <w:rFonts w:hint="default" w:eastAsia="宋体"/>
                <w:color w:val="auto"/>
                <w:sz w:val="21"/>
                <w:szCs w:val="22"/>
                <w:highlight w:val="none"/>
                <w:lang w:val="en-US" w:eastAsia="zh-CN"/>
              </w:rPr>
              <w:t>投标人近年（项目交工日期或合同签订日期介于2018年1月1日~投标截止日之间）内每独立承担过</w:t>
            </w:r>
            <w:r>
              <w:rPr>
                <w:rFonts w:hint="default" w:eastAsia="宋体"/>
                <w:b/>
                <w:bCs/>
                <w:color w:val="auto"/>
                <w:sz w:val="21"/>
                <w:szCs w:val="22"/>
                <w:highlight w:val="none"/>
                <w:lang w:val="en-US" w:eastAsia="zh-CN"/>
              </w:rPr>
              <w:t>1座主跨不小于</w:t>
            </w:r>
            <w:r>
              <w:rPr>
                <w:rFonts w:hint="eastAsia" w:eastAsia="宋体"/>
                <w:b/>
                <w:bCs/>
                <w:color w:val="auto"/>
                <w:sz w:val="21"/>
                <w:szCs w:val="22"/>
                <w:highlight w:val="none"/>
                <w:lang w:val="en-US" w:eastAsia="zh-CN"/>
              </w:rPr>
              <w:t>80</w:t>
            </w:r>
            <w:r>
              <w:rPr>
                <w:rFonts w:hint="default" w:eastAsia="宋体"/>
                <w:b/>
                <w:bCs/>
                <w:color w:val="auto"/>
                <w:sz w:val="21"/>
                <w:szCs w:val="22"/>
                <w:highlight w:val="none"/>
                <w:lang w:val="en-US" w:eastAsia="zh-CN"/>
              </w:rPr>
              <w:t>0米的高速公路悬索桥</w:t>
            </w:r>
            <w:r>
              <w:rPr>
                <w:rFonts w:hint="eastAsia" w:eastAsia="宋体"/>
                <w:b/>
                <w:bCs/>
                <w:color w:val="auto"/>
                <w:sz w:val="21"/>
                <w:szCs w:val="22"/>
                <w:highlight w:val="none"/>
                <w:lang w:val="en-US" w:eastAsia="zh-CN"/>
              </w:rPr>
              <w:t>桥</w:t>
            </w:r>
            <w:r>
              <w:rPr>
                <w:rFonts w:hint="default" w:eastAsia="宋体"/>
                <w:b/>
                <w:bCs/>
                <w:color w:val="auto"/>
                <w:sz w:val="21"/>
                <w:szCs w:val="22"/>
                <w:highlight w:val="none"/>
                <w:lang w:val="en-US" w:eastAsia="zh-CN"/>
              </w:rPr>
              <w:t>梁</w:t>
            </w:r>
            <w:r>
              <w:rPr>
                <w:rFonts w:hint="default" w:eastAsia="宋体"/>
                <w:color w:val="auto"/>
                <w:sz w:val="21"/>
                <w:szCs w:val="22"/>
                <w:highlight w:val="none"/>
                <w:lang w:val="en-US" w:eastAsia="zh-CN"/>
              </w:rPr>
              <w:t>施工监控业绩，每1座桥梁加</w:t>
            </w:r>
            <w:r>
              <w:rPr>
                <w:rFonts w:hint="eastAsia" w:eastAsia="宋体"/>
                <w:color w:val="auto"/>
                <w:sz w:val="21"/>
                <w:szCs w:val="22"/>
                <w:highlight w:val="none"/>
                <w:lang w:val="en-US" w:eastAsia="zh-CN"/>
              </w:rPr>
              <w:t>10</w:t>
            </w:r>
            <w:r>
              <w:rPr>
                <w:rFonts w:hint="default" w:eastAsia="宋体"/>
                <w:color w:val="auto"/>
                <w:sz w:val="21"/>
                <w:szCs w:val="22"/>
                <w:highlight w:val="none"/>
                <w:lang w:val="en-US" w:eastAsia="zh-CN"/>
              </w:rPr>
              <w:t>分，此项最多加20分。</w:t>
            </w:r>
          </w:p>
          <w:p>
            <w:pPr>
              <w:adjustRightInd w:val="0"/>
              <w:snapToGrid w:val="0"/>
              <w:spacing w:line="360" w:lineRule="exact"/>
              <w:ind w:firstLine="0" w:firstLineChars="0"/>
              <w:jc w:val="both"/>
              <w:rPr>
                <w:rFonts w:hint="eastAsia" w:ascii="Times New Roman" w:hAnsi="Times New Roman" w:eastAsia="宋体" w:cs="Times New Roman"/>
                <w:b/>
                <w:bCs/>
                <w:color w:val="auto"/>
                <w:kern w:val="2"/>
                <w:sz w:val="21"/>
                <w:szCs w:val="22"/>
                <w:highlight w:val="none"/>
                <w:lang w:val="en-US" w:eastAsia="zh-CN" w:bidi="ar-SA"/>
              </w:rPr>
            </w:pPr>
            <w:r>
              <w:rPr>
                <w:rFonts w:hint="eastAsia" w:eastAsia="宋体"/>
                <w:b/>
                <w:bCs/>
                <w:color w:val="auto"/>
                <w:sz w:val="21"/>
                <w:szCs w:val="22"/>
                <w:highlight w:val="none"/>
                <w:lang w:val="en-US" w:eastAsia="zh-CN"/>
              </w:rPr>
              <w:t>（3）</w:t>
            </w:r>
            <w:r>
              <w:rPr>
                <w:rFonts w:hint="default" w:eastAsia="宋体"/>
                <w:b/>
                <w:bCs/>
                <w:color w:val="auto"/>
                <w:sz w:val="21"/>
                <w:szCs w:val="22"/>
                <w:highlight w:val="none"/>
                <w:lang w:val="en-US" w:eastAsia="zh-CN"/>
              </w:rPr>
              <w:t>APQLJK-</w:t>
            </w:r>
            <w:r>
              <w:rPr>
                <w:rFonts w:hint="eastAsia" w:eastAsia="宋体"/>
                <w:b/>
                <w:bCs/>
                <w:color w:val="auto"/>
                <w:sz w:val="21"/>
                <w:szCs w:val="22"/>
                <w:highlight w:val="none"/>
                <w:lang w:val="en-US" w:eastAsia="zh-CN"/>
              </w:rPr>
              <w:t>0</w:t>
            </w:r>
            <w:r>
              <w:rPr>
                <w:rFonts w:hint="default" w:eastAsia="宋体"/>
                <w:b/>
                <w:bCs/>
                <w:color w:val="auto"/>
                <w:sz w:val="21"/>
                <w:szCs w:val="22"/>
                <w:highlight w:val="none"/>
                <w:lang w:val="en-US" w:eastAsia="zh-CN"/>
              </w:rPr>
              <w:t>2</w:t>
            </w:r>
            <w:r>
              <w:rPr>
                <w:rFonts w:hint="eastAsia" w:eastAsia="宋体"/>
                <w:b/>
                <w:bCs/>
                <w:color w:val="auto"/>
                <w:sz w:val="21"/>
                <w:szCs w:val="22"/>
                <w:highlight w:val="none"/>
                <w:lang w:val="en-US" w:eastAsia="zh-CN"/>
              </w:rPr>
              <w:t>标段</w:t>
            </w:r>
            <w:r>
              <w:rPr>
                <w:rFonts w:hint="eastAsia" w:ascii="Times New Roman" w:hAnsi="Times New Roman" w:eastAsia="宋体" w:cs="Times New Roman"/>
                <w:b/>
                <w:bCs/>
                <w:color w:val="auto"/>
                <w:kern w:val="2"/>
                <w:sz w:val="21"/>
                <w:szCs w:val="22"/>
                <w:highlight w:val="none"/>
                <w:lang w:val="en-US" w:eastAsia="zh-CN" w:bidi="ar-SA"/>
              </w:rPr>
              <w:t>、APQLJK-04标段：</w:t>
            </w:r>
          </w:p>
          <w:p>
            <w:pPr>
              <w:adjustRightInd w:val="0"/>
              <w:snapToGrid w:val="0"/>
              <w:spacing w:line="360" w:lineRule="exact"/>
              <w:ind w:firstLine="0" w:firstLineChars="0"/>
              <w:jc w:val="both"/>
              <w:rPr>
                <w:rFonts w:hint="default"/>
                <w:color w:val="auto"/>
                <w:highlight w:val="none"/>
                <w:lang w:val="en-US" w:eastAsia="zh-CN"/>
              </w:rPr>
            </w:pPr>
            <w:r>
              <w:rPr>
                <w:rFonts w:hint="default" w:eastAsia="宋体"/>
                <w:color w:val="auto"/>
                <w:sz w:val="21"/>
                <w:szCs w:val="22"/>
                <w:highlight w:val="none"/>
                <w:lang w:val="en-US" w:eastAsia="zh-CN"/>
              </w:rPr>
              <w:t>投标人近年（项目交工日期或合同签订日期介于2018年1月1日~投标截止日之间）内每独立承担过</w:t>
            </w:r>
            <w:r>
              <w:rPr>
                <w:rFonts w:hint="default" w:eastAsia="宋体"/>
                <w:b/>
                <w:bCs/>
                <w:color w:val="auto"/>
                <w:sz w:val="21"/>
                <w:szCs w:val="22"/>
                <w:highlight w:val="none"/>
                <w:lang w:val="en-US" w:eastAsia="zh-CN"/>
              </w:rPr>
              <w:t>1座主跨不小于</w:t>
            </w:r>
            <w:r>
              <w:rPr>
                <w:rFonts w:hint="eastAsia" w:eastAsia="宋体"/>
                <w:b/>
                <w:bCs/>
                <w:color w:val="auto"/>
                <w:sz w:val="21"/>
                <w:szCs w:val="22"/>
                <w:highlight w:val="none"/>
                <w:lang w:val="en-US" w:eastAsia="zh-CN"/>
              </w:rPr>
              <w:t>300</w:t>
            </w:r>
            <w:r>
              <w:rPr>
                <w:rFonts w:hint="default" w:eastAsia="宋体"/>
                <w:b/>
                <w:bCs/>
                <w:color w:val="auto"/>
                <w:sz w:val="21"/>
                <w:szCs w:val="22"/>
                <w:highlight w:val="none"/>
                <w:lang w:val="en-US" w:eastAsia="zh-CN"/>
              </w:rPr>
              <w:t>米的高速公路拱桥</w:t>
            </w:r>
            <w:r>
              <w:rPr>
                <w:rFonts w:hint="eastAsia" w:eastAsia="宋体"/>
                <w:b/>
                <w:bCs/>
                <w:color w:val="auto"/>
                <w:sz w:val="21"/>
                <w:szCs w:val="22"/>
                <w:highlight w:val="none"/>
                <w:lang w:val="en-US" w:eastAsia="zh-CN"/>
              </w:rPr>
              <w:t>桥</w:t>
            </w:r>
            <w:r>
              <w:rPr>
                <w:rFonts w:hint="default" w:eastAsia="宋体"/>
                <w:b/>
                <w:bCs/>
                <w:color w:val="auto"/>
                <w:sz w:val="21"/>
                <w:szCs w:val="22"/>
                <w:highlight w:val="none"/>
                <w:lang w:val="en-US" w:eastAsia="zh-CN"/>
              </w:rPr>
              <w:t>梁</w:t>
            </w:r>
            <w:r>
              <w:rPr>
                <w:rFonts w:hint="default" w:eastAsia="宋体"/>
                <w:color w:val="auto"/>
                <w:sz w:val="21"/>
                <w:szCs w:val="22"/>
                <w:highlight w:val="none"/>
                <w:lang w:val="en-US" w:eastAsia="zh-CN"/>
              </w:rPr>
              <w:t>施工监控业绩，每1座桥梁加5分，此项最多加20分。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95" w:hRule="atLeast"/>
          <w:jc w:val="center"/>
        </w:trPr>
        <w:tc>
          <w:tcPr>
            <w:tcW w:w="518" w:type="pct"/>
            <w:vMerge w:val="continue"/>
            <w:noWrap w:val="0"/>
            <w:vAlign w:val="center"/>
          </w:tcPr>
          <w:p>
            <w:pPr>
              <w:adjustRightInd w:val="0"/>
              <w:snapToGrid w:val="0"/>
              <w:spacing w:line="360" w:lineRule="exact"/>
              <w:ind w:firstLine="0" w:firstLineChars="0"/>
              <w:jc w:val="both"/>
              <w:rPr>
                <w:highlight w:val="none"/>
              </w:rPr>
            </w:pPr>
          </w:p>
        </w:tc>
        <w:tc>
          <w:tcPr>
            <w:tcW w:w="432" w:type="pct"/>
            <w:vMerge w:val="continue"/>
            <w:noWrap w:val="0"/>
            <w:vAlign w:val="center"/>
          </w:tcPr>
          <w:p>
            <w:pPr>
              <w:adjustRightInd w:val="0"/>
              <w:snapToGrid w:val="0"/>
              <w:spacing w:line="360" w:lineRule="exact"/>
              <w:ind w:firstLine="0" w:firstLineChars="0"/>
              <w:jc w:val="both"/>
              <w:rPr>
                <w:highlight w:val="none"/>
              </w:rPr>
            </w:pPr>
          </w:p>
        </w:tc>
        <w:tc>
          <w:tcPr>
            <w:tcW w:w="267" w:type="pct"/>
            <w:vMerge w:val="continue"/>
            <w:noWrap w:val="0"/>
            <w:vAlign w:val="center"/>
          </w:tcPr>
          <w:p>
            <w:pPr>
              <w:adjustRightInd w:val="0"/>
              <w:snapToGrid w:val="0"/>
              <w:spacing w:line="360" w:lineRule="exact"/>
              <w:ind w:firstLine="0" w:firstLineChars="0"/>
              <w:jc w:val="both"/>
              <w:rPr>
                <w:highlight w:val="none"/>
              </w:rPr>
            </w:pPr>
          </w:p>
        </w:tc>
        <w:tc>
          <w:tcPr>
            <w:tcW w:w="209" w:type="pct"/>
            <w:vMerge w:val="continue"/>
            <w:noWrap w:val="0"/>
            <w:vAlign w:val="center"/>
          </w:tcPr>
          <w:p>
            <w:pPr>
              <w:adjustRightInd w:val="0"/>
              <w:snapToGrid w:val="0"/>
              <w:spacing w:line="360" w:lineRule="exact"/>
              <w:ind w:firstLine="0" w:firstLineChars="0"/>
              <w:jc w:val="both"/>
              <w:rPr>
                <w:highlight w:val="none"/>
              </w:rPr>
            </w:pPr>
          </w:p>
        </w:tc>
        <w:tc>
          <w:tcPr>
            <w:tcW w:w="395" w:type="pct"/>
            <w:noWrap w:val="0"/>
            <w:vAlign w:val="center"/>
          </w:tcPr>
          <w:p>
            <w:pPr>
              <w:adjustRightInd w:val="0"/>
              <w:snapToGrid w:val="0"/>
              <w:spacing w:line="360" w:lineRule="exact"/>
              <w:ind w:firstLine="0" w:firstLineChars="0"/>
              <w:jc w:val="center"/>
              <w:rPr>
                <w:rFonts w:hint="eastAsia" w:eastAsia="宋体"/>
                <w:b w:val="0"/>
                <w:bCs w:val="0"/>
                <w:color w:val="auto"/>
                <w:sz w:val="21"/>
                <w:szCs w:val="22"/>
                <w:highlight w:val="none"/>
                <w:lang w:val="en-US" w:eastAsia="zh-CN"/>
              </w:rPr>
            </w:pPr>
            <w:r>
              <w:rPr>
                <w:rFonts w:hint="eastAsia" w:eastAsia="宋体"/>
                <w:b w:val="0"/>
                <w:bCs w:val="0"/>
                <w:color w:val="auto"/>
                <w:sz w:val="21"/>
                <w:szCs w:val="22"/>
                <w:highlight w:val="none"/>
                <w:lang w:val="en-US" w:eastAsia="zh-CN"/>
              </w:rPr>
              <w:t>APBPJC-01标段~APBPJC-04标段</w:t>
            </w:r>
          </w:p>
        </w:tc>
        <w:tc>
          <w:tcPr>
            <w:tcW w:w="319" w:type="pct"/>
            <w:noWrap w:val="0"/>
            <w:vAlign w:val="center"/>
          </w:tcPr>
          <w:p>
            <w:pPr>
              <w:adjustRightInd w:val="0"/>
              <w:snapToGrid w:val="0"/>
              <w:spacing w:line="360" w:lineRule="exact"/>
              <w:ind w:firstLine="0" w:firstLineChars="0"/>
              <w:jc w:val="center"/>
              <w:rPr>
                <w:rFonts w:hint="default" w:eastAsia="宋体"/>
                <w:b/>
                <w:bCs/>
                <w:color w:val="auto"/>
                <w:sz w:val="21"/>
                <w:szCs w:val="22"/>
                <w:highlight w:val="none"/>
                <w:lang w:val="en-US" w:eastAsia="zh-CN"/>
              </w:rPr>
            </w:pPr>
            <w:r>
              <w:rPr>
                <w:rFonts w:hint="eastAsia" w:eastAsia="宋体"/>
                <w:b/>
                <w:bCs/>
                <w:color w:val="auto"/>
                <w:sz w:val="21"/>
                <w:szCs w:val="22"/>
                <w:highlight w:val="none"/>
                <w:lang w:val="en-US" w:eastAsia="zh-CN"/>
              </w:rPr>
              <w:t>20分</w:t>
            </w:r>
          </w:p>
        </w:tc>
        <w:tc>
          <w:tcPr>
            <w:tcW w:w="2857" w:type="pct"/>
            <w:noWrap w:val="0"/>
            <w:vAlign w:val="center"/>
          </w:tcPr>
          <w:p>
            <w:pPr>
              <w:adjustRightInd w:val="0"/>
              <w:snapToGrid w:val="0"/>
              <w:spacing w:line="360" w:lineRule="exact"/>
              <w:ind w:firstLine="0" w:firstLineChars="0"/>
              <w:jc w:val="both"/>
              <w:rPr>
                <w:rFonts w:hint="default" w:eastAsia="宋体"/>
                <w:b/>
                <w:bCs/>
                <w:color w:val="auto"/>
                <w:sz w:val="21"/>
                <w:szCs w:val="22"/>
                <w:highlight w:val="none"/>
                <w:lang w:val="en-US" w:eastAsia="zh-CN"/>
              </w:rPr>
            </w:pPr>
            <w:r>
              <w:rPr>
                <w:rFonts w:hint="eastAsia" w:eastAsia="宋体"/>
                <w:color w:val="auto"/>
                <w:sz w:val="21"/>
                <w:szCs w:val="22"/>
                <w:highlight w:val="none"/>
                <w:lang w:val="en-US" w:eastAsia="zh-CN"/>
              </w:rPr>
              <w:t>投标人</w:t>
            </w:r>
            <w:r>
              <w:rPr>
                <w:rFonts w:hint="default" w:eastAsia="宋体"/>
                <w:color w:val="auto"/>
                <w:sz w:val="21"/>
                <w:szCs w:val="22"/>
                <w:highlight w:val="none"/>
                <w:lang w:val="en-US" w:eastAsia="zh-CN"/>
              </w:rPr>
              <w:t>近年（项目交工日期或合同签订日期介于2018年1月1日~投标截止日之间）内</w:t>
            </w:r>
            <w:r>
              <w:rPr>
                <w:rFonts w:hint="eastAsia" w:eastAsia="宋体"/>
                <w:color w:val="auto"/>
                <w:sz w:val="21"/>
                <w:szCs w:val="22"/>
                <w:highlight w:val="none"/>
                <w:lang w:val="en-US" w:eastAsia="zh-CN"/>
              </w:rPr>
              <w:t>每</w:t>
            </w:r>
            <w:r>
              <w:rPr>
                <w:rFonts w:hint="default" w:eastAsia="宋体"/>
                <w:color w:val="auto"/>
                <w:sz w:val="21"/>
                <w:szCs w:val="22"/>
                <w:highlight w:val="none"/>
                <w:lang w:val="en-US" w:eastAsia="zh-CN"/>
              </w:rPr>
              <w:t>独立承担过</w:t>
            </w:r>
            <w:r>
              <w:rPr>
                <w:rFonts w:hint="eastAsia" w:eastAsia="宋体"/>
                <w:color w:val="auto"/>
                <w:sz w:val="21"/>
                <w:szCs w:val="22"/>
                <w:highlight w:val="none"/>
                <w:lang w:val="en-US" w:eastAsia="zh-CN"/>
              </w:rPr>
              <w:t>1</w:t>
            </w:r>
            <w:r>
              <w:rPr>
                <w:rFonts w:hint="eastAsia" w:eastAsia="宋体"/>
                <w:b/>
                <w:bCs/>
                <w:color w:val="auto"/>
                <w:sz w:val="21"/>
                <w:szCs w:val="22"/>
                <w:highlight w:val="none"/>
                <w:lang w:val="en-US" w:eastAsia="zh-CN"/>
              </w:rPr>
              <w:t>项</w:t>
            </w:r>
            <w:r>
              <w:rPr>
                <w:rFonts w:hint="default" w:eastAsia="宋体"/>
                <w:b/>
                <w:bCs/>
                <w:color w:val="auto"/>
                <w:sz w:val="21"/>
                <w:szCs w:val="22"/>
                <w:highlight w:val="none"/>
                <w:lang w:val="en-US" w:eastAsia="zh-CN"/>
              </w:rPr>
              <w:t>高速公路</w:t>
            </w:r>
            <w:r>
              <w:rPr>
                <w:rFonts w:hint="eastAsia" w:eastAsia="宋体"/>
                <w:b/>
                <w:bCs/>
                <w:color w:val="auto"/>
                <w:sz w:val="21"/>
                <w:szCs w:val="22"/>
                <w:highlight w:val="none"/>
                <w:lang w:val="en-US" w:eastAsia="zh-CN"/>
              </w:rPr>
              <w:t>高边坡监测服务</w:t>
            </w:r>
            <w:r>
              <w:rPr>
                <w:rFonts w:hint="eastAsia" w:eastAsia="宋体"/>
                <w:color w:val="auto"/>
                <w:sz w:val="21"/>
                <w:szCs w:val="22"/>
                <w:highlight w:val="none"/>
                <w:lang w:val="en-US" w:eastAsia="zh-CN"/>
              </w:rPr>
              <w:t>业绩的</w:t>
            </w:r>
            <w:r>
              <w:rPr>
                <w:rFonts w:hint="default" w:eastAsia="宋体"/>
                <w:color w:val="auto"/>
                <w:sz w:val="21"/>
                <w:szCs w:val="22"/>
                <w:highlight w:val="none"/>
                <w:lang w:val="en-US" w:eastAsia="zh-CN"/>
              </w:rPr>
              <w:t>，每1</w:t>
            </w:r>
            <w:r>
              <w:rPr>
                <w:rFonts w:hint="eastAsia" w:eastAsia="宋体"/>
                <w:color w:val="auto"/>
                <w:sz w:val="21"/>
                <w:szCs w:val="22"/>
                <w:highlight w:val="none"/>
                <w:lang w:val="en-US" w:eastAsia="zh-CN"/>
              </w:rPr>
              <w:t>项</w:t>
            </w:r>
            <w:r>
              <w:rPr>
                <w:rFonts w:hint="default" w:eastAsia="宋体"/>
                <w:color w:val="auto"/>
                <w:sz w:val="21"/>
                <w:szCs w:val="22"/>
                <w:highlight w:val="none"/>
                <w:lang w:val="en-US" w:eastAsia="zh-CN"/>
              </w:rPr>
              <w:t>加</w:t>
            </w:r>
            <w:r>
              <w:rPr>
                <w:rFonts w:hint="eastAsia" w:eastAsia="宋体"/>
                <w:color w:val="auto"/>
                <w:sz w:val="21"/>
                <w:szCs w:val="22"/>
                <w:highlight w:val="none"/>
                <w:lang w:val="en-US" w:eastAsia="zh-CN"/>
              </w:rPr>
              <w:t>10</w:t>
            </w:r>
            <w:r>
              <w:rPr>
                <w:rFonts w:hint="default" w:eastAsia="宋体"/>
                <w:color w:val="auto"/>
                <w:sz w:val="21"/>
                <w:szCs w:val="22"/>
                <w:highlight w:val="none"/>
                <w:lang w:val="en-US" w:eastAsia="zh-CN"/>
              </w:rPr>
              <w:t>分，此项最多加20分</w:t>
            </w:r>
            <w:r>
              <w:rPr>
                <w:rFonts w:hint="eastAsia" w:eastAsia="宋体"/>
                <w:color w:val="auto"/>
                <w:sz w:val="21"/>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518" w:type="pct"/>
            <w:vMerge w:val="continue"/>
            <w:noWrap w:val="0"/>
            <w:vAlign w:val="center"/>
          </w:tcPr>
          <w:p>
            <w:pPr>
              <w:adjustRightInd w:val="0"/>
              <w:snapToGrid w:val="0"/>
              <w:spacing w:line="360" w:lineRule="exact"/>
              <w:ind w:firstLine="0" w:firstLineChars="0"/>
              <w:jc w:val="center"/>
              <w:rPr>
                <w:color w:val="auto"/>
                <w:sz w:val="21"/>
                <w:szCs w:val="21"/>
                <w:highlight w:val="none"/>
              </w:rPr>
            </w:pPr>
          </w:p>
        </w:tc>
        <w:tc>
          <w:tcPr>
            <w:tcW w:w="432" w:type="pct"/>
            <w:vMerge w:val="continue"/>
            <w:noWrap w:val="0"/>
            <w:vAlign w:val="center"/>
          </w:tcPr>
          <w:p>
            <w:pPr>
              <w:adjustRightInd w:val="0"/>
              <w:snapToGrid w:val="0"/>
              <w:spacing w:line="360" w:lineRule="exact"/>
              <w:ind w:firstLine="0" w:firstLineChars="0"/>
              <w:jc w:val="center"/>
              <w:rPr>
                <w:color w:val="auto"/>
                <w:sz w:val="21"/>
                <w:szCs w:val="21"/>
                <w:highlight w:val="none"/>
              </w:rPr>
            </w:pPr>
          </w:p>
        </w:tc>
        <w:tc>
          <w:tcPr>
            <w:tcW w:w="267" w:type="pct"/>
            <w:noWrap w:val="0"/>
            <w:vAlign w:val="center"/>
          </w:tcPr>
          <w:p>
            <w:pPr>
              <w:adjustRightInd w:val="0"/>
              <w:snapToGrid w:val="0"/>
              <w:spacing w:line="360" w:lineRule="exact"/>
              <w:ind w:firstLine="0" w:firstLineChars="0"/>
              <w:jc w:val="center"/>
              <w:rPr>
                <w:color w:val="auto"/>
                <w:sz w:val="21"/>
                <w:szCs w:val="21"/>
                <w:highlight w:val="none"/>
              </w:rPr>
            </w:pPr>
            <w:r>
              <w:rPr>
                <w:color w:val="auto"/>
                <w:sz w:val="21"/>
                <w:szCs w:val="21"/>
                <w:highlight w:val="none"/>
              </w:rPr>
              <w:t>信用评价</w:t>
            </w:r>
          </w:p>
        </w:tc>
        <w:tc>
          <w:tcPr>
            <w:tcW w:w="209" w:type="pct"/>
            <w:noWrap w:val="0"/>
            <w:vAlign w:val="center"/>
          </w:tcPr>
          <w:p>
            <w:pPr>
              <w:adjustRightInd w:val="0"/>
              <w:snapToGrid w:val="0"/>
              <w:spacing w:line="360" w:lineRule="exact"/>
              <w:ind w:firstLine="0" w:firstLineChars="0"/>
              <w:jc w:val="center"/>
              <w:rPr>
                <w:color w:val="auto"/>
                <w:sz w:val="21"/>
                <w:szCs w:val="21"/>
                <w:highlight w:val="none"/>
              </w:rPr>
            </w:pPr>
            <w:r>
              <w:rPr>
                <w:color w:val="auto"/>
                <w:sz w:val="21"/>
                <w:szCs w:val="21"/>
                <w:highlight w:val="none"/>
              </w:rPr>
              <w:t>3分</w:t>
            </w:r>
          </w:p>
        </w:tc>
        <w:tc>
          <w:tcPr>
            <w:tcW w:w="395" w:type="pct"/>
            <w:noWrap w:val="0"/>
            <w:vAlign w:val="center"/>
          </w:tcPr>
          <w:p>
            <w:pPr>
              <w:adjustRightInd w:val="0"/>
              <w:snapToGrid w:val="0"/>
              <w:spacing w:line="360" w:lineRule="exact"/>
              <w:ind w:firstLine="0" w:firstLineChars="0"/>
              <w:jc w:val="center"/>
              <w:rPr>
                <w:color w:val="auto"/>
                <w:sz w:val="21"/>
                <w:szCs w:val="21"/>
                <w:highlight w:val="none"/>
              </w:rPr>
            </w:pPr>
            <w:r>
              <w:rPr>
                <w:color w:val="auto"/>
                <w:sz w:val="21"/>
                <w:szCs w:val="21"/>
                <w:highlight w:val="none"/>
              </w:rPr>
              <w:t>信用评价等级</w:t>
            </w:r>
          </w:p>
        </w:tc>
        <w:tc>
          <w:tcPr>
            <w:tcW w:w="319" w:type="pct"/>
            <w:noWrap w:val="0"/>
            <w:vAlign w:val="center"/>
          </w:tcPr>
          <w:p>
            <w:pPr>
              <w:adjustRightInd w:val="0"/>
              <w:snapToGrid w:val="0"/>
              <w:spacing w:line="360" w:lineRule="exact"/>
              <w:ind w:firstLine="0" w:firstLineChars="0"/>
              <w:jc w:val="center"/>
              <w:rPr>
                <w:color w:val="auto"/>
                <w:sz w:val="21"/>
                <w:szCs w:val="21"/>
                <w:highlight w:val="none"/>
              </w:rPr>
            </w:pPr>
            <w:r>
              <w:rPr>
                <w:color w:val="auto"/>
                <w:sz w:val="21"/>
                <w:szCs w:val="21"/>
                <w:highlight w:val="none"/>
              </w:rPr>
              <w:t>3分</w:t>
            </w:r>
          </w:p>
        </w:tc>
        <w:tc>
          <w:tcPr>
            <w:tcW w:w="2857" w:type="pct"/>
            <w:noWrap w:val="0"/>
            <w:vAlign w:val="center"/>
          </w:tcPr>
          <w:p>
            <w:pPr>
              <w:adjustRightInd w:val="0"/>
              <w:snapToGrid w:val="0"/>
              <w:spacing w:line="360" w:lineRule="exact"/>
              <w:ind w:firstLine="0" w:firstLineChars="0"/>
              <w:jc w:val="both"/>
              <w:rPr>
                <w:color w:val="auto"/>
                <w:sz w:val="21"/>
                <w:szCs w:val="22"/>
                <w:highlight w:val="none"/>
              </w:rPr>
            </w:pPr>
            <w:r>
              <w:rPr>
                <w:color w:val="auto"/>
                <w:sz w:val="21"/>
                <w:szCs w:val="22"/>
                <w:highlight w:val="none"/>
              </w:rPr>
              <w:t>投标人最近年度的信用评价等级（公路工程专业）被评为AA级的，得3分；</w:t>
            </w:r>
          </w:p>
          <w:p>
            <w:pPr>
              <w:adjustRightInd w:val="0"/>
              <w:snapToGrid w:val="0"/>
              <w:spacing w:line="360" w:lineRule="exact"/>
              <w:ind w:firstLine="0" w:firstLineChars="0"/>
              <w:jc w:val="both"/>
              <w:rPr>
                <w:color w:val="auto"/>
                <w:sz w:val="21"/>
                <w:szCs w:val="22"/>
                <w:highlight w:val="none"/>
              </w:rPr>
            </w:pPr>
            <w:r>
              <w:rPr>
                <w:color w:val="auto"/>
                <w:sz w:val="21"/>
                <w:szCs w:val="22"/>
                <w:highlight w:val="none"/>
              </w:rPr>
              <w:t>投标人最近年度的信用评价等级（公路工程专业）被评为A级的，得1.5分；</w:t>
            </w:r>
          </w:p>
          <w:p>
            <w:pPr>
              <w:adjustRightInd w:val="0"/>
              <w:snapToGrid w:val="0"/>
              <w:spacing w:line="360" w:lineRule="exact"/>
              <w:ind w:firstLine="0" w:firstLineChars="0"/>
              <w:jc w:val="both"/>
              <w:rPr>
                <w:color w:val="auto"/>
                <w:sz w:val="21"/>
                <w:szCs w:val="22"/>
                <w:highlight w:val="none"/>
              </w:rPr>
            </w:pPr>
            <w:r>
              <w:rPr>
                <w:color w:val="auto"/>
                <w:sz w:val="21"/>
                <w:szCs w:val="22"/>
                <w:highlight w:val="none"/>
              </w:rPr>
              <w:t>投标人最近年度的信用评价等级（公路工程专业）被评为B级的，得0分；</w:t>
            </w:r>
          </w:p>
          <w:p>
            <w:pPr>
              <w:adjustRightInd w:val="0"/>
              <w:snapToGrid w:val="0"/>
              <w:spacing w:line="360" w:lineRule="exact"/>
              <w:ind w:firstLine="0" w:firstLineChars="0"/>
              <w:jc w:val="both"/>
              <w:rPr>
                <w:color w:val="auto"/>
                <w:sz w:val="21"/>
                <w:szCs w:val="22"/>
                <w:highlight w:val="none"/>
              </w:rPr>
            </w:pPr>
            <w:r>
              <w:rPr>
                <w:color w:val="auto"/>
                <w:sz w:val="21"/>
                <w:szCs w:val="22"/>
                <w:highlight w:val="none"/>
              </w:rPr>
              <w:t>投标人最近年度的信用评价等级（公路工程专业）被评为C级的，得-1.5分。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5000" w:type="pct"/>
            <w:gridSpan w:val="7"/>
            <w:noWrap w:val="0"/>
            <w:vAlign w:val="center"/>
          </w:tcPr>
          <w:p>
            <w:pPr>
              <w:adjustRightInd w:val="0"/>
              <w:snapToGrid w:val="0"/>
              <w:spacing w:line="360" w:lineRule="exact"/>
              <w:ind w:firstLine="0" w:firstLineChars="0"/>
              <w:jc w:val="both"/>
              <w:rPr>
                <w:color w:val="auto"/>
                <w:sz w:val="21"/>
                <w:szCs w:val="22"/>
                <w:highlight w:val="none"/>
              </w:rPr>
            </w:pPr>
            <w:r>
              <w:rPr>
                <w:color w:val="auto"/>
                <w:sz w:val="21"/>
                <w:szCs w:val="22"/>
                <w:highlight w:val="none"/>
              </w:rPr>
              <w:t>需要补充的其他内容：</w:t>
            </w:r>
          </w:p>
          <w:p>
            <w:pPr>
              <w:adjustRightInd w:val="0"/>
              <w:snapToGrid w:val="0"/>
              <w:spacing w:line="360" w:lineRule="exact"/>
              <w:ind w:firstLine="0" w:firstLineChars="0"/>
              <w:jc w:val="both"/>
              <w:rPr>
                <w:b/>
                <w:bCs/>
                <w:color w:val="auto"/>
                <w:sz w:val="21"/>
                <w:szCs w:val="22"/>
                <w:highlight w:val="none"/>
              </w:rPr>
            </w:pPr>
            <w:r>
              <w:rPr>
                <w:b/>
                <w:bCs/>
                <w:color w:val="auto"/>
                <w:sz w:val="21"/>
                <w:szCs w:val="22"/>
                <w:highlight w:val="none"/>
              </w:rPr>
              <w:t>1.第3.2.1项第（1）目细化为：</w:t>
            </w:r>
          </w:p>
          <w:p>
            <w:pPr>
              <w:adjustRightInd w:val="0"/>
              <w:snapToGrid w:val="0"/>
              <w:spacing w:line="360" w:lineRule="exact"/>
              <w:ind w:firstLine="0" w:firstLineChars="0"/>
              <w:jc w:val="both"/>
              <w:rPr>
                <w:color w:val="auto"/>
                <w:sz w:val="21"/>
                <w:szCs w:val="22"/>
                <w:highlight w:val="none"/>
              </w:rPr>
            </w:pPr>
            <w:r>
              <w:rPr>
                <w:color w:val="auto"/>
                <w:sz w:val="21"/>
                <w:szCs w:val="22"/>
                <w:highlight w:val="none"/>
              </w:rPr>
              <w:t>（1）按本章第2.2.4项（1）目规定的评审因素和分值对技术建议书部分计算出得分A；主观因素（施工组织设计部分）评分不应低于其权重分的60%，评分低于权重分值60%的，评标委员会成员应当在评标报告中作出说明。主观因素（技术建议书）得分为去掉一个最高分、去掉一个最低分的算术平均值。</w:t>
            </w:r>
          </w:p>
          <w:p>
            <w:pPr>
              <w:adjustRightInd w:val="0"/>
              <w:snapToGrid w:val="0"/>
              <w:spacing w:line="360" w:lineRule="exact"/>
              <w:ind w:firstLine="0" w:firstLineChars="0"/>
              <w:jc w:val="both"/>
              <w:rPr>
                <w:b/>
                <w:bCs/>
                <w:color w:val="auto"/>
                <w:sz w:val="21"/>
                <w:szCs w:val="22"/>
                <w:highlight w:val="none"/>
              </w:rPr>
            </w:pPr>
            <w:r>
              <w:rPr>
                <w:b/>
                <w:bCs/>
                <w:color w:val="auto"/>
                <w:sz w:val="21"/>
                <w:szCs w:val="22"/>
                <w:highlight w:val="none"/>
              </w:rPr>
              <w:t>2.第3.2.2项细化为：</w:t>
            </w:r>
          </w:p>
          <w:p>
            <w:pPr>
              <w:adjustRightInd w:val="0"/>
              <w:snapToGrid w:val="0"/>
              <w:spacing w:line="360" w:lineRule="exact"/>
              <w:ind w:firstLine="0" w:firstLineChars="0"/>
              <w:jc w:val="both"/>
              <w:rPr>
                <w:color w:val="auto"/>
                <w:sz w:val="21"/>
                <w:szCs w:val="22"/>
                <w:highlight w:val="none"/>
              </w:rPr>
            </w:pPr>
            <w:r>
              <w:rPr>
                <w:color w:val="auto"/>
                <w:sz w:val="21"/>
                <w:szCs w:val="22"/>
                <w:highlight w:val="none"/>
              </w:rPr>
              <w:t>3.2.2投标人的商务和技术得分分值计算结果保留小数点后两位，小数点后第三位“四舍五入”</w:t>
            </w:r>
            <w:r>
              <w:rPr>
                <w:color w:val="auto"/>
                <w:sz w:val="21"/>
                <w:szCs w:val="21"/>
                <w:highlight w:val="none"/>
              </w:rPr>
              <w:t>，实际运算采用计算机系统数据。</w:t>
            </w:r>
          </w:p>
          <w:p>
            <w:pPr>
              <w:adjustRightInd w:val="0"/>
              <w:snapToGrid w:val="0"/>
              <w:spacing w:line="360" w:lineRule="exact"/>
              <w:ind w:firstLine="0" w:firstLineChars="0"/>
              <w:jc w:val="both"/>
              <w:rPr>
                <w:rFonts w:hint="default" w:eastAsia="宋体"/>
                <w:b/>
                <w:bCs/>
                <w:color w:val="auto"/>
                <w:sz w:val="21"/>
                <w:szCs w:val="22"/>
                <w:highlight w:val="none"/>
                <w:lang w:val="en-US" w:eastAsia="zh-CN"/>
              </w:rPr>
            </w:pPr>
            <w:r>
              <w:rPr>
                <w:rFonts w:hint="eastAsia"/>
                <w:b/>
                <w:bCs/>
                <w:color w:val="auto"/>
                <w:sz w:val="21"/>
                <w:szCs w:val="22"/>
                <w:highlight w:val="none"/>
                <w:lang w:val="en-US" w:eastAsia="zh-CN"/>
              </w:rPr>
              <w:t>3.第3.3款细化为：</w:t>
            </w:r>
          </w:p>
          <w:p>
            <w:pPr>
              <w:adjustRightInd w:val="0"/>
              <w:snapToGrid w:val="0"/>
              <w:spacing w:line="360" w:lineRule="exact"/>
              <w:ind w:firstLine="0" w:firstLineChars="0"/>
              <w:jc w:val="both"/>
              <w:rPr>
                <w:rFonts w:hint="eastAsia"/>
                <w:color w:val="auto"/>
                <w:sz w:val="21"/>
                <w:szCs w:val="22"/>
                <w:highlight w:val="none"/>
              </w:rPr>
            </w:pPr>
            <w:r>
              <w:rPr>
                <w:rFonts w:hint="eastAsia"/>
                <w:color w:val="auto"/>
                <w:sz w:val="21"/>
                <w:szCs w:val="22"/>
                <w:highlight w:val="none"/>
              </w:rPr>
              <w:t>3.3 第二个信封开标补充以下内容</w:t>
            </w:r>
          </w:p>
          <w:p>
            <w:pPr>
              <w:adjustRightInd w:val="0"/>
              <w:snapToGrid w:val="0"/>
              <w:spacing w:line="360" w:lineRule="exact"/>
              <w:ind w:firstLine="0" w:firstLineChars="0"/>
              <w:jc w:val="both"/>
              <w:rPr>
                <w:color w:val="auto"/>
                <w:sz w:val="21"/>
                <w:szCs w:val="22"/>
                <w:highlight w:val="none"/>
              </w:rPr>
            </w:pPr>
            <w:r>
              <w:rPr>
                <w:rFonts w:hint="eastAsia"/>
                <w:color w:val="auto"/>
                <w:sz w:val="21"/>
                <w:szCs w:val="22"/>
                <w:highlight w:val="none"/>
              </w:rPr>
              <w:t>第二个信封开标结束后，如评标委员会经复核确认第一个信封（商务及技术文件）评审结果有误，评标委员会有权根据招标文件评标办法规定的评审标准对第一信封评审结果进行修正，并按照本章第2.2.2 项的规定对评标基准价进行修正。</w:t>
            </w:r>
          </w:p>
          <w:p>
            <w:pPr>
              <w:adjustRightInd w:val="0"/>
              <w:snapToGrid w:val="0"/>
              <w:spacing w:line="360" w:lineRule="exact"/>
              <w:ind w:firstLine="0" w:firstLineChars="0"/>
              <w:jc w:val="both"/>
              <w:rPr>
                <w:b/>
                <w:bCs/>
                <w:color w:val="auto"/>
                <w:sz w:val="21"/>
                <w:szCs w:val="22"/>
                <w:highlight w:val="none"/>
              </w:rPr>
            </w:pPr>
            <w:r>
              <w:rPr>
                <w:b/>
                <w:bCs/>
                <w:color w:val="auto"/>
                <w:sz w:val="21"/>
                <w:szCs w:val="22"/>
                <w:highlight w:val="none"/>
              </w:rPr>
              <w:t>3.第3.5.1项细化为：</w:t>
            </w:r>
          </w:p>
          <w:p>
            <w:pPr>
              <w:adjustRightInd w:val="0"/>
              <w:snapToGrid w:val="0"/>
              <w:spacing w:line="360" w:lineRule="exact"/>
              <w:ind w:firstLine="0" w:firstLineChars="0"/>
              <w:jc w:val="both"/>
              <w:rPr>
                <w:color w:val="auto"/>
                <w:sz w:val="21"/>
                <w:szCs w:val="21"/>
                <w:highlight w:val="none"/>
              </w:rPr>
            </w:pPr>
            <w:r>
              <w:rPr>
                <w:color w:val="auto"/>
                <w:sz w:val="21"/>
                <w:szCs w:val="22"/>
                <w:highlight w:val="none"/>
              </w:rPr>
              <w:t>3.5.1评标委员会按本章第2.2.4项（3）目规定的评审因素和分值对评标价计算出得分C。评标价得分分值计算结果保留小数点后两位，小数点后第三位“四舍五入”，</w:t>
            </w:r>
            <w:r>
              <w:rPr>
                <w:color w:val="auto"/>
                <w:sz w:val="21"/>
                <w:szCs w:val="21"/>
                <w:highlight w:val="none"/>
              </w:rPr>
              <w:t>实际运算采用计算机系统数据。</w:t>
            </w:r>
          </w:p>
          <w:p>
            <w:pPr>
              <w:spacing w:line="360" w:lineRule="exact"/>
              <w:ind w:firstLine="0" w:firstLineChars="0"/>
              <w:rPr>
                <w:b/>
                <w:bCs/>
                <w:color w:val="auto"/>
                <w:sz w:val="21"/>
                <w:szCs w:val="21"/>
                <w:highlight w:val="none"/>
              </w:rPr>
            </w:pPr>
            <w:r>
              <w:rPr>
                <w:rFonts w:hint="eastAsia"/>
                <w:b/>
                <w:bCs/>
                <w:color w:val="auto"/>
                <w:sz w:val="21"/>
                <w:szCs w:val="21"/>
                <w:highlight w:val="none"/>
                <w:lang w:val="en-US" w:eastAsia="zh-CN"/>
              </w:rPr>
              <w:t>4</w:t>
            </w:r>
            <w:r>
              <w:rPr>
                <w:b/>
                <w:bCs/>
                <w:color w:val="auto"/>
                <w:sz w:val="21"/>
                <w:szCs w:val="21"/>
                <w:highlight w:val="none"/>
              </w:rPr>
              <w:t>.第3.9.1项细化为：</w:t>
            </w:r>
          </w:p>
          <w:p>
            <w:pPr>
              <w:adjustRightInd w:val="0"/>
              <w:snapToGrid w:val="0"/>
              <w:spacing w:line="360" w:lineRule="exact"/>
              <w:ind w:firstLine="0" w:firstLineChars="0"/>
              <w:jc w:val="both"/>
              <w:rPr>
                <w:rFonts w:hint="eastAsia"/>
                <w:color w:val="auto"/>
                <w:sz w:val="21"/>
                <w:szCs w:val="22"/>
                <w:highlight w:val="none"/>
              </w:rPr>
            </w:pPr>
            <w:r>
              <w:rPr>
                <w:color w:val="auto"/>
                <w:sz w:val="21"/>
                <w:szCs w:val="21"/>
                <w:highlight w:val="none"/>
              </w:rPr>
              <w:t>除第二章“投标人须知”前附表授权直接确定中标人外，评标委员会按照得分由高到低的顺序推荐中标候选人，并标明排序。若投标人同时在两个标段被列为第一中标候选人，将</w:t>
            </w:r>
            <w:r>
              <w:rPr>
                <w:rFonts w:hint="eastAsia"/>
                <w:color w:val="auto"/>
                <w:sz w:val="21"/>
                <w:szCs w:val="21"/>
                <w:highlight w:val="none"/>
                <w:lang w:val="en-US" w:eastAsia="zh-CN"/>
              </w:rPr>
              <w:t>按照标段序号的先后顺序确定其中</w:t>
            </w:r>
            <w:r>
              <w:rPr>
                <w:color w:val="auto"/>
                <w:sz w:val="21"/>
                <w:szCs w:val="21"/>
                <w:highlight w:val="none"/>
              </w:rPr>
              <w:t>标候选人资格，</w:t>
            </w:r>
            <w:r>
              <w:rPr>
                <w:rFonts w:hint="eastAsia"/>
                <w:color w:val="auto"/>
                <w:sz w:val="21"/>
                <w:szCs w:val="21"/>
                <w:highlight w:val="none"/>
                <w:lang w:val="en-US" w:eastAsia="zh-CN"/>
              </w:rPr>
              <w:t>允许中标数量以外的标段将不再作为中标候选人，其他</w:t>
            </w:r>
            <w:r>
              <w:rPr>
                <w:color w:val="auto"/>
                <w:sz w:val="21"/>
                <w:szCs w:val="21"/>
                <w:highlight w:val="none"/>
              </w:rPr>
              <w:t>中标候选人</w:t>
            </w:r>
            <w:r>
              <w:rPr>
                <w:rFonts w:hint="eastAsia"/>
                <w:color w:val="auto"/>
                <w:sz w:val="21"/>
                <w:szCs w:val="21"/>
                <w:highlight w:val="none"/>
                <w:lang w:val="en-US" w:eastAsia="zh-CN"/>
              </w:rPr>
              <w:t>资格依次</w:t>
            </w:r>
            <w:r>
              <w:rPr>
                <w:color w:val="auto"/>
                <w:sz w:val="21"/>
                <w:szCs w:val="21"/>
                <w:highlight w:val="none"/>
              </w:rPr>
              <w:t>递补。但应满足本款的规定。</w:t>
            </w:r>
          </w:p>
        </w:tc>
      </w:tr>
    </w:tbl>
    <w:p>
      <w:pPr>
        <w:pStyle w:val="2"/>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MTA1MmY2N2JhYzVjY2U1Nzg0YzM1NmI1ZjhmYmQifQ=="/>
  </w:docVars>
  <w:rsids>
    <w:rsidRoot w:val="00000000"/>
    <w:rsid w:val="055B6FFC"/>
    <w:rsid w:val="5A1D55C0"/>
    <w:rsid w:val="6CE51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pPr>
    <w:rPr>
      <w:rFonts w:ascii="Times New Roman" w:hAnsi="Times New Roman" w:eastAsia="宋体"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ind w:firstLine="0" w:firstLineChars="0"/>
    </w:pPr>
    <w:rPr>
      <w:rFonts w:ascii="Calibri" w:hAnsi="Calibri"/>
      <w:sz w:val="18"/>
      <w:szCs w:val="18"/>
    </w:rPr>
  </w:style>
  <w:style w:type="paragraph" w:styleId="3">
    <w:name w:val="Body Text"/>
    <w:basedOn w:val="1"/>
    <w:qFormat/>
    <w:uiPriority w:val="0"/>
    <w:pPr>
      <w:spacing w:after="120" w:afterLines="0" w:afterAutospacing="0"/>
    </w:pPr>
  </w:style>
  <w:style w:type="paragraph" w:customStyle="1" w:styleId="6">
    <w:name w:val="正文台头"/>
    <w:basedOn w:val="1"/>
    <w:next w:val="1"/>
    <w:qFormat/>
    <w:uiPriority w:val="0"/>
    <w:pPr>
      <w:spacing w:before="60" w:after="60" w:line="240" w:lineRule="auto"/>
      <w:ind w:firstLine="0" w:firstLineChars="0"/>
      <w:jc w:val="center"/>
    </w:pPr>
    <w:rPr>
      <w:b/>
      <w:bCs/>
      <w:sz w:val="28"/>
      <w:szCs w:val="28"/>
      <w:lang w:val="zh-TW"/>
    </w:rPr>
  </w:style>
  <w:style w:type="table" w:customStyle="1" w:styleId="7">
    <w:name w:val="网格型1"/>
    <w:basedOn w:val="4"/>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靠左"/>
    <w:basedOn w:val="1"/>
    <w:next w:val="1"/>
    <w:qFormat/>
    <w:uiPriority w:val="0"/>
    <w:pPr>
      <w:ind w:firstLine="0" w:firstLineChars="0"/>
    </w:pPr>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2023-07-17T01:05:00Z</dcterms:created>
  <dc:creator>Administrator</dc:creator>
  <cp:lastModifiedBy>Danger</cp:lastModifiedBy>
  <dcterms:modified xsi:type="dcterms:W3CDTF">2023-08-18T06:39:47Z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2486DF3FC1F54A218241479C8F7EEE51_12</vt:lpwstr>
  </property>
</Properties>
</file>